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E8A33D"/>
          <w:sz w:val="26"/>
          <w:szCs w:val="26"/>
        </w:rPr>
        <w:t xml:space="preserve">NIGER DELTA PETROLEUM PRODUCING COMPANY (NDPPC)</w:t>
      </w:r>
    </w:p>
    <w:p>
      <w:pPr>
        <w:spacing w:before="220"/>
        <w:jc w:val="center"/>
      </w:pPr>
      <w:r>
        <w:rPr>
          <w:rFonts w:ascii="Calibri" w:cs="Calibri" w:eastAsia="Calibri" w:hAnsi="Calibri"/>
          <w:b/>
          <w:bCs/>
          <w:color w:val="1F3864"/>
          <w:sz w:val="52"/>
          <w:szCs w:val="52"/>
        </w:rPr>
        <w:t xml:space="preserve">HEALTH, SAFETY &amp; ENVIRONMENT (HSE)</w:t>
      </w:r>
    </w:p>
    <w:p>
      <w:pPr>
        <w:spacing w:after="100" w:before="200"/>
        <w:jc w:val="center"/>
      </w:pPr>
      <w:r>
        <w:rPr>
          <w:rFonts w:ascii="Calibri" w:cs="Calibri" w:eastAsia="Calibri" w:hAnsi="Calibri"/>
          <w:b/>
          <w:bCs/>
          <w:color w:val="0E7C7B"/>
          <w:sz w:val="40"/>
          <w:szCs w:val="40"/>
        </w:rPr>
        <w:t xml:space="preserve">POWER BI TRAINING PROJECT</w:t>
      </w:r>
    </w:p>
    <w:p>
      <w:pPr>
        <w:spacing w:after="400" w:before="300"/>
        <w:jc w:val="center"/>
      </w:pPr>
      <w:r>
        <w:rPr>
          <w:rFonts w:ascii="Calibri" w:cs="Calibri" w:eastAsia="Calibri" w:hAnsi="Calibri"/>
          <w:i/>
          <w:iCs/>
          <w:color w:val="595959"/>
          <w:sz w:val="26"/>
          <w:szCs w:val="26"/>
        </w:rPr>
        <w:t xml:space="preserve">A Comprehensive Guide to Data Modeling, DAX Measures, and Dashboard Design for HSE Analytics</w:t>
      </w:r>
    </w:p>
    <w:p>
      <w:pPr>
        <w:pBdr>
          <w:left w:val="single" w:color="E8A33D" w:sz="24" w:space="8"/>
        </w:pBdr>
        <w:shd w:fill="FFF9EE" w:val="clear"/>
        <w:spacing w:after="500"/>
        <w:ind w:left="1400" w:right="1400"/>
        <w:jc w:val="center"/>
      </w:pPr>
      <w:r>
        <w:rPr>
          <w:rFonts w:ascii="Calibri" w:cs="Calibri" w:eastAsia="Calibri" w:hAnsi="Calibri"/>
          <w:i/>
          <w:iCs/>
          <w:color w:val="7A5B1E"/>
          <w:sz w:val="19"/>
          <w:szCs w:val="19"/>
        </w:rPr>
        <w:t xml:space="preserve">Fictional company notice: NDPPC is a fictional company invented solely for this training exercise. Every site, employee, incident, and record in this package is synthetic and randomly generated for teaching purposes only.</w:t>
      </w:r>
    </w:p>
    <w:p>
      <w:pPr>
        <w:spacing w:after="20" w:before="900"/>
        <w:jc w:val="center"/>
      </w:pPr>
      <w:r>
        <w:rPr>
          <w:rFonts w:ascii="Calibri" w:cs="Calibri" w:eastAsia="Calibri" w:hAnsi="Calibri"/>
          <w:b/>
          <w:bCs/>
          <w:color w:val="1F3864"/>
          <w:sz w:val="30"/>
          <w:szCs w:val="30"/>
        </w:rPr>
        <w:t xml:space="preserve">Kajola Gbenga</w:t>
      </w:r>
    </w:p>
    <w:p>
      <w:pPr>
        <w:spacing w:after="1200"/>
        <w:jc w:val="center"/>
      </w:pPr>
      <w:r>
        <w:rPr>
          <w:rFonts w:ascii="Calibri" w:cs="Calibri" w:eastAsia="Calibri" w:hAnsi="Calibri"/>
          <w:i/>
          <w:iCs/>
          <w:color w:val="E8A33D"/>
          <w:sz w:val="24"/>
          <w:szCs w:val="24"/>
        </w:rPr>
        <w:t xml:space="preserve">Data Scientist &amp; AI Engineer</w:t>
      </w:r>
    </w:p>
    <w:p>
      <w:pPr>
        <w:jc w:val="center"/>
      </w:pPr>
      <w:r>
        <w:rPr>
          <w:rFonts w:ascii="Calibri" w:cs="Calibri" w:eastAsia="Calibri" w:hAnsi="Calibri"/>
          <w:color w:val="7F8C8D"/>
          <w:sz w:val="19"/>
          <w:szCs w:val="19"/>
        </w:rPr>
        <w:t xml:space="preserve">Companion files: NDPPC_HSE_Training_Dataset.xlsx  |  01_Tasks_and_Planning.html  |  02_Full_Solution_Walkthrough.html</w:t>
      </w:r>
    </w:p>
    <w:p>
      <w:r>
        <w:br w:type="page"/>
      </w:r>
    </w:p>
    <w:p>
      <w:pPr>
        <w:pStyle w:val="Heading1"/>
        <w:pBdr>
          <w:bottom w:val="single" w:color="0E7C7B" w:sz="12" w:space="4"/>
        </w:pBdr>
        <w:spacing w:after="200" w:before="360"/>
      </w:pPr>
      <w:r>
        <w:rPr>
          <w:rFonts w:ascii="Calibri" w:cs="Calibri" w:eastAsia="Calibri" w:hAnsi="Calibri"/>
          <w:b/>
          <w:bCs/>
          <w:color w:val="1F3864"/>
          <w:sz w:val="32"/>
          <w:szCs w:val="32"/>
        </w:rPr>
        <w:t xml:space="preserve">Table of Contents</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1. Project Overview &amp; Problem Statement</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2. Dataset Structure &amp; Full Data Dictionary</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3. Data Loading &amp; Power Query Cleaning</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4. Data Model, Relationships &amp; Cardinality</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5. Every DAX Measure, Explained Line by Line</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6. Measures-to-Page Reference Map</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7. Building the 5-Page Power BI Dashboard</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8. Final Quality Checklist</w:t>
      </w:r>
    </w:p>
    <w:p>
      <w:pPr>
        <w:spacing w:after="120"/>
      </w:pPr>
      <w:r>
        <w:rPr>
          <w:rFonts w:ascii="Calibri" w:cs="Calibri" w:eastAsia="Calibri" w:hAnsi="Calibri"/>
          <w:i/>
          <w:iCs/>
          <w:color w:val="7F8C8D"/>
          <w:sz w:val="19"/>
          <w:szCs w:val="19"/>
        </w:rPr>
        <w:t xml:space="preserve">Note: this document uses Word's built-in Heading styles throughout, so the Navigation Pane (View &gt; Navigation Pane) can also be used to jump directly to any section or sub-section.</w:t>
      </w:r>
    </w:p>
    <w:p>
      <w:r>
        <w:br w:type="page"/>
      </w:r>
    </w:p>
    <w:p>
      <w:pPr>
        <w:pStyle w:val="Heading1"/>
        <w:pBdr>
          <w:bottom w:val="single" w:color="0E7C7B" w:sz="12" w:space="4"/>
        </w:pBdr>
        <w:spacing w:after="200" w:before="360"/>
      </w:pPr>
      <w:r>
        <w:rPr>
          <w:rFonts w:ascii="Calibri" w:cs="Calibri" w:eastAsia="Calibri" w:hAnsi="Calibri"/>
          <w:b/>
          <w:bCs/>
          <w:color w:val="1F3864"/>
          <w:sz w:val="32"/>
          <w:szCs w:val="32"/>
        </w:rPr>
        <w:t xml:space="preserve">1. Project Overview &amp; Problem Statement</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Fictional company notice: Niger Delta Petroleum Producing Company (NDPPC) is a fictional company invented solely for this training exercise. Every site, employee, incident, observation, environmental reading, and training record in this package is synthetic and randomly generated for teaching purposes only - none of it describes any real company, person, or event.</w:t>
      </w:r>
    </w:p>
    <w:p>
      <w:pPr>
        <w:spacing w:after="120"/>
      </w:pPr>
      <w:r>
        <w:rPr>
          <w:rFonts w:ascii="Calibri" w:cs="Calibri" w:eastAsia="Calibri" w:hAnsi="Calibri"/>
          <w:sz w:val="22"/>
          <w:szCs w:val="22"/>
        </w:rPr>
        <w:t xml:space="preserve">Organizations running physical operations (refineries, tank farms, offshore platforms, flow stations, gas plants, and logistics bases) generate large volumes of Health, Safety, and Environment (HSE) data every single day: incidents, near misses, safety observations, environmental readings, and training records. In most organizations, this data exists but is scattered across spreadsheets, paper forms, and disconnected systems - which means leadership cannot easily answer basic but critical questions: Are we getting safer or more dangerous? Which site needs urgent attention? Are we compliant with environmental limits? Is our workforce adequately trained?</w:t>
      </w:r>
    </w:p>
    <w:p>
      <w:pPr>
        <w:spacing w:after="120"/>
      </w:pPr>
      <w:r>
        <w:rPr>
          <w:rFonts w:ascii="Calibri" w:cs="Calibri" w:eastAsia="Calibri" w:hAnsi="Calibri"/>
          <w:sz w:val="22"/>
          <w:szCs w:val="22"/>
        </w:rPr>
        <w:t xml:space="preserve">This training project exists to teach exactly how a Power BI developer solves that problem end to end, using a fictional Niger Delta oil and gas producer, NDPPC, as the training scenario: starting from a raw, multi-table dataset, through data cleaning, data modeling, DAX measure design, and finally a polished, multi-page executive dashboard. The project is intentionally built around a realistic star-schema dataset with three dimension tables and four fact tables, so every concept a professional Power BI developer needs - cardinality, relationship direction, inactive relationships, time intelligence, and industry-standard safety KPIs - is represented at least once.</w:t>
      </w:r>
    </w:p>
    <w:p>
      <w:pPr>
        <w:pStyle w:val="Heading2"/>
        <w:spacing w:after="140" w:before="280"/>
      </w:pPr>
      <w:r>
        <w:rPr>
          <w:rFonts w:ascii="Calibri" w:cs="Calibri" w:eastAsia="Calibri" w:hAnsi="Calibri"/>
          <w:b/>
          <w:bCs/>
          <w:color w:val="0E7C7B"/>
          <w:sz w:val="26"/>
          <w:szCs w:val="26"/>
        </w:rPr>
        <w:t xml:space="preserve">The Problems This Project Solves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Problem 1: Raw HSE data lives across multiple disconnected tables and must be modeled correctly before it can be trusted in any report.</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Problem 2: Standard HSE performance measures (LTIFR, TRIR, Severity Rate) are industry-specific ratios that must be built correctly in DAX, not assumed to exist as raw columns.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Problem 3: A training-expiry date and a training-delivery date both need to relate to the same calendar table, which runs directly into Power BI's one-active-relationship-per-table-pair rule.</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Problem 4: Leadership needs a small number of trustworthy KPI numbers on one page, while HSE managers need much deeper root-cause detail on other pages - one flat report cannot serve both audiences well.</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Problem 5: Every chart in a professional dashboard must be deliberately chosen for a reason, not simply because a chart type looks appealing - each visual in this project is justified with a documented 'why'.</w:t>
      </w:r>
    </w:p>
    <w:p>
      <w:pPr>
        <w:pStyle w:val="Heading2"/>
        <w:spacing w:after="140" w:before="280"/>
      </w:pPr>
      <w:r>
        <w:rPr>
          <w:rFonts w:ascii="Calibri" w:cs="Calibri" w:eastAsia="Calibri" w:hAnsi="Calibri"/>
          <w:b/>
          <w:bCs/>
          <w:color w:val="0E7C7B"/>
          <w:sz w:val="26"/>
          <w:szCs w:val="26"/>
        </w:rPr>
        <w:t xml:space="preserve">The Solution Approach, In Brief</w:t>
      </w:r>
    </w:p>
    <w:p>
      <w:pPr>
        <w:spacing w:after="120"/>
      </w:pPr>
      <w:r>
        <w:rPr>
          <w:rFonts w:ascii="Calibri" w:cs="Calibri" w:eastAsia="Calibri" w:hAnsi="Calibri"/>
          <w:sz w:val="22"/>
          <w:szCs w:val="22"/>
        </w:rPr>
        <w:t xml:space="preserve">The remainder of this document walks through the full solution in the same order a real project would follow: understanding and cleaning the data (Section 3), building the data model with correct cardinality and relationships (Section 4), writing every DAX measure with a full line-by-line explanation (Section 5), and finally designing and building a five-page Power BI report (Section 6). Section 2 documents every single column across all seven tables, since a dashboard is only as trustworthy as the analyst's understanding of the data behind it.</w:t>
      </w:r>
    </w:p>
    <w:p>
      <w:pPr>
        <w:pStyle w:val="Heading1"/>
        <w:pBdr>
          <w:bottom w:val="single" w:color="0E7C7B" w:sz="12" w:space="4"/>
        </w:pBdr>
        <w:spacing w:after="200" w:before="360"/>
      </w:pPr>
      <w:r>
        <w:rPr>
          <w:rFonts w:ascii="Calibri" w:cs="Calibri" w:eastAsia="Calibri" w:hAnsi="Calibri"/>
          <w:b/>
          <w:bCs/>
          <w:color w:val="1F3864"/>
          <w:sz w:val="32"/>
          <w:szCs w:val="32"/>
        </w:rPr>
        <w:t xml:space="preserve">2. Dataset Structure &amp; Full Data Dictionary</w:t>
      </w:r>
    </w:p>
    <w:p>
      <w:pPr>
        <w:spacing w:after="120"/>
      </w:pPr>
      <w:r>
        <w:rPr>
          <w:rFonts w:ascii="Calibri" w:cs="Calibri" w:eastAsia="Calibri" w:hAnsi="Calibri"/>
          <w:sz w:val="22"/>
          <w:szCs w:val="22"/>
        </w:rPr>
        <w:t xml:space="preserve">The dataset (NDPPC_HSE_Training_Dataset.xlsx) is organized as a star schema: three dimension tables (dim_Date, dim_Site, dim_Employee) surrounding four fact tables (fact_Incidents, fact_Observations, fact_Environmental, fact_Training). The table below summarizes the shape of the model before the column-by-column dictionary that follows.</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22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Table</w:t>
            </w:r>
          </w:p>
        </w:tc>
        <w:tc>
          <w:tcPr>
            <w:tcW w:type="dxa" w:w="14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2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Rows</w:t>
            </w:r>
          </w:p>
        </w:tc>
        <w:tc>
          <w:tcPr>
            <w:tcW w:type="dxa" w:w="42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400"/>
            <w:shd w:fill="FFFFFF" w:val="clear"/>
            <w:tcMar>
              <w:top w:type="dxa" w:w="50"/>
              <w:left w:type="dxa" w:w="100"/>
              <w:bottom w:type="dxa" w:w="50"/>
              <w:right w:type="dxa" w:w="100"/>
            </w:tcMar>
          </w:tcPr>
          <w:p>
            <w:r>
              <w:rPr>
                <w:rFonts w:ascii="Calibri" w:cs="Calibri" w:eastAsia="Calibri" w:hAnsi="Calibri"/>
                <w:sz w:val="18"/>
                <w:szCs w:val="18"/>
              </w:rPr>
              <w:t xml:space="preserve">Dimension</w:t>
            </w:r>
          </w:p>
        </w:tc>
        <w:tc>
          <w:tcPr>
            <w:tcW w:type="dxa" w:w="1200"/>
            <w:shd w:fill="FFFFFF" w:val="clear"/>
            <w:tcMar>
              <w:top w:type="dxa" w:w="50"/>
              <w:left w:type="dxa" w:w="100"/>
              <w:bottom w:type="dxa" w:w="50"/>
              <w:right w:type="dxa" w:w="100"/>
            </w:tcMar>
          </w:tcPr>
          <w:p>
            <w:r>
              <w:rPr>
                <w:rFonts w:ascii="Calibri" w:cs="Calibri" w:eastAsia="Calibri" w:hAnsi="Calibri"/>
                <w:sz w:val="18"/>
                <w:szCs w:val="18"/>
              </w:rPr>
              <w:t xml:space="preserve">731</w:t>
            </w:r>
          </w:p>
        </w:tc>
        <w:tc>
          <w:tcPr>
            <w:tcW w:type="dxa" w:w="4200"/>
            <w:shd w:fill="FFFFFF" w:val="clear"/>
            <w:tcMar>
              <w:top w:type="dxa" w:w="50"/>
              <w:left w:type="dxa" w:w="100"/>
              <w:bottom w:type="dxa" w:w="50"/>
              <w:right w:type="dxa" w:w="100"/>
            </w:tcMar>
          </w:tcPr>
          <w:p>
            <w:r>
              <w:rPr>
                <w:rFonts w:ascii="Calibri" w:cs="Calibri" w:eastAsia="Calibri" w:hAnsi="Calibri"/>
                <w:sz w:val="18"/>
                <w:szCs w:val="18"/>
              </w:rPr>
              <w:t xml:space="preserve">Calendar table, 2023-01-01 to 2024-12-31</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dim_Site</w:t>
            </w:r>
          </w:p>
        </w:tc>
        <w:tc>
          <w:tcPr>
            <w:tcW w:type="dxa" w:w="1400"/>
            <w:shd w:fill="F4F6F8" w:val="clear"/>
            <w:tcMar>
              <w:top w:type="dxa" w:w="50"/>
              <w:left w:type="dxa" w:w="100"/>
              <w:bottom w:type="dxa" w:w="50"/>
              <w:right w:type="dxa" w:w="100"/>
            </w:tcMar>
          </w:tcPr>
          <w:p>
            <w:r>
              <w:rPr>
                <w:rFonts w:ascii="Calibri" w:cs="Calibri" w:eastAsia="Calibri" w:hAnsi="Calibri"/>
                <w:sz w:val="18"/>
                <w:szCs w:val="18"/>
              </w:rPr>
              <w:t xml:space="preserve">Dimension</w:t>
            </w:r>
          </w:p>
        </w:tc>
        <w:tc>
          <w:tcPr>
            <w:tcW w:type="dxa" w:w="1200"/>
            <w:shd w:fill="F4F6F8" w:val="clear"/>
            <w:tcMar>
              <w:top w:type="dxa" w:w="50"/>
              <w:left w:type="dxa" w:w="100"/>
              <w:bottom w:type="dxa" w:w="50"/>
              <w:right w:type="dxa" w:w="100"/>
            </w:tcMar>
          </w:tcPr>
          <w:p>
            <w:r>
              <w:rPr>
                <w:rFonts w:ascii="Calibri" w:cs="Calibri" w:eastAsia="Calibri" w:hAnsi="Calibri"/>
                <w:sz w:val="18"/>
                <w:szCs w:val="18"/>
              </w:rPr>
              <w:t xml:space="preserve">12</w:t>
            </w:r>
          </w:p>
        </w:tc>
        <w:tc>
          <w:tcPr>
            <w:tcW w:type="dxa" w:w="4200"/>
            <w:shd w:fill="F4F6F8" w:val="clear"/>
            <w:tcMar>
              <w:top w:type="dxa" w:w="50"/>
              <w:left w:type="dxa" w:w="100"/>
              <w:bottom w:type="dxa" w:w="50"/>
              <w:right w:type="dxa" w:w="100"/>
            </w:tcMar>
          </w:tcPr>
          <w:p>
            <w:r>
              <w:rPr>
                <w:rFonts w:ascii="Calibri" w:cs="Calibri" w:eastAsia="Calibri" w:hAnsi="Calibri"/>
                <w:sz w:val="18"/>
                <w:szCs w:val="18"/>
              </w:rPr>
              <w:t xml:space="preserve">Company operating sites/locations</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dim_Employee</w:t>
            </w:r>
          </w:p>
        </w:tc>
        <w:tc>
          <w:tcPr>
            <w:tcW w:type="dxa" w:w="1400"/>
            <w:shd w:fill="FFFFFF" w:val="clear"/>
            <w:tcMar>
              <w:top w:type="dxa" w:w="50"/>
              <w:left w:type="dxa" w:w="100"/>
              <w:bottom w:type="dxa" w:w="50"/>
              <w:right w:type="dxa" w:w="100"/>
            </w:tcMar>
          </w:tcPr>
          <w:p>
            <w:r>
              <w:rPr>
                <w:rFonts w:ascii="Calibri" w:cs="Calibri" w:eastAsia="Calibri" w:hAnsi="Calibri"/>
                <w:sz w:val="18"/>
                <w:szCs w:val="18"/>
              </w:rPr>
              <w:t xml:space="preserve">Dimension</w:t>
            </w:r>
          </w:p>
        </w:tc>
        <w:tc>
          <w:tcPr>
            <w:tcW w:type="dxa" w:w="1200"/>
            <w:shd w:fill="FFFFFF" w:val="clear"/>
            <w:tcMar>
              <w:top w:type="dxa" w:w="50"/>
              <w:left w:type="dxa" w:w="100"/>
              <w:bottom w:type="dxa" w:w="50"/>
              <w:right w:type="dxa" w:w="100"/>
            </w:tcMar>
          </w:tcPr>
          <w:p>
            <w:r>
              <w:rPr>
                <w:rFonts w:ascii="Calibri" w:cs="Calibri" w:eastAsia="Calibri" w:hAnsi="Calibri"/>
                <w:sz w:val="18"/>
                <w:szCs w:val="18"/>
              </w:rPr>
              <w:t xml:space="preserve">320</w:t>
            </w:r>
          </w:p>
        </w:tc>
        <w:tc>
          <w:tcPr>
            <w:tcW w:type="dxa" w:w="4200"/>
            <w:shd w:fill="FFFFFF" w:val="clear"/>
            <w:tcMar>
              <w:top w:type="dxa" w:w="50"/>
              <w:left w:type="dxa" w:w="100"/>
              <w:bottom w:type="dxa" w:w="50"/>
              <w:right w:type="dxa" w:w="100"/>
            </w:tcMar>
          </w:tcPr>
          <w:p>
            <w:r>
              <w:rPr>
                <w:rFonts w:ascii="Calibri" w:cs="Calibri" w:eastAsia="Calibri" w:hAnsi="Calibri"/>
                <w:sz w:val="18"/>
                <w:szCs w:val="18"/>
              </w:rPr>
              <w:t xml:space="preserve">Employee master data</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fact_Incidents</w:t>
            </w:r>
          </w:p>
        </w:tc>
        <w:tc>
          <w:tcPr>
            <w:tcW w:type="dxa" w:w="1400"/>
            <w:shd w:fill="F4F6F8" w:val="clear"/>
            <w:tcMar>
              <w:top w:type="dxa" w:w="50"/>
              <w:left w:type="dxa" w:w="100"/>
              <w:bottom w:type="dxa" w:w="50"/>
              <w:right w:type="dxa" w:w="100"/>
            </w:tcMar>
          </w:tcPr>
          <w:p>
            <w:r>
              <w:rPr>
                <w:rFonts w:ascii="Calibri" w:cs="Calibri" w:eastAsia="Calibri" w:hAnsi="Calibri"/>
                <w:sz w:val="18"/>
                <w:szCs w:val="18"/>
              </w:rPr>
              <w:t xml:space="preserve">Fact</w:t>
            </w:r>
          </w:p>
        </w:tc>
        <w:tc>
          <w:tcPr>
            <w:tcW w:type="dxa" w:w="1200"/>
            <w:shd w:fill="F4F6F8" w:val="clear"/>
            <w:tcMar>
              <w:top w:type="dxa" w:w="50"/>
              <w:left w:type="dxa" w:w="100"/>
              <w:bottom w:type="dxa" w:w="50"/>
              <w:right w:type="dxa" w:w="100"/>
            </w:tcMar>
          </w:tcPr>
          <w:p>
            <w:r>
              <w:rPr>
                <w:rFonts w:ascii="Calibri" w:cs="Calibri" w:eastAsia="Calibri" w:hAnsi="Calibri"/>
                <w:sz w:val="18"/>
                <w:szCs w:val="18"/>
              </w:rPr>
              <w:t xml:space="preserve">4,200</w:t>
            </w:r>
          </w:p>
        </w:tc>
        <w:tc>
          <w:tcPr>
            <w:tcW w:type="dxa" w:w="4200"/>
            <w:shd w:fill="F4F6F8" w:val="clear"/>
            <w:tcMar>
              <w:top w:type="dxa" w:w="50"/>
              <w:left w:type="dxa" w:w="100"/>
              <w:bottom w:type="dxa" w:w="50"/>
              <w:right w:type="dxa" w:w="100"/>
            </w:tcMar>
          </w:tcPr>
          <w:p>
            <w:r>
              <w:rPr>
                <w:rFonts w:ascii="Calibri" w:cs="Calibri" w:eastAsia="Calibri" w:hAnsi="Calibri"/>
                <w:sz w:val="18"/>
                <w:szCs w:val="18"/>
              </w:rPr>
              <w:t xml:space="preserve">HSE incident log - the core fact table</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fact_Observations</w:t>
            </w:r>
          </w:p>
        </w:tc>
        <w:tc>
          <w:tcPr>
            <w:tcW w:type="dxa" w:w="1400"/>
            <w:shd w:fill="FFFFFF" w:val="clear"/>
            <w:tcMar>
              <w:top w:type="dxa" w:w="50"/>
              <w:left w:type="dxa" w:w="100"/>
              <w:bottom w:type="dxa" w:w="50"/>
              <w:right w:type="dxa" w:w="100"/>
            </w:tcMar>
          </w:tcPr>
          <w:p>
            <w:r>
              <w:rPr>
                <w:rFonts w:ascii="Calibri" w:cs="Calibri" w:eastAsia="Calibri" w:hAnsi="Calibri"/>
                <w:sz w:val="18"/>
                <w:szCs w:val="18"/>
              </w:rPr>
              <w:t xml:space="preserve">Fact</w:t>
            </w:r>
          </w:p>
        </w:tc>
        <w:tc>
          <w:tcPr>
            <w:tcW w:type="dxa" w:w="1200"/>
            <w:shd w:fill="FFFFFF" w:val="clear"/>
            <w:tcMar>
              <w:top w:type="dxa" w:w="50"/>
              <w:left w:type="dxa" w:w="100"/>
              <w:bottom w:type="dxa" w:w="50"/>
              <w:right w:type="dxa" w:w="100"/>
            </w:tcMar>
          </w:tcPr>
          <w:p>
            <w:r>
              <w:rPr>
                <w:rFonts w:ascii="Calibri" w:cs="Calibri" w:eastAsia="Calibri" w:hAnsi="Calibri"/>
                <w:sz w:val="18"/>
                <w:szCs w:val="18"/>
              </w:rPr>
              <w:t xml:space="preserve">2,600</w:t>
            </w:r>
          </w:p>
        </w:tc>
        <w:tc>
          <w:tcPr>
            <w:tcW w:type="dxa" w:w="4200"/>
            <w:shd w:fill="FFFFFF" w:val="clear"/>
            <w:tcMar>
              <w:top w:type="dxa" w:w="50"/>
              <w:left w:type="dxa" w:w="100"/>
              <w:bottom w:type="dxa" w:w="50"/>
              <w:right w:type="dxa" w:w="100"/>
            </w:tcMar>
          </w:tcPr>
          <w:p>
            <w:r>
              <w:rPr>
                <w:rFonts w:ascii="Calibri" w:cs="Calibri" w:eastAsia="Calibri" w:hAnsi="Calibri"/>
                <w:sz w:val="18"/>
                <w:szCs w:val="18"/>
              </w:rPr>
              <w:t xml:space="preserve">Behaviour-based safety (BBS) observations</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fact_Environmental</w:t>
            </w:r>
          </w:p>
        </w:tc>
        <w:tc>
          <w:tcPr>
            <w:tcW w:type="dxa" w:w="1400"/>
            <w:shd w:fill="F4F6F8" w:val="clear"/>
            <w:tcMar>
              <w:top w:type="dxa" w:w="50"/>
              <w:left w:type="dxa" w:w="100"/>
              <w:bottom w:type="dxa" w:w="50"/>
              <w:right w:type="dxa" w:w="100"/>
            </w:tcMar>
          </w:tcPr>
          <w:p>
            <w:r>
              <w:rPr>
                <w:rFonts w:ascii="Calibri" w:cs="Calibri" w:eastAsia="Calibri" w:hAnsi="Calibri"/>
                <w:sz w:val="18"/>
                <w:szCs w:val="18"/>
              </w:rPr>
              <w:t xml:space="preserve">Fact</w:t>
            </w:r>
          </w:p>
        </w:tc>
        <w:tc>
          <w:tcPr>
            <w:tcW w:type="dxa" w:w="1200"/>
            <w:shd w:fill="F4F6F8" w:val="clear"/>
            <w:tcMar>
              <w:top w:type="dxa" w:w="50"/>
              <w:left w:type="dxa" w:w="100"/>
              <w:bottom w:type="dxa" w:w="50"/>
              <w:right w:type="dxa" w:w="100"/>
            </w:tcMar>
          </w:tcPr>
          <w:p>
            <w:r>
              <w:rPr>
                <w:rFonts w:ascii="Calibri" w:cs="Calibri" w:eastAsia="Calibri" w:hAnsi="Calibri"/>
                <w:sz w:val="18"/>
                <w:szCs w:val="18"/>
              </w:rPr>
              <w:t xml:space="preserve">2,000</w:t>
            </w:r>
          </w:p>
        </w:tc>
        <w:tc>
          <w:tcPr>
            <w:tcW w:type="dxa" w:w="4200"/>
            <w:shd w:fill="F4F6F8" w:val="clear"/>
            <w:tcMar>
              <w:top w:type="dxa" w:w="50"/>
              <w:left w:type="dxa" w:w="100"/>
              <w:bottom w:type="dxa" w:w="50"/>
              <w:right w:type="dxa" w:w="100"/>
            </w:tcMar>
          </w:tcPr>
          <w:p>
            <w:r>
              <w:rPr>
                <w:rFonts w:ascii="Calibri" w:cs="Calibri" w:eastAsia="Calibri" w:hAnsi="Calibri"/>
                <w:sz w:val="18"/>
                <w:szCs w:val="18"/>
              </w:rPr>
              <w:t xml:space="preserve">Environmental monitoring readings</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fact_Training</w:t>
            </w:r>
          </w:p>
        </w:tc>
        <w:tc>
          <w:tcPr>
            <w:tcW w:type="dxa" w:w="1400"/>
            <w:shd w:fill="FFFFFF" w:val="clear"/>
            <w:tcMar>
              <w:top w:type="dxa" w:w="50"/>
              <w:left w:type="dxa" w:w="100"/>
              <w:bottom w:type="dxa" w:w="50"/>
              <w:right w:type="dxa" w:w="100"/>
            </w:tcMar>
          </w:tcPr>
          <w:p>
            <w:r>
              <w:rPr>
                <w:rFonts w:ascii="Calibri" w:cs="Calibri" w:eastAsia="Calibri" w:hAnsi="Calibri"/>
                <w:sz w:val="18"/>
                <w:szCs w:val="18"/>
              </w:rPr>
              <w:t xml:space="preserve">Fact</w:t>
            </w:r>
          </w:p>
        </w:tc>
        <w:tc>
          <w:tcPr>
            <w:tcW w:type="dxa" w:w="1200"/>
            <w:shd w:fill="FFFFFF" w:val="clear"/>
            <w:tcMar>
              <w:top w:type="dxa" w:w="50"/>
              <w:left w:type="dxa" w:w="100"/>
              <w:bottom w:type="dxa" w:w="50"/>
              <w:right w:type="dxa" w:w="100"/>
            </w:tcMar>
          </w:tcPr>
          <w:p>
            <w:r>
              <w:rPr>
                <w:rFonts w:ascii="Calibri" w:cs="Calibri" w:eastAsia="Calibri" w:hAnsi="Calibri"/>
                <w:sz w:val="18"/>
                <w:szCs w:val="18"/>
              </w:rPr>
              <w:t xml:space="preserve">1,800</w:t>
            </w:r>
          </w:p>
        </w:tc>
        <w:tc>
          <w:tcPr>
            <w:tcW w:type="dxa" w:w="4200"/>
            <w:shd w:fill="FFFFFF" w:val="clear"/>
            <w:tcMar>
              <w:top w:type="dxa" w:w="50"/>
              <w:left w:type="dxa" w:w="100"/>
              <w:bottom w:type="dxa" w:w="50"/>
              <w:right w:type="dxa" w:w="100"/>
            </w:tcMar>
          </w:tcPr>
          <w:p>
            <w:r>
              <w:rPr>
                <w:rFonts w:ascii="Calibri" w:cs="Calibri" w:eastAsia="Calibri" w:hAnsi="Calibri"/>
                <w:sz w:val="18"/>
                <w:szCs w:val="18"/>
              </w:rPr>
              <w:t xml:space="preserve">Training and certification records</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dim_Date  (13 columns)</w:t>
      </w:r>
    </w:p>
    <w:p>
      <w:pPr>
        <w:spacing w:after="120"/>
      </w:pPr>
      <w:r>
        <w:rPr>
          <w:rFonts w:ascii="Calibri" w:cs="Calibri" w:eastAsia="Calibri" w:hAnsi="Calibri"/>
          <w:sz w:val="22"/>
          <w:szCs w:val="22"/>
        </w:rPr>
        <w:t xml:space="preserve">The calendar backbone of the entire model. Every fact table joins to it, and it must be marked as the official Date Table for time intelligence to work.</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 (YYYYMMDD)</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Surrogate key for the date table, formatted as an 8-digit integer. Used as the join key from every fact table to dim_Date.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20230115</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Date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Date</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actual calendar date in Date format. This is the column marked as the official 'Date Table' in Power BI.</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2023-01-15</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Year</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Calendar year extracted from Date. Used for year-over-year comparisons and year slicers.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Quarter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Calendar quarter label (Q1-Q4), independent of year.</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Q1</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YearQuarter</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Concatenation of Year and Quarter for sorting/labeling on axes without ambiguity across years.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2023-Q1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MonthNumber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Numeric month (1-12), used to sort MonthName/MonthShort correctly in visuals.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1</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MonthName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Full month name, used as an axis/legend label.</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January</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MonthShort</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Abbreviated 3-letter month name for compact chart axes.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Jan</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YearMonth</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Year-Month text key (YYYY-MM), useful for continuous time-series axes across years.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WeekOfYear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ISO week number (1-53), used for weekly trend analysis.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3</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DayOfWeekName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Full weekday name, used to analyze incident patterns by day of week.</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Sunday</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DayOfWeekNumber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Numeric weekday (Monday = 1 ... Sunday = 7), used to sort DayOfWeekName correctly.</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7</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IsWeekend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Boolean (TRUE/FALSE)</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Flags Saturday/Sunday. Useful for a DAX measure comparing weekday vs weekend incident rates.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TRUE</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dim_Site  (8 columns)</w:t>
      </w:r>
    </w:p>
    <w:p>
      <w:pPr>
        <w:spacing w:after="120"/>
      </w:pPr>
      <w:r>
        <w:rPr>
          <w:rFonts w:ascii="Calibri" w:cs="Calibri" w:eastAsia="Calibri" w:hAnsi="Calibri"/>
          <w:sz w:val="22"/>
          <w:szCs w:val="22"/>
        </w:rPr>
        <w:t xml:space="preserve">One row per operating site/location. Sites are the geographic/organizational grouping used throughout the dashboard.</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of the 12 operating sites. Primary key of dim_Site; joined to every fact table.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S01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SiteName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Full descriptive name of the site.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NDPPC Bonny Export Terminal</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Region</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Nigerian state/region in which the site is located, used for geographic (map) visuals.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Lagos</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Country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Country of operation (all sites are in Nigeria in this dataset, included for completeness/scalability).</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Nigeria</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SiteType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Category describing the nature of the site's operations (Refinery, Warehouse, Office, etc.). Useful for grouping/slicing.</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Refinery</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SiteManager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Name of the manager responsible for HSE performance at that site.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Adaeze Okonkwo</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YearOpened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Year the site began operating; can be used to compute site age.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2018</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EmployeeCount</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Total number of employees assigned to that site (calculated from dim_Employee), used for per-capita safety metrics (e.g., incidents per 100 employees).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28</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dim_Employee  (11 columns)</w:t>
      </w:r>
    </w:p>
    <w:p>
      <w:pPr>
        <w:spacing w:after="120"/>
      </w:pPr>
      <w:r>
        <w:rPr>
          <w:rFonts w:ascii="Calibri" w:cs="Calibri" w:eastAsia="Calibri" w:hAnsi="Calibri"/>
          <w:sz w:val="22"/>
          <w:szCs w:val="22"/>
        </w:rPr>
        <w:t xml:space="preserve">One row per employee, linked to the site where they are based. Feeds incident, observation, and training analysis by person, department, and employment type.</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employee. Primary key of dim_Employee; referenced from fact_Incidents, fact_Observations, and fact_Training.</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E0001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FullName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Employee's full name.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Chinedu Okonkwo</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Gender</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Male/Female, used for demographic-based safety analysis.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Male</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DateOfBirth</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Date</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Date of birth, used to calculate age (Age is deliberately NOT pre-calculated - students should build it with DAX).</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1988-04-12</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HireDate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Date</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Date the employee joined the company, used to calculate tenure and analyze whether newer employees have higher incident rates.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2019-03-01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Department</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Functional department the employee belongs to (Operations, Maintenance, HSE, etc.).</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Operations</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JobTitle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Specific job title within the department.</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Operations Technician</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Links the employee to the site they are based at (many-to-one to dim_Site).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S01</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EmploymentType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Permanent, Contractor, or Temporary. Used to test whether contractors have different incident rates than permanent staff.</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Permanent</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SafetyTrainingLevel</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Employee's current overall safety training tier (Basic/Intermediate/Advanced), independent of the detailed fact_Training log.</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Intermediate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SupervisorName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Name of the employee's direct supervisor.</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Bello A.</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fact_Incidents  (20 columns)</w:t>
      </w:r>
    </w:p>
    <w:p>
      <w:pPr>
        <w:spacing w:after="120"/>
      </w:pPr>
      <w:r>
        <w:rPr>
          <w:rFonts w:ascii="Calibri" w:cs="Calibri" w:eastAsia="Calibri" w:hAnsi="Calibri"/>
          <w:sz w:val="22"/>
          <w:szCs w:val="22"/>
        </w:rPr>
        <w:t xml:space="preserve">The core HSE incident log, and the largest and most heavily used fact table in the model.</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IncidentID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HSE incident record. Primary key of the fact table.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INC00001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Links the incident to the date it occurred, joined to dim_Date.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20230115</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site at which the incident occurred, joined to dim_Site.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S01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Department</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Department of the person/area involved (denormalized copy for quick filtering even when EmployeeID is blank).</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Operations</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(Foreign Key, nullable)</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employee involved in the incident, joined to dim_Employee. Blank for incidents with no specific individual involved (e.g., some environmental spills).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E0102</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ContractorInvolved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(Yes/No)</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Whether a contractor (rather than a permanent staff member) was involved.</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No</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IncidentType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classification of the incident using standard HSE incident pyramid categories (Near Miss, First Aid Case, Medical Treatment Case, Restricted Work Case, Lost Time Injury, Fatality, Property Damage, Environmental Spill, Fire/Explosion).</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Near Miss</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IncidentCategory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Broad causal classification (Unsafe Act, Unsafe Condition, Equipment Failure, Process Safety Deviation, Natural Cause).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Unsafe Act</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Severity</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Severity rating of the incident (Low, Medium, High, Critical), independent of IncidentType, used for risk-weighted analysis.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Medium</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BodyPartAffected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Body part injured, where applicable ('Not Applicable' for property/environmental incidents).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Hand/Fingers</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RootCause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underlying root cause identified during investigation.</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Inadequate Training</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ImmediateCause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direct mechanism of the incident (Slip/Trip/Fall, Struck By Object, etc.).</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Slip/Trip/Fall</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DaysLost</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Number of workdays lost due to the incident (0 for incidents with no lost time).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5</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InvestigationStatus</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Current status of the incident investigation (Open, In Progress, Closed).</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Closed</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CorrectiveActionStatus</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Status of the corrective/preventive action raised from the incident (Not Started, In Progress, Completed, Overdue).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Completed</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EstimatedCostUSD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Estimated financial cost of the incident in USD (medical, downtime, repair, etc.).</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2450.75</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ShiftType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Shift during which the incident occurred (Day, Night, Rotating).</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Night</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WeatherCondition</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Weather condition at the time of the incident, relevant for outdoor/offshore sites.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Rain</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ReportedBy</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Role of the person who reported the incident.</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Shift Supervisor</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DateClosed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Date (nullable)</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Date the investigation was formally closed; blank if still open. Used to calculate investigation closure time.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2023-02-01</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fact_Observations  (9 columns)</w:t>
      </w:r>
    </w:p>
    <w:p>
      <w:pPr>
        <w:spacing w:after="120"/>
      </w:pPr>
      <w:r>
        <w:rPr>
          <w:rFonts w:ascii="Calibri" w:cs="Calibri" w:eastAsia="Calibri" w:hAnsi="Calibri"/>
          <w:sz w:val="22"/>
          <w:szCs w:val="22"/>
        </w:rPr>
        <w:t xml:space="preserve">Behaviour-based safety (BBS) field observations - the leading-indicator counterpart to the lagging incident data.</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ObservationID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safety observation (behaviour-based safety / BBS) record.</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OBS00001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Date the observation was conducted, joined to dim_Date.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20230201</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Site where the observation took place, joined to dim_Site.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S02</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ObserverEmployeeID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employee (usually HSE staff) who conducted the observation, joined to dim_Employee.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E0045</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ObservationType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Whether the observed behaviour was Safe Behavior or At-Risk Behavior.</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At-Risk Behavior</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Category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safety topic being observed (PPE Usage, Housekeeping, Tool &amp; Equipment Use, etc.).</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PPE Usage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ActionTaken</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Action taken as a result of the observation.</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Immediate Correction</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RiskRating</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Risk level assigned to an at-risk observation (Low, Medium, High); Low by default for safe behaviors.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Medium</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Score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 (1-10)</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A numeric safety score assigned to the observation, higher is better; used to compute average safety-behavior score trends.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8</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fact_Environmental  (8 columns)</w:t>
      </w:r>
    </w:p>
    <w:p>
      <w:pPr>
        <w:spacing w:after="120"/>
      </w:pPr>
      <w:r>
        <w:rPr>
          <w:rFonts w:ascii="Calibri" w:cs="Calibri" w:eastAsia="Calibri" w:hAnsi="Calibri"/>
          <w:sz w:val="22"/>
          <w:szCs w:val="22"/>
        </w:rPr>
        <w:t xml:space="preserve">Environmental monitoring readings measured against internal/regulatory compliance limits.</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MonitoringID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environmental monitoring reading.</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ENV00001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Date of the reading, joined to dim_Date.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20230110</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Site where the reading was taken, joined to dim_Site.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S03</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ParameterType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environmental parameter measured (CO2 Emissions, Water Consumption, Waste Generated, Energy Consumption, Effluent Discharge, Noise Level).</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CO2 Emissions</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Value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measured value of the parameter, in the stated Unit.</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612.4</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Unit</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Unit of measurement for Value (Metric Tons, Cubic Meters, MWh, dB(A)).</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Metric Tons</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ComplianceLimit</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regulatory/internal limit for that parameter, used to calculate variance-to-limit.</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500</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ComplianceStatus</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Whether the reading was Compliant, Non-Compliant, or Under Review relative to ComplianceLimit.</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Non-Compliant</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fact_Training  (9 columns)</w:t>
      </w:r>
    </w:p>
    <w:p>
      <w:pPr>
        <w:spacing w:after="120"/>
      </w:pPr>
      <w:r>
        <w:rPr>
          <w:rFonts w:ascii="Calibri" w:cs="Calibri" w:eastAsia="Calibri" w:hAnsi="Calibri"/>
          <w:sz w:val="22"/>
          <w:szCs w:val="22"/>
        </w:rPr>
        <w:t xml:space="preserve">Training delivery and certification records, including the two-date (delivery / expiry) relationship challenge.</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TrainingID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training/certification record.</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TRN00001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employee who attended the training, joined to dim_Employee.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E0010</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Date the training was delivered, joined to dim_Date.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20230305</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TrainingCourse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Name of the HSE training course delivered.</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Working at Height</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TrainerName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Name of the facilitator who delivered the training.</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Engr. A. Yusuf</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Score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 (0-100)</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Assessment score achieved by the employee.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82</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ResultStatus</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Pass/Fail outcome, derived from Score (Pass if Score &gt;= 60).</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Pass</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ExpiryDateKey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 (Foreign Key, nullable)</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Date key on which the certification expires (one year after training), joined to dim_Date for expiry-tracking visuals.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20240305</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CertificationStatus</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Current certification status relative to today's date context (Valid, Expiring Soon, Expired).</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Valid</w:t>
            </w:r>
          </w:p>
        </w:tc>
      </w:tr>
    </w:tbl>
    <w:p>
      <w:pPr>
        <w:spacing w:after="120"/>
      </w:pPr>
      <w:r>
        <w:rPr>
          <w:rFonts w:ascii="Calibri" w:cs="Calibri" w:eastAsia="Calibri" w:hAnsi="Calibri"/>
          <w:sz w:val="22"/>
          <w:szCs w:val="22"/>
        </w:rPr>
        <w:t xml:space="preserve"/>
      </w:r>
    </w:p>
    <w:p>
      <w:pPr>
        <w:pStyle w:val="Heading1"/>
        <w:pBdr>
          <w:bottom w:val="single" w:color="0E7C7B" w:sz="12" w:space="4"/>
        </w:pBdr>
        <w:spacing w:after="200" w:before="360"/>
      </w:pPr>
      <w:r>
        <w:rPr>
          <w:rFonts w:ascii="Calibri" w:cs="Calibri" w:eastAsia="Calibri" w:hAnsi="Calibri"/>
          <w:b/>
          <w:bCs/>
          <w:color w:val="1F3864"/>
          <w:sz w:val="32"/>
          <w:szCs w:val="32"/>
        </w:rPr>
        <w:t xml:space="preserve">3. Data Loading &amp; Power Query Cleaning</w:t>
      </w:r>
    </w:p>
    <w:p>
      <w:pPr>
        <w:pStyle w:val="Heading2"/>
        <w:spacing w:after="140" w:before="280"/>
      </w:pPr>
      <w:r>
        <w:rPr>
          <w:rFonts w:ascii="Calibri" w:cs="Calibri" w:eastAsia="Calibri" w:hAnsi="Calibri"/>
          <w:b/>
          <w:bCs/>
          <w:color w:val="0E7C7B"/>
          <w:sz w:val="26"/>
          <w:szCs w:val="26"/>
        </w:rPr>
        <w:t xml:space="preserve">Connecting to the Source Workbook</w:t>
      </w:r>
    </w:p>
    <w:p>
      <w:pPr>
        <w:pStyle w:val="ListParagraph"/>
        <w:numPr>
          <w:ilvl w:val="0"/>
          <w:numId w:val="1"/>
        </w:numPr>
        <w:spacing w:after="80"/>
      </w:pPr>
      <w:r>
        <w:rPr>
          <w:rFonts w:ascii="Calibri" w:cs="Calibri" w:eastAsia="Calibri" w:hAnsi="Calibri"/>
          <w:sz w:val="21"/>
          <w:szCs w:val="21"/>
        </w:rPr>
        <w:t xml:space="preserve">Open Power BI Desktop &gt; Home &gt; Get Data &gt; Excel Workbook &gt; select NDPPC_HSE_Training_Dataset.xlsx.</w:t>
      </w:r>
    </w:p>
    <w:p>
      <w:pPr>
        <w:pStyle w:val="ListParagraph"/>
        <w:numPr>
          <w:ilvl w:val="0"/>
          <w:numId w:val="1"/>
        </w:numPr>
        <w:spacing w:after="80"/>
      </w:pPr>
      <w:r>
        <w:rPr>
          <w:rFonts w:ascii="Calibri" w:cs="Calibri" w:eastAsia="Calibri" w:hAnsi="Calibri"/>
          <w:sz w:val="21"/>
          <w:szCs w:val="21"/>
        </w:rPr>
        <w:t xml:space="preserve">In the Navigator window, tick exactly the seven data tables: dim_Date, dim_Site, dim_Employee, fact_Incidents, fact_Observations, fact_Environmental, fact_Training. Leave README, Data_Dictionary and Model_Map unchecked - those sheets are for humans reading the workbook directly, not for the data model.</w:t>
      </w:r>
    </w:p>
    <w:p>
      <w:pPr>
        <w:pStyle w:val="ListParagraph"/>
        <w:numPr>
          <w:ilvl w:val="0"/>
          <w:numId w:val="1"/>
        </w:numPr>
        <w:spacing w:after="80"/>
      </w:pPr>
      <w:r>
        <w:rPr>
          <w:rFonts w:ascii="Calibri" w:cs="Calibri" w:eastAsia="Calibri" w:hAnsi="Calibri"/>
          <w:sz w:val="21"/>
          <w:szCs w:val="21"/>
        </w:rPr>
        <w:t xml:space="preserve">Click 'Transform Data', never 'Load' directly, so every table can be inspected and cleaned first.</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Transform Data, not Load: loading directly skips the one chance to catch type mismatches, stray whitespace, and null-handling problems while they are still cheap to fix. Every problem caught in Power Query costs one click; the same problem caught later, after 30 DAX measures and 5 report pages are built on top of it, can cost hours.</w:t>
      </w:r>
    </w:p>
    <w:p>
      <w:pPr>
        <w:pStyle w:val="Heading2"/>
        <w:spacing w:after="140" w:before="280"/>
      </w:pPr>
      <w:r>
        <w:rPr>
          <w:rFonts w:ascii="Calibri" w:cs="Calibri" w:eastAsia="Calibri" w:hAnsi="Calibri"/>
          <w:b/>
          <w:bCs/>
          <w:color w:val="0E7C7B"/>
          <w:sz w:val="26"/>
          <w:szCs w:val="26"/>
        </w:rPr>
        <w:t xml:space="preserve">Cleaning Each Table</w:t>
      </w:r>
    </w:p>
    <w:p>
      <w:pPr>
        <w:pStyle w:val="Heading3"/>
        <w:spacing w:after="100" w:before="200"/>
      </w:pPr>
      <w:r>
        <w:rPr>
          <w:rFonts w:ascii="Calibri" w:cs="Calibri" w:eastAsia="Calibri" w:hAnsi="Calibri"/>
          <w:b/>
          <w:bCs/>
          <w:color w:val="1F3864"/>
          <w:sz w:val="23"/>
          <w:szCs w:val="23"/>
        </w:rPr>
        <w:t xml:space="preserve">dim_Date</w:t>
      </w:r>
    </w:p>
    <w:p>
      <w:pPr>
        <w:spacing w:after="120"/>
      </w:pPr>
      <w:r>
        <w:rPr>
          <w:rFonts w:ascii="Calibri" w:cs="Calibri" w:eastAsia="Calibri" w:hAnsi="Calibri"/>
          <w:sz w:val="22"/>
          <w:szCs w:val="22"/>
        </w:rPr>
        <w:t xml:space="preserve">The Date column must be set to Date type (not Date/Time) - Excel occasionally exports a hidden 00:00:00 time component that can cause matching problems during troubleshooting. IsWeekend should be a true Boolean; if it imports as text, change its type explicitly. DateKey must be Whole Number, matching the type used in every fact table - a relationship will not build cleanly across mismatched types.</w:t>
      </w:r>
    </w:p>
    <w:p>
      <w:pPr>
        <w:pStyle w:val="Heading3"/>
        <w:spacing w:after="100" w:before="200"/>
      </w:pPr>
      <w:r>
        <w:rPr>
          <w:rFonts w:ascii="Calibri" w:cs="Calibri" w:eastAsia="Calibri" w:hAnsi="Calibri"/>
          <w:b/>
          <w:bCs/>
          <w:color w:val="1F3864"/>
          <w:sz w:val="23"/>
          <w:szCs w:val="23"/>
        </w:rPr>
        <w:t xml:space="preserve">dim_Site</w:t>
      </w:r>
    </w:p>
    <w:p>
      <w:pPr>
        <w:spacing w:after="120"/>
      </w:pPr>
      <w:r>
        <w:rPr>
          <w:rFonts w:ascii="Calibri" w:cs="Calibri" w:eastAsia="Calibri" w:hAnsi="Calibri"/>
          <w:sz w:val="22"/>
          <w:szCs w:val="22"/>
        </w:rPr>
        <w:t xml:space="preserve">Apply Trim and Clean to every text column. This single step prevents the most common relationship failure in this exercise: a SiteID like "S01 " (with a trailing space) that looks identical to "S01" in the preview grid but will not match it in a relationship.</w:t>
      </w:r>
    </w:p>
    <w:p>
      <w:pPr>
        <w:pStyle w:val="Heading3"/>
        <w:spacing w:after="100" w:before="200"/>
      </w:pPr>
      <w:r>
        <w:rPr>
          <w:rFonts w:ascii="Calibri" w:cs="Calibri" w:eastAsia="Calibri" w:hAnsi="Calibri"/>
          <w:b/>
          <w:bCs/>
          <w:color w:val="1F3864"/>
          <w:sz w:val="23"/>
          <w:szCs w:val="23"/>
        </w:rPr>
        <w:t xml:space="preserve">dim_Employee</w:t>
      </w:r>
    </w:p>
    <w:p>
      <w:pPr>
        <w:spacing w:after="120"/>
      </w:pPr>
      <w:r>
        <w:rPr>
          <w:rFonts w:ascii="Calibri" w:cs="Calibri" w:eastAsia="Calibri" w:hAnsi="Calibri"/>
          <w:sz w:val="22"/>
          <w:szCs w:val="22"/>
        </w:rPr>
        <w:t xml:space="preserve">DateOfBirth and HireDate must both be Date type. Age is deliberately NOT built as a Power Query calculated column - it belongs in DAX (against TODAY()) so it always reflects the current date rather than being frozen at the moment the file was last refreshed.</w:t>
      </w:r>
    </w:p>
    <w:p>
      <w:pPr>
        <w:pStyle w:val="Heading3"/>
        <w:spacing w:after="100" w:before="200"/>
      </w:pPr>
      <w:r>
        <w:rPr>
          <w:rFonts w:ascii="Calibri" w:cs="Calibri" w:eastAsia="Calibri" w:hAnsi="Calibri"/>
          <w:b/>
          <w:bCs/>
          <w:color w:val="1F3864"/>
          <w:sz w:val="23"/>
          <w:szCs w:val="23"/>
        </w:rPr>
        <w:t xml:space="preserve">fact_Incidents</w:t>
      </w:r>
    </w:p>
    <w:p>
      <w:pPr>
        <w:spacing w:after="120"/>
      </w:pPr>
      <w:r>
        <w:rPr>
          <w:rFonts w:ascii="Calibri" w:cs="Calibri" w:eastAsia="Calibri" w:hAnsi="Calibri"/>
          <w:sz w:val="22"/>
          <w:szCs w:val="22"/>
        </w:rPr>
        <w:t xml:space="preserve">DateKey and SiteID both need Trim applied. EstimatedCostUSD must be Decimal Number - if it imported as text because of a stray currency symbol, use Replace Values to strip non-numeric characters first. DateClosed should be Date type with genuine nulls for open investigations - watch for the literal text "None" surviving a CSV round-trip. DaysLost must be Whole Number.</w:t>
      </w:r>
    </w:p>
    <w:p>
      <w:pPr>
        <w:pStyle w:val="Heading3"/>
        <w:spacing w:after="100" w:before="200"/>
      </w:pPr>
      <w:r>
        <w:rPr>
          <w:rFonts w:ascii="Calibri" w:cs="Calibri" w:eastAsia="Calibri" w:hAnsi="Calibri"/>
          <w:b/>
          <w:bCs/>
          <w:color w:val="1F3864"/>
          <w:sz w:val="23"/>
          <w:szCs w:val="23"/>
        </w:rPr>
        <w:t xml:space="preserve">fact_Observations, fact_Environmental, fact_Training</w:t>
      </w:r>
    </w:p>
    <w:p>
      <w:pPr>
        <w:spacing w:after="120"/>
      </w:pPr>
      <w:r>
        <w:rPr>
          <w:rFonts w:ascii="Calibri" w:cs="Calibri" w:eastAsia="Calibri" w:hAnsi="Calibri"/>
          <w:sz w:val="22"/>
          <w:szCs w:val="22"/>
        </w:rPr>
        <w:t xml:space="preserve">Score is Whole Number in both fact_Observations and fact_Training. Value and ComplianceLimit in fact_Environmental are Decimal Number. ExpiryDateKey in fact_Training is Whole Number, with true nulls (not 0) for any row where an expiry does not apply - a stray 0 would otherwise resolve to the epoch date and either break the relationship or silently create a phantom blank-date bucket.</w:t>
      </w:r>
    </w:p>
    <w:p>
      <w:pPr>
        <w:spacing w:after="120"/>
      </w:pPr>
      <w:r>
        <w:rPr>
          <w:rFonts w:ascii="Calibri" w:cs="Calibri" w:eastAsia="Calibri" w:hAnsi="Calibri"/>
          <w:sz w:val="22"/>
          <w:szCs w:val="22"/>
        </w:rPr>
        <w:t xml:space="preserve">Once every table above is confirmed clean, click Home &gt; Close &amp; Apply.</w:t>
      </w:r>
    </w:p>
    <w:p>
      <w:pPr>
        <w:pStyle w:val="Heading1"/>
        <w:pBdr>
          <w:bottom w:val="single" w:color="0E7C7B" w:sz="12" w:space="4"/>
        </w:pBdr>
        <w:spacing w:after="200" w:before="360"/>
      </w:pPr>
      <w:r>
        <w:rPr>
          <w:rFonts w:ascii="Calibri" w:cs="Calibri" w:eastAsia="Calibri" w:hAnsi="Calibri"/>
          <w:b/>
          <w:bCs/>
          <w:color w:val="1F3864"/>
          <w:sz w:val="32"/>
          <w:szCs w:val="32"/>
        </w:rPr>
        <w:t xml:space="preserve">4. Data Model, Relationships &amp; Cardinality</w:t>
      </w:r>
    </w:p>
    <w:p>
      <w:pPr>
        <w:pStyle w:val="Heading2"/>
        <w:spacing w:after="140" w:before="280"/>
      </w:pPr>
      <w:r>
        <w:rPr>
          <w:rFonts w:ascii="Calibri" w:cs="Calibri" w:eastAsia="Calibri" w:hAnsi="Calibri"/>
          <w:b/>
          <w:bCs/>
          <w:color w:val="0E7C7B"/>
          <w:sz w:val="26"/>
          <w:szCs w:val="26"/>
        </w:rPr>
        <w:t xml:space="preserve">Mark the Date Table</w:t>
      </w:r>
    </w:p>
    <w:p>
      <w:pPr>
        <w:spacing w:after="120"/>
      </w:pPr>
      <w:r>
        <w:rPr>
          <w:rFonts w:ascii="Calibri" w:cs="Calibri" w:eastAsia="Calibri" w:hAnsi="Calibri"/>
          <w:sz w:val="22"/>
          <w:szCs w:val="22"/>
        </w:rPr>
        <w:t xml:space="preserve">Select dim_Date &gt; Table Tools ribbon &gt; Mark as Date Table &gt; choose the Date column. This is a prerequisite, not a nicety: SAMEPERIODLASTYEAR, TOTALYTD, DATESINPERIOD and every other time-intelligence function used in Section 5 silently misbehave against a calendar table that has not been marked, because Power BI needs to know structurally that this table's date column is contiguous and unique.</w:t>
      </w:r>
    </w:p>
    <w:p>
      <w:pPr>
        <w:pStyle w:val="Heading2"/>
        <w:spacing w:after="140" w:before="280"/>
      </w:pPr>
      <w:r>
        <w:rPr>
          <w:rFonts w:ascii="Calibri" w:cs="Calibri" w:eastAsia="Calibri" w:hAnsi="Calibri"/>
          <w:b/>
          <w:bCs/>
          <w:color w:val="0E7C7B"/>
          <w:sz w:val="26"/>
          <w:szCs w:val="26"/>
        </w:rPr>
        <w:t xml:space="preserve">The Complete Relationship Map</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gridCol w:w="100"/>
        <w:gridCol w:w="100"/>
        <w:gridCol w:w="100"/>
      </w:tblGrid>
      <w:tr>
        <w:trPr>
          <w:tblHeader/>
        </w:trPr>
        <w:tc>
          <w:tcPr>
            <w:tcW w:type="dxa" w:w="17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From (many side)</w:t>
            </w:r>
          </w:p>
        </w:tc>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Key</w:t>
            </w:r>
          </w:p>
        </w:tc>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To (one side)</w:t>
            </w:r>
          </w:p>
        </w:tc>
        <w:tc>
          <w:tcPr>
            <w:tcW w:type="dxa" w:w="1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Key</w:t>
            </w:r>
          </w:p>
        </w:tc>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Cardinality</w:t>
            </w:r>
          </w:p>
        </w:tc>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Direction</w:t>
            </w:r>
          </w:p>
        </w:tc>
        <w:tc>
          <w:tcPr>
            <w:tcW w:type="dxa" w:w="11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fact_Incidents</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 (dim_Date filters fact_Incidents)</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fact_Incidents</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dim_Site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fact_Incidents</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dim_Employee</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fact_Observations</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fact_Observations</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dim_Site</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fact_Observations</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ObserverEmployeeID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dim_Employee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fact_Environmental</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fact_Environmental</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dim_Site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fact_Training</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fact_Training</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ExpiryDateKey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INACTIVE (dashed line)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fact_Training</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dim_Employee</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dim_Employee</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dim_Site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Why Every Relationship Is Many-to-One and Single-Direction</w:t>
      </w:r>
    </w:p>
    <w:p>
      <w:pPr>
        <w:spacing w:after="120"/>
      </w:pPr>
      <w:r>
        <w:rPr>
          <w:rFonts w:ascii="Calibri" w:cs="Calibri" w:eastAsia="Calibri" w:hAnsi="Calibri"/>
          <w:sz w:val="22"/>
          <w:szCs w:val="22"/>
        </w:rPr>
        <w:t xml:space="preserve">Cardinality: each row in a fact table (one incident, one observation, one environmental reading, one training record) belongs to exactly one date, one site, and one employee - but any given date, site, or employee shows up across many fact rows. That asymmetry is the definition of a many-to-one relationship, and it is why every dimension table sits on the 'one' side.</w:t>
      </w:r>
    </w:p>
    <w:p>
      <w:pPr>
        <w:spacing w:after="120"/>
      </w:pPr>
      <w:r>
        <w:rPr>
          <w:rFonts w:ascii="Calibri" w:cs="Calibri" w:eastAsia="Calibri" w:hAnsi="Calibri"/>
          <w:sz w:val="22"/>
          <w:szCs w:val="22"/>
        </w:rPr>
        <w:t xml:space="preserve">Filter direction: every relationship here is kept single-direction (dimension filters fact). If cross filtering were set to 'Both' everywhere, filtering fact_Incidents by IncidentType would also silently ripple into fact_Observations and fact_Training through the shared dim_Site/dim_Date tables - producing numbers on unrelated visuals that change for reasons that are very difficult to explain or debug. Single-direction is the correct default for a star schema like this one.</w:t>
      </w:r>
    </w:p>
    <w:p>
      <w:pPr>
        <w:pStyle w:val="Heading2"/>
        <w:spacing w:after="140" w:before="280"/>
      </w:pPr>
      <w:r>
        <w:rPr>
          <w:rFonts w:ascii="Calibri" w:cs="Calibri" w:eastAsia="Calibri" w:hAnsi="Calibri"/>
          <w:b/>
          <w:bCs/>
          <w:color w:val="0E7C7B"/>
          <w:sz w:val="26"/>
          <w:szCs w:val="26"/>
        </w:rPr>
        <w:t xml:space="preserve">The Two Dates on fact_Training</w:t>
      </w:r>
    </w:p>
    <w:p>
      <w:pPr>
        <w:spacing w:after="120"/>
      </w:pPr>
      <w:r>
        <w:rPr>
          <w:rFonts w:ascii="Calibri" w:cs="Calibri" w:eastAsia="Calibri" w:hAnsi="Calibri"/>
          <w:sz w:val="22"/>
          <w:szCs w:val="22"/>
        </w:rPr>
        <w:t xml:space="preserve">fact_Training has two legitimate relationships to dim_Date: DateKey (when the training happened) and ExpiryDateKey (when the resulting certification expires). Power BI allows both relationships to exist, but only one can be Active at a time - Active means 'the relationship DAX uses automatically, unless a measure explicitly says otherwise.' DateKey is set Active because most measures need 'how many trainings happened in a given month.' ExpiryDateKey is left Inactive (a dashed line in Model view) and is only invoked, on demand, inside the Certifications Expiring Next 30 Days measure using USERELATIONSHIP().</w:t>
      </w:r>
    </w:p>
    <w:p>
      <w:pPr>
        <w:pStyle w:val="Heading2"/>
        <w:spacing w:after="140" w:before="280"/>
      </w:pPr>
      <w:r>
        <w:rPr>
          <w:rFonts w:ascii="Calibri" w:cs="Calibri" w:eastAsia="Calibri" w:hAnsi="Calibri"/>
          <w:b/>
          <w:bCs/>
          <w:color w:val="0E7C7B"/>
          <w:sz w:val="26"/>
          <w:szCs w:val="26"/>
        </w:rPr>
        <w:t xml:space="preserve">Common Relationship Failures and How to Diagnose Them</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A relationship auto-builds as many-to-many (shown as "*...*") - almost always means a key that should be unique on the 'one' side has duplicates. Fix: find and remove the duplicate in dim_Site/dim_Employee/dim_Date.</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A relationship refuses to build, or shows a warning triangle - almost always a data type mismatch (e.g., DateKey stored as Text on one side, Whole Number on the other). Fix this in Power Query, never by forcing the relationship through.</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A '(Blank)' category appears in a visual after a relationship is built - usually means a fact-table key value has no match in the dimension table (a typo, or a value trimmed on one side but not the other).</w:t>
      </w:r>
    </w:p>
    <w:p>
      <w:pPr>
        <w:pStyle w:val="Heading2"/>
        <w:spacing w:after="140" w:before="280"/>
      </w:pPr>
      <w:r>
        <w:rPr>
          <w:rFonts w:ascii="Calibri" w:cs="Calibri" w:eastAsia="Calibri" w:hAnsi="Calibri"/>
          <w:b/>
          <w:bCs/>
          <w:color w:val="0E7C7B"/>
          <w:sz w:val="26"/>
          <w:szCs w:val="26"/>
        </w:rPr>
        <w:t xml:space="preserve">Building the Measures Table</w:t>
      </w:r>
    </w:p>
    <w:p>
      <w:pPr>
        <w:spacing w:after="120"/>
      </w:pPr>
      <w:r>
        <w:rPr>
          <w:rFonts w:ascii="Calibri" w:cs="Calibri" w:eastAsia="Calibri" w:hAnsi="Calibri"/>
          <w:sz w:val="22"/>
          <w:szCs w:val="22"/>
        </w:rPr>
        <w:t xml:space="preserve">Home &gt; Enter Data (or New Table):</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_Measures = ROW("Info", "HSE Measures - see Section 5 of this guide")</w:t>
            </w:r>
          </w:p>
        </w:tc>
      </w:tr>
    </w:tbl>
    <w:p>
      <w:pPr>
        <w:spacing w:after="120"/>
      </w:pPr>
      <w:r>
        <w:rPr>
          <w:rFonts w:ascii="Calibri" w:cs="Calibri" w:eastAsia="Calibri" w:hAnsi="Calibri"/>
          <w:sz w:val="22"/>
          <w:szCs w:val="22"/>
        </w:rPr>
        <w:t xml:space="preserve">Hide the Info column (right-click &gt; Hide in Report View), then reassign every measure created in Section 5 to live inside this table so all 30+ measures sit in one clean, browsable folder in the Fields pane rather than being scattered across seven data tables.</w:t>
      </w:r>
    </w:p>
    <w:p>
      <w:pPr>
        <w:pStyle w:val="Heading1"/>
        <w:pBdr>
          <w:bottom w:val="single" w:color="0E7C7B" w:sz="12" w:space="4"/>
        </w:pBdr>
        <w:spacing w:after="200" w:before="360"/>
      </w:pPr>
      <w:r>
        <w:rPr>
          <w:rFonts w:ascii="Calibri" w:cs="Calibri" w:eastAsia="Calibri" w:hAnsi="Calibri"/>
          <w:b/>
          <w:bCs/>
          <w:color w:val="1F3864"/>
          <w:sz w:val="32"/>
          <w:szCs w:val="32"/>
        </w:rPr>
        <w:t xml:space="preserve">5. Every DAX Measure, Explained Line by Line</w:t>
      </w:r>
    </w:p>
    <w:p>
      <w:pPr>
        <w:spacing w:after="120"/>
      </w:pPr>
      <w:r>
        <w:rPr>
          <w:rFonts w:ascii="Calibri" w:cs="Calibri" w:eastAsia="Calibri" w:hAnsi="Calibri"/>
          <w:sz w:val="22"/>
          <w:szCs w:val="22"/>
        </w:rPr>
        <w:t xml:space="preserve">Every measure below should be created inside the dedicated _Measures table. Read each one top to bottom: the DAX code first, then the line-by-line breakdown of what each part of the formula does, then why it was written that way, then its direct impact on the dashboard.</w:t>
      </w:r>
    </w:p>
    <w:p>
      <w:pPr>
        <w:pStyle w:val="Heading2"/>
        <w:spacing w:after="140" w:before="280"/>
      </w:pPr>
      <w:r>
        <w:rPr>
          <w:rFonts w:ascii="Calibri" w:cs="Calibri" w:eastAsia="Calibri" w:hAnsi="Calibri"/>
          <w:b/>
          <w:bCs/>
          <w:color w:val="0E7C7B"/>
          <w:sz w:val="26"/>
          <w:szCs w:val="26"/>
        </w:rPr>
        <w:t xml:space="preserve">GROUP 1 - CORE COUNTING MEASURES</w:t>
      </w:r>
    </w:p>
    <w:p>
      <w:pPr>
        <w:pStyle w:val="Heading3"/>
        <w:spacing w:after="100" w:before="200"/>
      </w:pPr>
      <w:r>
        <w:rPr>
          <w:rFonts w:ascii="Calibri" w:cs="Calibri" w:eastAsia="Calibri" w:hAnsi="Calibri"/>
          <w:b/>
          <w:bCs/>
          <w:color w:val="1F3864"/>
          <w:sz w:val="23"/>
          <w:szCs w:val="23"/>
        </w:rPr>
        <w:t xml:space="preserve">1.1 Total Incidents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Incidents = COUNTROWS(fact_Incidents)</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COUNTROWS(fact_Incidents) counts every row currently visible in fact_Incidents after all active filters (slicers, visual filters, cross-filters from slicing dimension tables) have been applied.</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written this way: COUNTROWS is used instead of COUNT(fact_Incidents[IncidentID]) because it does not need to touch a specific column, so it is marginally faster and never breaks if a column is renamed.</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on the dashboard: this is the base measure that almost every other incident measure is built from (rates, percentages, YoY change). It is the KPI card at the top-left of Page 1 and Page 2, and it is the value field behind every incident bar/line chart in this workbook.</w:t>
      </w:r>
    </w:p>
    <w:p>
      <w:pPr>
        <w:pStyle w:val="Heading3"/>
        <w:spacing w:after="100" w:before="200"/>
      </w:pPr>
      <w:r>
        <w:rPr>
          <w:rFonts w:ascii="Calibri" w:cs="Calibri" w:eastAsia="Calibri" w:hAnsi="Calibri"/>
          <w:b/>
          <w:bCs/>
          <w:color w:val="1F3864"/>
          <w:sz w:val="23"/>
          <w:szCs w:val="23"/>
        </w:rPr>
        <w:t xml:space="preserve">1.2 Total Near Misses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Near Misses = CALCULATE([Total Incidents], fact_Incidents[IncidentType] = "Near Miss")</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CALCULATE( ... ) changes the filter context that [Total Incidents] is evaluated in.</w:t>
      </w:r>
    </w:p>
    <w:p>
      <w:pPr>
        <w:pStyle w:val="ListParagraph"/>
        <w:numPr>
          <w:ilvl w:val="0"/>
          <w:numId w:val="1"/>
        </w:numPr>
        <w:spacing w:after="80"/>
      </w:pPr>
      <w:r>
        <w:rPr>
          <w:rFonts w:ascii="Calibri" w:cs="Calibri" w:eastAsia="Calibri" w:hAnsi="Calibri"/>
          <w:sz w:val="21"/>
          <w:szCs w:val="21"/>
        </w:rPr>
        <w:t xml:space="preserve">fact_Incidents[IncidentType] = "Near Miss" is a filter argument that overrides any existing filter on IncidentType and restricts the row context to only Near Miss rows.</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Near misses sit at the base of the safety pyramid and are a strong leading indicator - the more near misses reported (and acted on), the more incidents are typically prevented downstream.</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used as its own KPI card and as the numerator in the Near-Miss-to-LTI ratio, which HSE managers use to judge whether the reporting culture is healthy.</w:t>
      </w:r>
    </w:p>
    <w:p>
      <w:pPr>
        <w:pStyle w:val="Heading3"/>
        <w:spacing w:after="100" w:before="200"/>
      </w:pPr>
      <w:r>
        <w:rPr>
          <w:rFonts w:ascii="Calibri" w:cs="Calibri" w:eastAsia="Calibri" w:hAnsi="Calibri"/>
          <w:b/>
          <w:bCs/>
          <w:color w:val="1F3864"/>
          <w:sz w:val="23"/>
          <w:szCs w:val="23"/>
        </w:rPr>
        <w:t xml:space="preserve">1.3 Total Lost Time Injuries (LTI)</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LTI = CALCULATE([Total Incidents], fact_Incidents[IncidentType] = "Lost Time Injury")</w:t>
            </w:r>
          </w:p>
        </w:tc>
      </w:tr>
    </w:tbl>
    <w:p>
      <w:pPr>
        <w:spacing w:after="120"/>
      </w:pPr>
      <w:r>
        <w:rPr>
          <w:rFonts w:ascii="Calibri" w:cs="Calibri" w:eastAsia="Calibri" w:hAnsi="Calibri"/>
          <w:sz w:val="22"/>
          <w:szCs w:val="22"/>
        </w:rPr>
        <w:t xml:space="preserve">Same mechanic as 1.2, filtered to "Lost Time Injury". This is a lagging indicator - the inverse of Near Misses - and is the numerator of the LTIFR measure in Group 3.</w:t>
      </w:r>
    </w:p>
    <w:p>
      <w:pPr>
        <w:pStyle w:val="Heading3"/>
        <w:spacing w:after="100" w:before="200"/>
      </w:pPr>
      <w:r>
        <w:rPr>
          <w:rFonts w:ascii="Calibri" w:cs="Calibri" w:eastAsia="Calibri" w:hAnsi="Calibri"/>
          <w:b/>
          <w:bCs/>
          <w:color w:val="1F3864"/>
          <w:sz w:val="23"/>
          <w:szCs w:val="23"/>
        </w:rPr>
        <w:t xml:space="preserve">1.4 Total Fatalities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Fatalities = CALCULATE([Total Incidents], fact_Incidents[IncidentType] = "Fatality")</w:t>
            </w:r>
          </w:p>
        </w:tc>
      </w:tr>
    </w:tbl>
    <w:p>
      <w:pPr>
        <w:spacing w:after="120"/>
      </w:pPr>
      <w:r>
        <w:rPr>
          <w:rFonts w:ascii="Calibri" w:cs="Calibri" w:eastAsia="Calibri" w:hAnsi="Calibri"/>
          <w:sz w:val="22"/>
          <w:szCs w:val="22"/>
        </w:rPr>
        <w:t xml:space="preserve">Used sparingly - typically as a single always-visible KPI card with conditional formatting (red if &gt; 0) because even one fatality is organizationally significant regardless of all other metrics. Rarely charted as a trend line because the numbers are intentionally very small in a well-run operation.</w:t>
      </w:r>
    </w:p>
    <w:p>
      <w:pPr>
        <w:pStyle w:val="Heading3"/>
        <w:spacing w:after="100" w:before="200"/>
      </w:pPr>
      <w:r>
        <w:rPr>
          <w:rFonts w:ascii="Calibri" w:cs="Calibri" w:eastAsia="Calibri" w:hAnsi="Calibri"/>
          <w:b/>
          <w:bCs/>
          <w:color w:val="1F3864"/>
          <w:sz w:val="23"/>
          <w:szCs w:val="23"/>
        </w:rPr>
        <w:t xml:space="preserve">1.5 Total Days Lost</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Days Lost = SUM(fact_Incidents[DaysLost])</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SUM(fact_Incidents[DaysLost]) adds the DaysLost column across all currently-filtered rows.</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feeds the Severity Rate measure (Group 3) and is displayed as its own KPI to show the real productivity cost of incidents, not just the incident count.</w:t>
      </w:r>
    </w:p>
    <w:p>
      <w:pPr>
        <w:pStyle w:val="Heading3"/>
        <w:spacing w:after="100" w:before="200"/>
      </w:pPr>
      <w:r>
        <w:rPr>
          <w:rFonts w:ascii="Calibri" w:cs="Calibri" w:eastAsia="Calibri" w:hAnsi="Calibri"/>
          <w:b/>
          <w:bCs/>
          <w:color w:val="1F3864"/>
          <w:sz w:val="23"/>
          <w:szCs w:val="23"/>
        </w:rPr>
        <w:t xml:space="preserve">1.6 Total Incident Cost</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Incident Cost = SUM(fact_Incidents[EstimatedCostUSD])</w:t>
            </w:r>
          </w:p>
        </w:tc>
      </w:tr>
    </w:tbl>
    <w:p>
      <w:pPr>
        <w:spacing w:after="120"/>
      </w:pPr>
      <w:r>
        <w:rPr>
          <w:rFonts w:ascii="Calibri" w:cs="Calibri" w:eastAsia="Calibri" w:hAnsi="Calibri"/>
          <w:sz w:val="22"/>
          <w:szCs w:val="22"/>
        </w:rPr>
        <w:t xml:space="preserve">Straightforward SUM aggregation. Displayed formatted as currency ($#,##0) on the Executive Overview page and used to compute Average Cost per Incident (Group 3).</w:t>
      </w:r>
    </w:p>
    <w:p>
      <w:pPr>
        <w:pStyle w:val="Heading3"/>
        <w:spacing w:after="100" w:before="200"/>
      </w:pPr>
      <w:r>
        <w:rPr>
          <w:rFonts w:ascii="Calibri" w:cs="Calibri" w:eastAsia="Calibri" w:hAnsi="Calibri"/>
          <w:b/>
          <w:bCs/>
          <w:color w:val="1F3864"/>
          <w:sz w:val="23"/>
          <w:szCs w:val="23"/>
        </w:rPr>
        <w:t xml:space="preserve">1.7 Total Observations / Safe Observations / At-Risk Observations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Observations = COUNTROWS(fact_Observations)</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Safe Observations =</w:t>
            </w:r>
          </w:p>
          <w:p>
            <w:pPr>
              <w:spacing w:after="20"/>
            </w:pPr>
            <w:r>
              <w:rPr>
                <w:rFonts w:ascii="Consolas" w:cs="Consolas" w:eastAsia="Consolas" w:hAnsi="Consolas"/>
                <w:color w:val="DCDCDC"/>
                <w:sz w:val="19"/>
                <w:szCs w:val="19"/>
              </w:rPr>
              <w:t xml:space="preserve">CALCULATE([Total Observations], fact_Observations[ObservationType] = "Safe Behavior")</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At-Risk Observations =</w:t>
            </w:r>
          </w:p>
          <w:p>
            <w:pPr>
              <w:spacing w:after="20"/>
            </w:pPr>
            <w:r>
              <w:rPr>
                <w:rFonts w:ascii="Consolas" w:cs="Consolas" w:eastAsia="Consolas" w:hAnsi="Consolas"/>
                <w:color w:val="DCDCDC"/>
                <w:sz w:val="19"/>
                <w:szCs w:val="19"/>
              </w:rPr>
              <w:t xml:space="preserve">CALCULATE([Total Observations], fact_Observations[ObservationType] = "At-Risk Behavior")</w:t>
            </w:r>
          </w:p>
        </w:tc>
      </w:tr>
    </w:tbl>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these three feed the Safe Behavior % measure in Group 4 and populate the BBS (Behaviour-Based Safety) visuals on Page 3.</w:t>
      </w:r>
    </w:p>
    <w:p>
      <w:pPr>
        <w:pStyle w:val="Heading3"/>
        <w:spacing w:after="100" w:before="200"/>
      </w:pPr>
      <w:r>
        <w:rPr>
          <w:rFonts w:ascii="Calibri" w:cs="Calibri" w:eastAsia="Calibri" w:hAnsi="Calibri"/>
          <w:b/>
          <w:bCs/>
          <w:color w:val="1F3864"/>
          <w:sz w:val="23"/>
          <w:szCs w:val="23"/>
        </w:rPr>
        <w:t xml:space="preserve">1.8 Total Environmental Readings / Compliant Readings / Non-Compliant Readings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Env Readings = COUNTROWS(fact_Environmental)</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Compliant Readings =</w:t>
            </w:r>
          </w:p>
          <w:p>
            <w:pPr>
              <w:spacing w:after="20"/>
            </w:pPr>
            <w:r>
              <w:rPr>
                <w:rFonts w:ascii="Consolas" w:cs="Consolas" w:eastAsia="Consolas" w:hAnsi="Consolas"/>
                <w:color w:val="DCDCDC"/>
                <w:sz w:val="19"/>
                <w:szCs w:val="19"/>
              </w:rPr>
              <w:t xml:space="preserve">CALCULATE([Total Env Readings], fact_Environmental[ComplianceStatus] = "Compliant")</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Non-Compliant Readings =</w:t>
            </w:r>
          </w:p>
          <w:p>
            <w:pPr>
              <w:spacing w:after="20"/>
            </w:pPr>
            <w:r>
              <w:rPr>
                <w:rFonts w:ascii="Consolas" w:cs="Consolas" w:eastAsia="Consolas" w:hAnsi="Consolas"/>
                <w:color w:val="DCDCDC"/>
                <w:sz w:val="19"/>
                <w:szCs w:val="19"/>
              </w:rPr>
              <w:t xml:space="preserve">CALCULATE([Total Env Readings], fact_Environmental[ComplianceStatus] = "Non-Compliant")</w:t>
            </w:r>
          </w:p>
        </w:tc>
      </w:tr>
    </w:tbl>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feed Environmental Compliance % (Group 5) and the KPI cards/donut chart on Page 4.</w:t>
      </w:r>
    </w:p>
    <w:p>
      <w:pPr>
        <w:pStyle w:val="Heading3"/>
        <w:spacing w:after="100" w:before="200"/>
      </w:pPr>
      <w:r>
        <w:rPr>
          <w:rFonts w:ascii="Calibri" w:cs="Calibri" w:eastAsia="Calibri" w:hAnsi="Calibri"/>
          <w:b/>
          <w:bCs/>
          <w:color w:val="1F3864"/>
          <w:sz w:val="23"/>
          <w:szCs w:val="23"/>
        </w:rPr>
        <w:t xml:space="preserve">1.9 Total Trainings / Passed Trainings / Failed Trainings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Trainings = COUNTROWS(fact_Training)</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Passed Trainings =</w:t>
            </w:r>
          </w:p>
          <w:p>
            <w:pPr>
              <w:spacing w:after="20"/>
            </w:pPr>
            <w:r>
              <w:rPr>
                <w:rFonts w:ascii="Consolas" w:cs="Consolas" w:eastAsia="Consolas" w:hAnsi="Consolas"/>
                <w:color w:val="DCDCDC"/>
                <w:sz w:val="19"/>
                <w:szCs w:val="19"/>
              </w:rPr>
              <w:t xml:space="preserve">CALCULATE([Total Trainings], fact_Training[ResultStatus] = "Pass")</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Failed Trainings =</w:t>
            </w:r>
          </w:p>
          <w:p>
            <w:pPr>
              <w:spacing w:after="20"/>
            </w:pPr>
            <w:r>
              <w:rPr>
                <w:rFonts w:ascii="Consolas" w:cs="Consolas" w:eastAsia="Consolas" w:hAnsi="Consolas"/>
                <w:color w:val="DCDCDC"/>
                <w:sz w:val="19"/>
                <w:szCs w:val="19"/>
              </w:rPr>
              <w:t xml:space="preserve">CALCULATE([Total Trainings], fact_Training[ResultStatus] = "Fail")</w:t>
            </w:r>
          </w:p>
        </w:tc>
      </w:tr>
    </w:tbl>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feed Training Pass Rate % (Group 6) and the Page 5 KPI cards and charts.</w:t>
      </w:r>
    </w:p>
    <w:p>
      <w:pPr>
        <w:pStyle w:val="Heading2"/>
        <w:spacing w:after="140" w:before="280"/>
      </w:pPr>
      <w:r>
        <w:rPr>
          <w:rFonts w:ascii="Calibri" w:cs="Calibri" w:eastAsia="Calibri" w:hAnsi="Calibri"/>
          <w:b/>
          <w:bCs/>
          <w:color w:val="0E7C7B"/>
          <w:sz w:val="26"/>
          <w:szCs w:val="26"/>
        </w:rPr>
        <w:t xml:space="preserve">GROUP 2 - TIME INTELLIGENCE MEASURES</w:t>
      </w:r>
    </w:p>
    <w:p>
      <w:pPr>
        <w:pStyle w:val="Heading3"/>
        <w:spacing w:after="100" w:before="200"/>
      </w:pPr>
      <w:r>
        <w:rPr>
          <w:rFonts w:ascii="Calibri" w:cs="Calibri" w:eastAsia="Calibri" w:hAnsi="Calibri"/>
          <w:b/>
          <w:bCs/>
          <w:color w:val="1F3864"/>
          <w:sz w:val="23"/>
          <w:szCs w:val="23"/>
        </w:rPr>
        <w:t xml:space="preserve"/>
      </w:r>
    </w:p>
    <w:p>
      <w:pPr>
        <w:spacing w:after="120"/>
      </w:pPr>
      <w:r>
        <w:rPr>
          <w:rFonts w:ascii="Calibri" w:cs="Calibri" w:eastAsia="Calibri" w:hAnsi="Calibri"/>
          <w:sz w:val="22"/>
          <w:szCs w:val="22"/>
        </w:rPr>
        <w:t xml:space="preserve">These require dim_Date to be marked as the official Date Table in Power BI (Table tools &gt; Mark as Date Table &gt; pick the Date column) because every time-intelligence DAX function (SAMEPERIODLASTYEAR, DATEADD, TOTALYTD, etc.) depends on a contiguous, unique-date calendar table with an active relationship to the fact table it is filtering.</w:t>
      </w:r>
    </w:p>
    <w:p>
      <w:pPr>
        <w:pStyle w:val="Heading3"/>
        <w:spacing w:after="100" w:before="200"/>
      </w:pPr>
      <w:r>
        <w:rPr>
          <w:rFonts w:ascii="Calibri" w:cs="Calibri" w:eastAsia="Calibri" w:hAnsi="Calibri"/>
          <w:b/>
          <w:bCs/>
          <w:color w:val="1F3864"/>
          <w:sz w:val="23"/>
          <w:szCs w:val="23"/>
        </w:rPr>
        <w:t xml:space="preserve">2.1 Incidents PY (Prior Year, same period)</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Incidents PY =</w:t>
            </w:r>
          </w:p>
          <w:p>
            <w:pPr>
              <w:spacing w:after="20"/>
            </w:pPr>
            <w:r>
              <w:rPr>
                <w:rFonts w:ascii="Consolas" w:cs="Consolas" w:eastAsia="Consolas" w:hAnsi="Consolas"/>
                <w:color w:val="DCDCDC"/>
                <w:sz w:val="19"/>
                <w:szCs w:val="19"/>
              </w:rPr>
              <w:t xml:space="preserve">CALCULATE(</w:t>
            </w:r>
          </w:p>
          <w:p>
            <w:pPr>
              <w:spacing w:after="20"/>
            </w:pPr>
            <w:r>
              <w:rPr>
                <w:rFonts w:ascii="Consolas" w:cs="Consolas" w:eastAsia="Consolas" w:hAnsi="Consolas"/>
                <w:color w:val="DCDCDC"/>
                <w:sz w:val="19"/>
                <w:szCs w:val="19"/>
              </w:rPr>
              <w:t xml:space="preserve">    [Total Incidents],</w:t>
            </w:r>
          </w:p>
          <w:p>
            <w:pPr>
              <w:spacing w:after="20"/>
            </w:pPr>
            <w:r>
              <w:rPr>
                <w:rFonts w:ascii="Consolas" w:cs="Consolas" w:eastAsia="Consolas" w:hAnsi="Consolas"/>
                <w:color w:val="DCDCDC"/>
                <w:sz w:val="19"/>
                <w:szCs w:val="19"/>
              </w:rPr>
              <w:t xml:space="preserve">    SAMEPERIODLASTYEAR(dim_Date[Date])</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SAMEPERIODLASTYEAR(dim_Date[Date]) returns the same date range as whatever is currently filtered (e.g., January 2024) but shifted back exactly one year (January 2023).</w:t>
      </w:r>
    </w:p>
    <w:p>
      <w:pPr>
        <w:pStyle w:val="ListParagraph"/>
        <w:numPr>
          <w:ilvl w:val="0"/>
          <w:numId w:val="1"/>
        </w:numPr>
        <w:spacing w:after="80"/>
      </w:pPr>
      <w:r>
        <w:rPr>
          <w:rFonts w:ascii="Calibri" w:cs="Calibri" w:eastAsia="Calibri" w:hAnsi="Calibri"/>
          <w:sz w:val="21"/>
          <w:szCs w:val="21"/>
        </w:rPr>
        <w:t xml:space="preserve">CALCULATE re-evaluates [Total Incidents] inside that shifted date filter.</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this is the "comparison" half of every YoY chart and KPI on the Executive Overview page.</w:t>
      </w:r>
    </w:p>
    <w:p>
      <w:pPr>
        <w:pStyle w:val="Heading3"/>
        <w:spacing w:after="100" w:before="200"/>
      </w:pPr>
      <w:r>
        <w:rPr>
          <w:rFonts w:ascii="Calibri" w:cs="Calibri" w:eastAsia="Calibri" w:hAnsi="Calibri"/>
          <w:b/>
          <w:bCs/>
          <w:color w:val="1F3864"/>
          <w:sz w:val="23"/>
          <w:szCs w:val="23"/>
        </w:rPr>
        <w:t xml:space="preserve">2.2 Incidents YoY % Change</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Incidents YoY % Change =</w:t>
            </w:r>
          </w:p>
          <w:p>
            <w:pPr>
              <w:spacing w:after="20"/>
            </w:pPr>
            <w:r>
              <w:rPr>
                <w:rFonts w:ascii="Consolas" w:cs="Consolas" w:eastAsia="Consolas" w:hAnsi="Consolas"/>
                <w:color w:val="DCDCDC"/>
                <w:sz w:val="19"/>
                <w:szCs w:val="19"/>
              </w:rPr>
              <w:t xml:space="preserve">VAR CurrentValue = [Total Incidents]</w:t>
            </w:r>
          </w:p>
          <w:p>
            <w:pPr>
              <w:spacing w:after="20"/>
            </w:pPr>
            <w:r>
              <w:rPr>
                <w:rFonts w:ascii="Consolas" w:cs="Consolas" w:eastAsia="Consolas" w:hAnsi="Consolas"/>
                <w:color w:val="DCDCDC"/>
                <w:sz w:val="19"/>
                <w:szCs w:val="19"/>
              </w:rPr>
              <w:t xml:space="preserve">VAR PriorValue = [Incidents PY]</w:t>
            </w:r>
          </w:p>
          <w:p>
            <w:pPr>
              <w:spacing w:after="20"/>
            </w:pPr>
            <w:r>
              <w:rPr>
                <w:rFonts w:ascii="Consolas" w:cs="Consolas" w:eastAsia="Consolas" w:hAnsi="Consolas"/>
                <w:color w:val="DCDCDC"/>
                <w:sz w:val="19"/>
                <w:szCs w:val="19"/>
              </w:rPr>
              <w:t xml:space="preserve">RETURN</w:t>
            </w:r>
          </w:p>
          <w:p>
            <w:pPr>
              <w:spacing w:after="20"/>
            </w:pPr>
            <w:r>
              <w:rPr>
                <w:rFonts w:ascii="Consolas" w:cs="Consolas" w:eastAsia="Consolas" w:hAnsi="Consolas"/>
                <w:color w:val="DCDCDC"/>
                <w:sz w:val="19"/>
                <w:szCs w:val="19"/>
              </w:rPr>
              <w:t xml:space="preserve">    DIVIDE(CurrentValue - PriorValue, PriorValue)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VAR CurrentValue stores this period's incident count once, avoiding recalculating [Total Incidents] twice.</w:t>
      </w:r>
    </w:p>
    <w:p>
      <w:pPr>
        <w:pStyle w:val="ListParagraph"/>
        <w:numPr>
          <w:ilvl w:val="0"/>
          <w:numId w:val="1"/>
        </w:numPr>
        <w:spacing w:after="80"/>
      </w:pPr>
      <w:r>
        <w:rPr>
          <w:rFonts w:ascii="Calibri" w:cs="Calibri" w:eastAsia="Calibri" w:hAnsi="Calibri"/>
          <w:sz w:val="21"/>
          <w:szCs w:val="21"/>
        </w:rPr>
        <w:t xml:space="preserve">VAR PriorValue stores last year's figure using measure 2.1.</w:t>
      </w:r>
    </w:p>
    <w:p>
      <w:pPr>
        <w:pStyle w:val="ListParagraph"/>
        <w:numPr>
          <w:ilvl w:val="0"/>
          <w:numId w:val="1"/>
        </w:numPr>
        <w:spacing w:after="80"/>
      </w:pPr>
      <w:r>
        <w:rPr>
          <w:rFonts w:ascii="Calibri" w:cs="Calibri" w:eastAsia="Calibri" w:hAnsi="Calibri"/>
          <w:sz w:val="21"/>
          <w:szCs w:val="21"/>
        </w:rPr>
        <w:t xml:space="preserve">DIVIDE(CurrentValue - PriorValue, PriorValue) calculates percentage change and safely returns BLANK() instead of an error if PriorValue is 0.</w:t>
      </w:r>
    </w:p>
    <w:p>
      <w:pPr>
        <w:spacing w:after="120"/>
      </w:pPr>
      <w:r>
        <w:rPr>
          <w:rFonts w:ascii="Calibri" w:cs="Calibri" w:eastAsia="Calibri" w:hAnsi="Calibri"/>
          <w:sz w:val="22"/>
          <w:szCs w:val="22"/>
        </w:rPr>
        <w:t xml:space="preserve">Why DIVIDE and not /: DIVIDE has a built-in safe-divide behavior (returns BLANK or an optional third-argument default instead of throwing a divide-by-zero error), which matters a great deal once the dashboard is filtered down to a site/month combination that may have zero prior-year incidents.</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displayed as a KPI card with an up/down arrow and conditional color (red = incidents increased, green = incidents decreased) - this single measure is usually the first thing an HSE director looks at on the Monday morning review.</w:t>
      </w:r>
    </w:p>
    <w:p>
      <w:pPr>
        <w:pStyle w:val="Heading3"/>
        <w:spacing w:after="100" w:before="200"/>
      </w:pPr>
      <w:r>
        <w:rPr>
          <w:rFonts w:ascii="Calibri" w:cs="Calibri" w:eastAsia="Calibri" w:hAnsi="Calibri"/>
          <w:b/>
          <w:bCs/>
          <w:color w:val="1F3864"/>
          <w:sz w:val="23"/>
          <w:szCs w:val="23"/>
        </w:rPr>
        <w:t xml:space="preserve">2.3 Incidents YTD</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Incidents YTD =</w:t>
            </w:r>
          </w:p>
          <w:p>
            <w:pPr>
              <w:spacing w:after="20"/>
            </w:pPr>
            <w:r>
              <w:rPr>
                <w:rFonts w:ascii="Consolas" w:cs="Consolas" w:eastAsia="Consolas" w:hAnsi="Consolas"/>
                <w:color w:val="DCDCDC"/>
                <w:sz w:val="19"/>
                <w:szCs w:val="19"/>
              </w:rPr>
              <w:t xml:space="preserve">TOTALYTD([Total Incidents], dim_Date[Date])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TOTALYTD is a time-intelligence shorthand that internally filters dim_Date[Date] from the first day of the current fiscal/calendar year up to the latest date in the current filter context, then evaluates [Total Incidents] inside that filter.</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used in the Page 1 line chart as a running cumulative total overlay, letting students compare "how far we are into the year vs how many incidents have already happened."</w:t>
      </w:r>
    </w:p>
    <w:p>
      <w:pPr>
        <w:pStyle w:val="Heading3"/>
        <w:spacing w:after="100" w:before="200"/>
      </w:pPr>
      <w:r>
        <w:rPr>
          <w:rFonts w:ascii="Calibri" w:cs="Calibri" w:eastAsia="Calibri" w:hAnsi="Calibri"/>
          <w:b/>
          <w:bCs/>
          <w:color w:val="1F3864"/>
          <w:sz w:val="23"/>
          <w:szCs w:val="23"/>
        </w:rPr>
        <w:t xml:space="preserve">2.4 Rolling 3-Month Average Incidents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Incidents 3M Avg =</w:t>
            </w:r>
          </w:p>
          <w:p>
            <w:pPr>
              <w:spacing w:after="20"/>
            </w:pPr>
            <w:r>
              <w:rPr>
                <w:rFonts w:ascii="Consolas" w:cs="Consolas" w:eastAsia="Consolas" w:hAnsi="Consolas"/>
                <w:color w:val="DCDCDC"/>
                <w:sz w:val="19"/>
                <w:szCs w:val="19"/>
              </w:rPr>
              <w:t xml:space="preserve">AVERAGEX(</w:t>
            </w:r>
          </w:p>
          <w:p>
            <w:pPr>
              <w:spacing w:after="20"/>
            </w:pPr>
            <w:r>
              <w:rPr>
                <w:rFonts w:ascii="Consolas" w:cs="Consolas" w:eastAsia="Consolas" w:hAnsi="Consolas"/>
                <w:color w:val="DCDCDC"/>
                <w:sz w:val="19"/>
                <w:szCs w:val="19"/>
              </w:rPr>
              <w:t xml:space="preserve">    DATESINPERIOD(dim_Date[Date], MAX(dim_Date[Date]), -3, MONTH),</w:t>
            </w:r>
          </w:p>
          <w:p>
            <w:pPr>
              <w:spacing w:after="20"/>
            </w:pPr>
            <w:r>
              <w:rPr>
                <w:rFonts w:ascii="Consolas" w:cs="Consolas" w:eastAsia="Consolas" w:hAnsi="Consolas"/>
                <w:color w:val="DCDCDC"/>
                <w:sz w:val="19"/>
                <w:szCs w:val="19"/>
              </w:rPr>
              <w:t xml:space="preserve">    [Total Incidents]</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DATESINPERIOD(dim_Date[Date], MAX(dim_Date[Date]), -3, MONTH) builds a table of dates covering the 3 months ending on whatever the latest date in context is.</w:t>
      </w:r>
    </w:p>
    <w:p>
      <w:pPr>
        <w:pStyle w:val="ListParagraph"/>
        <w:numPr>
          <w:ilvl w:val="0"/>
          <w:numId w:val="1"/>
        </w:numPr>
        <w:spacing w:after="80"/>
      </w:pPr>
      <w:r>
        <w:rPr>
          <w:rFonts w:ascii="Calibri" w:cs="Calibri" w:eastAsia="Calibri" w:hAnsi="Calibri"/>
          <w:sz w:val="21"/>
          <w:szCs w:val="21"/>
        </w:rPr>
        <w:t xml:space="preserve">AVERAGEX( table, expression ) iterates that date table row by row (in this case, effectively month by month once combined with a monthly-grain visual), evaluates [Total Incidents] for each, and averages the results.</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smooths the noisy monthly incident line chart on Page 1 so a trend line doesn't overreact to a single bad month - a standard leading-indicator smoothing technique in HSE reporting.</w:t>
      </w:r>
    </w:p>
    <w:p>
      <w:pPr>
        <w:pStyle w:val="Heading2"/>
        <w:spacing w:after="140" w:before="280"/>
      </w:pPr>
      <w:r>
        <w:rPr>
          <w:rFonts w:ascii="Calibri" w:cs="Calibri" w:eastAsia="Calibri" w:hAnsi="Calibri"/>
          <w:b/>
          <w:bCs/>
          <w:color w:val="0E7C7B"/>
          <w:sz w:val="26"/>
          <w:szCs w:val="26"/>
        </w:rPr>
        <w:t xml:space="preserve">GROUP 3 - RATE AND RATIO MEASURES (industry-standard HSE KPIs)</w:t>
      </w:r>
    </w:p>
    <w:p>
      <w:pPr>
        <w:pStyle w:val="Heading3"/>
        <w:spacing w:after="100" w:before="200"/>
      </w:pPr>
      <w:r>
        <w:rPr>
          <w:rFonts w:ascii="Calibri" w:cs="Calibri" w:eastAsia="Calibri" w:hAnsi="Calibri"/>
          <w:b/>
          <w:bCs/>
          <w:color w:val="1F3864"/>
          <w:sz w:val="23"/>
          <w:szCs w:val="23"/>
        </w:rPr>
        <w:t xml:space="preserve"/>
      </w:r>
    </w:p>
    <w:p>
      <w:pPr>
        <w:spacing w:after="120"/>
      </w:pPr>
      <w:r>
        <w:rPr>
          <w:rFonts w:ascii="Calibri" w:cs="Calibri" w:eastAsia="Calibri" w:hAnsi="Calibri"/>
          <w:sz w:val="22"/>
          <w:szCs w:val="22"/>
        </w:rPr>
        <w:t xml:space="preserve">These use one important supporting measure, Total Hours Worked, which is an ESTIMATE because this teaching dataset does not include a payroll/timesheet fact table. This assumption is called out deliberately so students learn to document assumptions inside their DAX.</w:t>
      </w:r>
    </w:p>
    <w:p>
      <w:pPr>
        <w:pStyle w:val="Heading3"/>
        <w:spacing w:after="100" w:before="200"/>
      </w:pPr>
      <w:r>
        <w:rPr>
          <w:rFonts w:ascii="Calibri" w:cs="Calibri" w:eastAsia="Calibri" w:hAnsi="Calibri"/>
          <w:b/>
          <w:bCs/>
          <w:color w:val="1F3864"/>
          <w:sz w:val="23"/>
          <w:szCs w:val="23"/>
        </w:rPr>
        <w:t xml:space="preserve">3.1 Active Employees (headcount)</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Active Employees = DISTINCTCOUNT(dim_Employee[EmployeeID])</w:t>
            </w:r>
          </w:p>
        </w:tc>
      </w:tr>
    </w:tbl>
    <w:p>
      <w:pPr>
        <w:spacing w:after="120"/>
      </w:pPr>
      <w:r>
        <w:rPr>
          <w:rFonts w:ascii="Calibri" w:cs="Calibri" w:eastAsia="Calibri" w:hAnsi="Calibri"/>
          <w:sz w:val="22"/>
          <w:szCs w:val="22"/>
        </w:rPr>
        <w:t xml:space="preserve">Counts unique employees in the current filter context (e.g., filtered to one site or one department). Used as the denominator for per-capita measures.</w:t>
      </w:r>
    </w:p>
    <w:p>
      <w:pPr>
        <w:pStyle w:val="Heading3"/>
        <w:spacing w:after="100" w:before="200"/>
      </w:pPr>
      <w:r>
        <w:rPr>
          <w:rFonts w:ascii="Calibri" w:cs="Calibri" w:eastAsia="Calibri" w:hAnsi="Calibri"/>
          <w:b/>
          <w:bCs/>
          <w:color w:val="1F3864"/>
          <w:sz w:val="23"/>
          <w:szCs w:val="23"/>
        </w:rPr>
        <w:t xml:space="preserve">3.2 Total Hours Worked (estimated)</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Hours Worked =</w:t>
            </w:r>
          </w:p>
          <w:p>
            <w:pPr>
              <w:spacing w:after="20"/>
            </w:pPr>
            <w:r>
              <w:rPr>
                <w:rFonts w:ascii="Consolas" w:cs="Consolas" w:eastAsia="Consolas" w:hAnsi="Consolas"/>
                <w:color w:val="DCDCDC"/>
                <w:sz w:val="19"/>
                <w:szCs w:val="19"/>
              </w:rPr>
              <w:t xml:space="preserve">VAR WorkingDaysInPeriod =</w:t>
            </w:r>
          </w:p>
          <w:p>
            <w:pPr>
              <w:spacing w:after="20"/>
            </w:pPr>
            <w:r>
              <w:rPr>
                <w:rFonts w:ascii="Consolas" w:cs="Consolas" w:eastAsia="Consolas" w:hAnsi="Consolas"/>
                <w:color w:val="DCDCDC"/>
                <w:sz w:val="19"/>
                <w:szCs w:val="19"/>
              </w:rPr>
              <w:t xml:space="preserve">    CALCULATE(</w:t>
            </w:r>
          </w:p>
          <w:p>
            <w:pPr>
              <w:spacing w:after="20"/>
            </w:pPr>
            <w:r>
              <w:rPr>
                <w:rFonts w:ascii="Consolas" w:cs="Consolas" w:eastAsia="Consolas" w:hAnsi="Consolas"/>
                <w:color w:val="DCDCDC"/>
                <w:sz w:val="19"/>
                <w:szCs w:val="19"/>
              </w:rPr>
              <w:t xml:space="preserve">        COUNTROWS(dim_Date),</w:t>
            </w:r>
          </w:p>
          <w:p>
            <w:pPr>
              <w:spacing w:after="20"/>
            </w:pPr>
            <w:r>
              <w:rPr>
                <w:rFonts w:ascii="Consolas" w:cs="Consolas" w:eastAsia="Consolas" w:hAnsi="Consolas"/>
                <w:color w:val="DCDCDC"/>
                <w:sz w:val="19"/>
                <w:szCs w:val="19"/>
              </w:rPr>
              <w:t xml:space="preserve">        dim_Date[IsWeekend] = FALSE()</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RETURN</w:t>
            </w:r>
          </w:p>
          <w:p>
            <w:pPr>
              <w:spacing w:after="20"/>
            </w:pPr>
            <w:r>
              <w:rPr>
                <w:rFonts w:ascii="Consolas" w:cs="Consolas" w:eastAsia="Consolas" w:hAnsi="Consolas"/>
                <w:color w:val="DCDCDC"/>
                <w:sz w:val="19"/>
                <w:szCs w:val="19"/>
              </w:rPr>
              <w:t xml:space="preserve">    [Active Employees] * WorkingDaysInPeriod * 8</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VAR WorkingDaysInPeriod counts the weekdays (Monday-Friday) inside whatever date range is currently filtered, using the IsWeekend flag built into dim_Date.</w:t>
      </w:r>
    </w:p>
    <w:p>
      <w:pPr>
        <w:pStyle w:val="ListParagraph"/>
        <w:numPr>
          <w:ilvl w:val="0"/>
          <w:numId w:val="1"/>
        </w:numPr>
        <w:spacing w:after="80"/>
      </w:pPr>
      <w:r>
        <w:rPr>
          <w:rFonts w:ascii="Calibri" w:cs="Calibri" w:eastAsia="Calibri" w:hAnsi="Calibri"/>
          <w:sz w:val="21"/>
          <w:szCs w:val="21"/>
        </w:rPr>
        <w:t xml:space="preserve">The RETURN line multiplies headcount x working days x an assumed 8-hour shift.</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Documented assumption: real HSE reporting uses actual payroll/timesheet hours; this dataset approximates it so LTIFR/TRIR can still be taught. Students should replace this with a real hours-worked fact table when they apply this to an actual company dataset.</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denominator for LTIFR and TRIR below - without it, those two industry-standard KPIs could not be calculated at all.</w:t>
      </w:r>
    </w:p>
    <w:p>
      <w:pPr>
        <w:pStyle w:val="Heading3"/>
        <w:spacing w:after="100" w:before="200"/>
      </w:pPr>
      <w:r>
        <w:rPr>
          <w:rFonts w:ascii="Calibri" w:cs="Calibri" w:eastAsia="Calibri" w:hAnsi="Calibri"/>
          <w:b/>
          <w:bCs/>
          <w:color w:val="1F3864"/>
          <w:sz w:val="23"/>
          <w:szCs w:val="23"/>
        </w:rPr>
        <w:t xml:space="preserve">3.3 LTIFR (Lost Time Injury Frequency Rate, per 200,000 hours)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LTIFR =</w:t>
            </w:r>
          </w:p>
          <w:p>
            <w:pPr>
              <w:spacing w:after="20"/>
            </w:pPr>
            <w:r>
              <w:rPr>
                <w:rFonts w:ascii="Consolas" w:cs="Consolas" w:eastAsia="Consolas" w:hAnsi="Consolas"/>
                <w:color w:val="DCDCDC"/>
                <w:sz w:val="19"/>
                <w:szCs w:val="19"/>
              </w:rPr>
              <w:t xml:space="preserve">DIVIDE([Total LTI] * 200000, [Total Hours Worked])</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[Total LTI] * 200000 scales lost-time injuries to the standard OSHA-style base rate of 200,000 hours (equivalent to 100 employees working 40 hours/week for 50 weeks).</w:t>
      </w:r>
    </w:p>
    <w:p>
      <w:pPr>
        <w:pStyle w:val="ListParagraph"/>
        <w:numPr>
          <w:ilvl w:val="0"/>
          <w:numId w:val="1"/>
        </w:numPr>
        <w:spacing w:after="80"/>
      </w:pPr>
      <w:r>
        <w:rPr>
          <w:rFonts w:ascii="Calibri" w:cs="Calibri" w:eastAsia="Calibri" w:hAnsi="Calibri"/>
          <w:sz w:val="21"/>
          <w:szCs w:val="21"/>
        </w:rPr>
        <w:t xml:space="preserve">DIVIDE( ..., [Total Hours Worked]) produces the rate safely.</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this is the single most-watched KPI in almost every real-world HSE dashboard; it lets sites of very different sizes be compared fairly (a big site will always have more raw incidents than a small site, but LTIFR normalizes for exposure hours).</w:t>
      </w:r>
    </w:p>
    <w:p>
      <w:pPr>
        <w:pStyle w:val="Heading3"/>
        <w:spacing w:after="100" w:before="200"/>
      </w:pPr>
      <w:r>
        <w:rPr>
          <w:rFonts w:ascii="Calibri" w:cs="Calibri" w:eastAsia="Calibri" w:hAnsi="Calibri"/>
          <w:b/>
          <w:bCs/>
          <w:color w:val="1F3864"/>
          <w:sz w:val="23"/>
          <w:szCs w:val="23"/>
        </w:rPr>
        <w:t xml:space="preserve">3.4 TRIR (Total Recordable Incident Rate, per 200,000 hours)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Recordable Incidents =</w:t>
            </w:r>
          </w:p>
          <w:p>
            <w:pPr>
              <w:spacing w:after="20"/>
            </w:pPr>
            <w:r>
              <w:rPr>
                <w:rFonts w:ascii="Consolas" w:cs="Consolas" w:eastAsia="Consolas" w:hAnsi="Consolas"/>
                <w:color w:val="DCDCDC"/>
                <w:sz w:val="19"/>
                <w:szCs w:val="19"/>
              </w:rPr>
              <w:t xml:space="preserve">CALCULATE(</w:t>
            </w:r>
          </w:p>
          <w:p>
            <w:pPr>
              <w:spacing w:after="20"/>
            </w:pPr>
            <w:r>
              <w:rPr>
                <w:rFonts w:ascii="Consolas" w:cs="Consolas" w:eastAsia="Consolas" w:hAnsi="Consolas"/>
                <w:color w:val="DCDCDC"/>
                <w:sz w:val="19"/>
                <w:szCs w:val="19"/>
              </w:rPr>
              <w:t xml:space="preserve">    [Total Incidents],</w:t>
            </w:r>
          </w:p>
          <w:p>
            <w:pPr>
              <w:spacing w:after="20"/>
            </w:pPr>
            <w:r>
              <w:rPr>
                <w:rFonts w:ascii="Consolas" w:cs="Consolas" w:eastAsia="Consolas" w:hAnsi="Consolas"/>
                <w:color w:val="DCDCDC"/>
                <w:sz w:val="19"/>
                <w:szCs w:val="19"/>
              </w:rPr>
              <w:t xml:space="preserve">    fact_Incidents[IncidentType] IN</w:t>
            </w:r>
          </w:p>
          <w:p>
            <w:pPr>
              <w:spacing w:after="20"/>
            </w:pPr>
            <w:r>
              <w:rPr>
                <w:rFonts w:ascii="Consolas" w:cs="Consolas" w:eastAsia="Consolas" w:hAnsi="Consolas"/>
                <w:color w:val="DCDCDC"/>
                <w:sz w:val="19"/>
                <w:szCs w:val="19"/>
              </w:rPr>
              <w:t xml:space="preserve">        { "Medical Treatment Case", "Restricted Work Case", "Lost Time Injury", "Fatality" }</w:t>
            </w:r>
          </w:p>
          <w:p>
            <w:pPr>
              <w:spacing w:after="20"/>
            </w:pPr>
            <w:r>
              <w:rPr>
                <w:rFonts w:ascii="Consolas" w:cs="Consolas" w:eastAsia="Consolas" w:hAnsi="Consolas"/>
                <w:color w:val="DCDCDC"/>
                <w:sz w:val="19"/>
                <w:szCs w:val="19"/>
              </w:rPr>
              <w:t xml:space="preserve">)</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TRIR =</w:t>
            </w:r>
          </w:p>
          <w:p>
            <w:pPr>
              <w:spacing w:after="20"/>
            </w:pPr>
            <w:r>
              <w:rPr>
                <w:rFonts w:ascii="Consolas" w:cs="Consolas" w:eastAsia="Consolas" w:hAnsi="Consolas"/>
                <w:color w:val="DCDCDC"/>
                <w:sz w:val="19"/>
                <w:szCs w:val="19"/>
              </w:rPr>
              <w:t xml:space="preserve">DIVIDE([Total Recordable Incidents] * 200000, [Total Hours Worked])</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fact_Incidents[IncidentType] IN { ... } is a shorthand for an OR condition across the four incident types that count as "recordable" under standard HSE classification (near misses and first-aid-only cases do NOT count as recordable).</w:t>
      </w:r>
    </w:p>
    <w:p>
      <w:pPr>
        <w:pStyle w:val="ListParagraph"/>
        <w:numPr>
          <w:ilvl w:val="0"/>
          <w:numId w:val="1"/>
        </w:numPr>
        <w:spacing w:after="80"/>
      </w:pPr>
      <w:r>
        <w:rPr>
          <w:rFonts w:ascii="Calibri" w:cs="Calibri" w:eastAsia="Calibri" w:hAnsi="Calibri"/>
          <w:sz w:val="21"/>
          <w:szCs w:val="21"/>
        </w:rPr>
        <w:t xml:space="preserve">The TRIR calculation follows the same 200,000-hour scaling logic as LTIFR.</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TRIR is broader than LTIFR (it includes cases that didn't cause lost time) and is the second most-watched HSE KPI; shown side-by-side with LTIFR as twin KPI cards on Page 1.</w:t>
      </w:r>
    </w:p>
    <w:p>
      <w:pPr>
        <w:pStyle w:val="Heading3"/>
        <w:spacing w:after="100" w:before="200"/>
      </w:pPr>
      <w:r>
        <w:rPr>
          <w:rFonts w:ascii="Calibri" w:cs="Calibri" w:eastAsia="Calibri" w:hAnsi="Calibri"/>
          <w:b/>
          <w:bCs/>
          <w:color w:val="1F3864"/>
          <w:sz w:val="23"/>
          <w:szCs w:val="23"/>
        </w:rPr>
        <w:t xml:space="preserve">3.5 Severity Rate</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Severity Rate =</w:t>
            </w:r>
          </w:p>
          <w:p>
            <w:pPr>
              <w:spacing w:after="20"/>
            </w:pPr>
            <w:r>
              <w:rPr>
                <w:rFonts w:ascii="Consolas" w:cs="Consolas" w:eastAsia="Consolas" w:hAnsi="Consolas"/>
                <w:color w:val="DCDCDC"/>
                <w:sz w:val="19"/>
                <w:szCs w:val="19"/>
              </w:rPr>
              <w:t xml:space="preserve">DIVIDE([Total Days Lost] * 200000, [Total Hours Worked])</w:t>
            </w:r>
          </w:p>
        </w:tc>
      </w:tr>
    </w:tbl>
    <w:p>
      <w:pPr>
        <w:spacing w:after="120"/>
      </w:pPr>
      <w:r>
        <w:rPr>
          <w:rFonts w:ascii="Calibri" w:cs="Calibri" w:eastAsia="Calibri" w:hAnsi="Calibri"/>
          <w:sz w:val="22"/>
          <w:szCs w:val="22"/>
        </w:rPr>
        <w:t xml:space="preserve">Same normalization logic as LTIFR/TRIR, but measures how severe incidents are (days lost) rather than how frequent they are. A site could have a low LTIFR but a high Severity Rate if its few incidents tend to be serious - this measure exists specifically to catch that pattern.</w:t>
      </w:r>
    </w:p>
    <w:p>
      <w:pPr>
        <w:pStyle w:val="Heading3"/>
        <w:spacing w:after="100" w:before="200"/>
      </w:pPr>
      <w:r>
        <w:rPr>
          <w:rFonts w:ascii="Calibri" w:cs="Calibri" w:eastAsia="Calibri" w:hAnsi="Calibri"/>
          <w:b/>
          <w:bCs/>
          <w:color w:val="1F3864"/>
          <w:sz w:val="23"/>
          <w:szCs w:val="23"/>
        </w:rPr>
        <w:t xml:space="preserve">3.6 Incident Rate per 100 Employees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Incidents per 100 Employees =</w:t>
            </w:r>
          </w:p>
          <w:p>
            <w:pPr>
              <w:spacing w:after="20"/>
            </w:pPr>
            <w:r>
              <w:rPr>
                <w:rFonts w:ascii="Consolas" w:cs="Consolas" w:eastAsia="Consolas" w:hAnsi="Consolas"/>
                <w:color w:val="DCDCDC"/>
                <w:sz w:val="19"/>
                <w:szCs w:val="19"/>
              </w:rPr>
              <w:t xml:space="preserve">DIVIDE([Total Incidents] * 100, [Active Employees])</w:t>
            </w:r>
          </w:p>
        </w:tc>
      </w:tr>
    </w:tbl>
    <w:p>
      <w:pPr>
        <w:spacing w:after="120"/>
      </w:pPr>
      <w:r>
        <w:rPr>
          <w:rFonts w:ascii="Calibri" w:cs="Calibri" w:eastAsia="Calibri" w:hAnsi="Calibri"/>
          <w:sz w:val="22"/>
          <w:szCs w:val="22"/>
        </w:rPr>
        <w:t xml:space="preserve">A simpler, non-hours-based normalization that is easier for non-technical stakeholders to read than LTIFR. Used on the site comparison bar chart (Page 1) as a secondary label.</w:t>
      </w:r>
    </w:p>
    <w:p>
      <w:pPr>
        <w:pStyle w:val="Heading3"/>
        <w:spacing w:after="100" w:before="200"/>
      </w:pPr>
      <w:r>
        <w:rPr>
          <w:rFonts w:ascii="Calibri" w:cs="Calibri" w:eastAsia="Calibri" w:hAnsi="Calibri"/>
          <w:b/>
          <w:bCs/>
          <w:color w:val="1F3864"/>
          <w:sz w:val="23"/>
          <w:szCs w:val="23"/>
        </w:rPr>
        <w:t xml:space="preserve">3.7 Average Cost per Incident</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Average Cost per Incident =</w:t>
            </w:r>
          </w:p>
          <w:p>
            <w:pPr>
              <w:spacing w:after="20"/>
            </w:pPr>
            <w:r>
              <w:rPr>
                <w:rFonts w:ascii="Consolas" w:cs="Consolas" w:eastAsia="Consolas" w:hAnsi="Consolas"/>
                <w:color w:val="DCDCDC"/>
                <w:sz w:val="19"/>
                <w:szCs w:val="19"/>
              </w:rPr>
              <w:t xml:space="preserve">DIVIDE([Total Incident Cost], [Total Incidents])</w:t>
            </w:r>
          </w:p>
        </w:tc>
      </w:tr>
    </w:tbl>
    <w:p>
      <w:pPr>
        <w:spacing w:after="120"/>
      </w:pPr>
      <w:r>
        <w:rPr>
          <w:rFonts w:ascii="Calibri" w:cs="Calibri" w:eastAsia="Calibri" w:hAnsi="Calibri"/>
          <w:sz w:val="22"/>
          <w:szCs w:val="22"/>
        </w:rPr>
        <w:t xml:space="preserve">Straightforward ratio; used to show finance stakeholders the average financial exposure per event, and trended over time to show whether corrective actions are reducing incident severity in cost terms even if the count of incidents isn't falling as fast.</w:t>
      </w:r>
    </w:p>
    <w:p>
      <w:pPr>
        <w:pStyle w:val="Heading3"/>
        <w:spacing w:after="100" w:before="200"/>
      </w:pPr>
      <w:r>
        <w:rPr>
          <w:rFonts w:ascii="Calibri" w:cs="Calibri" w:eastAsia="Calibri" w:hAnsi="Calibri"/>
          <w:b/>
          <w:bCs/>
          <w:color w:val="1F3864"/>
          <w:sz w:val="23"/>
          <w:szCs w:val="23"/>
        </w:rPr>
        <w:t xml:space="preserve">3.8 Near Miss to LTI Ratio</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Near Miss to LTI Ratio =</w:t>
            </w:r>
          </w:p>
          <w:p>
            <w:pPr>
              <w:spacing w:after="20"/>
            </w:pPr>
            <w:r>
              <w:rPr>
                <w:rFonts w:ascii="Consolas" w:cs="Consolas" w:eastAsia="Consolas" w:hAnsi="Consolas"/>
                <w:color w:val="DCDCDC"/>
                <w:sz w:val="19"/>
                <w:szCs w:val="19"/>
              </w:rPr>
              <w:t xml:space="preserve">DIVIDE([Total Near Misses], [Total LTI])</w:t>
            </w:r>
          </w:p>
        </w:tc>
      </w:tr>
    </w:tbl>
    <w:p>
      <w:pPr>
        <w:spacing w:after="120"/>
      </w:pPr>
      <w:r>
        <w:rPr>
          <w:rFonts w:ascii="Calibri" w:cs="Calibri" w:eastAsia="Calibri" w:hAnsi="Calibri"/>
          <w:sz w:val="22"/>
          <w:szCs w:val="22"/>
        </w:rPr>
        <w:t xml:space="preserve">A classic leading-vs-lagging indicator ratio. A healthy safety reporting culture typically shows a HIGH ratio (many near misses reported for every actual injury), because it means people are reporting small problems before they become big ones. A LOW ratio can mean either genuinely few near misses, or - more worryingly - under-reporting.</w:t>
      </w:r>
    </w:p>
    <w:p>
      <w:pPr>
        <w:pStyle w:val="Heading2"/>
        <w:spacing w:after="140" w:before="280"/>
      </w:pPr>
      <w:r>
        <w:rPr>
          <w:rFonts w:ascii="Calibri" w:cs="Calibri" w:eastAsia="Calibri" w:hAnsi="Calibri"/>
          <w:b/>
          <w:bCs/>
          <w:color w:val="0E7C7B"/>
          <w:sz w:val="26"/>
          <w:szCs w:val="26"/>
        </w:rPr>
        <w:t xml:space="preserve">GROUP 4 - SAFETY BEHAVIOUR (BBS) MEASURES</w:t>
      </w:r>
    </w:p>
    <w:p>
      <w:pPr>
        <w:pStyle w:val="Heading3"/>
        <w:spacing w:after="100" w:before="200"/>
      </w:pPr>
      <w:r>
        <w:rPr>
          <w:rFonts w:ascii="Calibri" w:cs="Calibri" w:eastAsia="Calibri" w:hAnsi="Calibri"/>
          <w:b/>
          <w:bCs/>
          <w:color w:val="1F3864"/>
          <w:sz w:val="23"/>
          <w:szCs w:val="23"/>
        </w:rPr>
        <w:t xml:space="preserve">4.1 Safe Behavior %</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Safe Behavior % = DIVIDE([Safe Observations], [Total Observations])</w:t>
            </w:r>
          </w:p>
        </w:tc>
      </w:tr>
    </w:tbl>
    <w:p>
      <w:pPr>
        <w:spacing w:after="120"/>
      </w:pPr>
      <w:r>
        <w:rPr>
          <w:rFonts w:ascii="Calibri" w:cs="Calibri" w:eastAsia="Calibri" w:hAnsi="Calibri"/>
          <w:sz w:val="22"/>
          <w:szCs w:val="22"/>
        </w:rPr>
        <w:t xml:space="preserve">Percentage of all logged observations that were rated as safe behavior. Displayed as a KPI card formatted as a percentage, with conditional formatting (green above 80%, amber 60-80%, red below 60%) - thresholds documented in the Word document.</w:t>
      </w:r>
    </w:p>
    <w:p>
      <w:pPr>
        <w:pStyle w:val="Heading3"/>
        <w:spacing w:after="100" w:before="200"/>
      </w:pPr>
      <w:r>
        <w:rPr>
          <w:rFonts w:ascii="Calibri" w:cs="Calibri" w:eastAsia="Calibri" w:hAnsi="Calibri"/>
          <w:b/>
          <w:bCs/>
          <w:color w:val="1F3864"/>
          <w:sz w:val="23"/>
          <w:szCs w:val="23"/>
        </w:rPr>
        <w:t xml:space="preserve">4.2 Average Safety Score</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Average Safety Score = AVERAGE(fact_Observations[Score])</w:t>
            </w:r>
          </w:p>
        </w:tc>
      </w:tr>
    </w:tbl>
    <w:p>
      <w:pPr>
        <w:spacing w:after="120"/>
      </w:pPr>
      <w:r>
        <w:rPr>
          <w:rFonts w:ascii="Calibri" w:cs="Calibri" w:eastAsia="Calibri" w:hAnsi="Calibri"/>
          <w:sz w:val="22"/>
          <w:szCs w:val="22"/>
        </w:rPr>
        <w:t xml:space="preserve">Straightforward average of the 1-10 Score column; used as a secondary quality-of-behavior indicator alongside the simpler Safe Behavior %.</w:t>
      </w:r>
    </w:p>
    <w:p>
      <w:pPr>
        <w:pStyle w:val="Heading3"/>
        <w:spacing w:after="100" w:before="200"/>
      </w:pPr>
      <w:r>
        <w:rPr>
          <w:rFonts w:ascii="Calibri" w:cs="Calibri" w:eastAsia="Calibri" w:hAnsi="Calibri"/>
          <w:b/>
          <w:bCs/>
          <w:color w:val="1F3864"/>
          <w:sz w:val="23"/>
          <w:szCs w:val="23"/>
        </w:rPr>
        <w:t xml:space="preserve">4.3 High Risk Observations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High Risk Observations =</w:t>
            </w:r>
          </w:p>
          <w:p>
            <w:pPr>
              <w:spacing w:after="20"/>
            </w:pPr>
            <w:r>
              <w:rPr>
                <w:rFonts w:ascii="Consolas" w:cs="Consolas" w:eastAsia="Consolas" w:hAnsi="Consolas"/>
                <w:color w:val="DCDCDC"/>
                <w:sz w:val="19"/>
                <w:szCs w:val="19"/>
              </w:rPr>
              <w:t xml:space="preserve">CALCULATE([Total Observations], fact_Observations[RiskRating] = "High")</w:t>
            </w:r>
          </w:p>
        </w:tc>
      </w:tr>
    </w:tbl>
    <w:p>
      <w:pPr>
        <w:spacing w:after="120"/>
      </w:pPr>
      <w:r>
        <w:rPr>
          <w:rFonts w:ascii="Calibri" w:cs="Calibri" w:eastAsia="Calibri" w:hAnsi="Calibri"/>
          <w:sz w:val="22"/>
          <w:szCs w:val="22"/>
        </w:rPr>
        <w:t xml:space="preserve">Isolates the most serious at-risk observations; charted separately because a High-risk observation deserves more management attention than a Low-risk one even though both count as "At-Risk Behavior."</w:t>
      </w:r>
    </w:p>
    <w:p>
      <w:pPr>
        <w:pStyle w:val="Heading2"/>
        <w:spacing w:after="140" w:before="280"/>
      </w:pPr>
      <w:r>
        <w:rPr>
          <w:rFonts w:ascii="Calibri" w:cs="Calibri" w:eastAsia="Calibri" w:hAnsi="Calibri"/>
          <w:b/>
          <w:bCs/>
          <w:color w:val="0E7C7B"/>
          <w:sz w:val="26"/>
          <w:szCs w:val="26"/>
        </w:rPr>
        <w:t xml:space="preserve">GROUP 5 - ENVIRONMENTAL MEASURES</w:t>
      </w:r>
    </w:p>
    <w:p>
      <w:pPr>
        <w:pStyle w:val="Heading3"/>
        <w:spacing w:after="100" w:before="200"/>
      </w:pPr>
      <w:r>
        <w:rPr>
          <w:rFonts w:ascii="Calibri" w:cs="Calibri" w:eastAsia="Calibri" w:hAnsi="Calibri"/>
          <w:b/>
          <w:bCs/>
          <w:color w:val="1F3864"/>
          <w:sz w:val="23"/>
          <w:szCs w:val="23"/>
        </w:rPr>
        <w:t xml:space="preserve">5.1 Environmental Compliance %</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Environmental Compliance % = DIVIDE([Compliant Readings], [Total Env Readings])</w:t>
            </w:r>
          </w:p>
        </w:tc>
      </w:tr>
    </w:tbl>
    <w:p>
      <w:pPr>
        <w:spacing w:after="120"/>
      </w:pPr>
      <w:r>
        <w:rPr>
          <w:rFonts w:ascii="Calibri" w:cs="Calibri" w:eastAsia="Calibri" w:hAnsi="Calibri"/>
          <w:sz w:val="22"/>
          <w:szCs w:val="22"/>
        </w:rPr>
        <w:t xml:space="preserve">Percentage of all environmental readings that fell within their ComplianceLimit. This is the headline KPI on Page 4.</w:t>
      </w:r>
    </w:p>
    <w:p>
      <w:pPr>
        <w:pStyle w:val="Heading3"/>
        <w:spacing w:after="100" w:before="200"/>
      </w:pPr>
      <w:r>
        <w:rPr>
          <w:rFonts w:ascii="Calibri" w:cs="Calibri" w:eastAsia="Calibri" w:hAnsi="Calibri"/>
          <w:b/>
          <w:bCs/>
          <w:color w:val="1F3864"/>
          <w:sz w:val="23"/>
          <w:szCs w:val="23"/>
        </w:rPr>
        <w:t xml:space="preserve">5.2 Average Value by Parameter</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Avg Environmental Value = AVERAGE(fact_Environmental[Value])</w:t>
            </w:r>
          </w:p>
        </w:tc>
      </w:tr>
    </w:tbl>
    <w:p>
      <w:pPr>
        <w:spacing w:after="120"/>
      </w:pPr>
      <w:r>
        <w:rPr>
          <w:rFonts w:ascii="Calibri" w:cs="Calibri" w:eastAsia="Calibri" w:hAnsi="Calibri"/>
          <w:sz w:val="22"/>
          <w:szCs w:val="22"/>
        </w:rPr>
        <w:t xml:space="preserve">Used inside a matrix/table visual where ParameterType is a row so each parameter's average naturally breaks out per row via the visual's own filter context - the DAX itself stays simple because Power BI's automatic row-context filtering does the segmentation work.</w:t>
      </w:r>
    </w:p>
    <w:p>
      <w:pPr>
        <w:pStyle w:val="Heading3"/>
        <w:spacing w:after="100" w:before="200"/>
      </w:pPr>
      <w:r>
        <w:rPr>
          <w:rFonts w:ascii="Calibri" w:cs="Calibri" w:eastAsia="Calibri" w:hAnsi="Calibri"/>
          <w:b/>
          <w:bCs/>
          <w:color w:val="1F3864"/>
          <w:sz w:val="23"/>
          <w:szCs w:val="23"/>
        </w:rPr>
        <w:t xml:space="preserve">5.3 Variance to Compliance Limit</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Variance to Limit % =</w:t>
            </w:r>
          </w:p>
          <w:p>
            <w:pPr>
              <w:spacing w:after="20"/>
            </w:pPr>
            <w:r>
              <w:rPr>
                <w:rFonts w:ascii="Consolas" w:cs="Consolas" w:eastAsia="Consolas" w:hAnsi="Consolas"/>
                <w:color w:val="DCDCDC"/>
                <w:sz w:val="19"/>
                <w:szCs w:val="19"/>
              </w:rPr>
              <w:t xml:space="preserve">VAR AvgValue = [Avg Environmental Value]</w:t>
            </w:r>
          </w:p>
          <w:p>
            <w:pPr>
              <w:spacing w:after="20"/>
            </w:pPr>
            <w:r>
              <w:rPr>
                <w:rFonts w:ascii="Consolas" w:cs="Consolas" w:eastAsia="Consolas" w:hAnsi="Consolas"/>
                <w:color w:val="DCDCDC"/>
                <w:sz w:val="19"/>
                <w:szCs w:val="19"/>
              </w:rPr>
              <w:t xml:space="preserve">VAR AvgLimit = AVERAGE(fact_Environmental[ComplianceLimit])</w:t>
            </w:r>
          </w:p>
          <w:p>
            <w:pPr>
              <w:spacing w:after="20"/>
            </w:pPr>
            <w:r>
              <w:rPr>
                <w:rFonts w:ascii="Consolas" w:cs="Consolas" w:eastAsia="Consolas" w:hAnsi="Consolas"/>
                <w:color w:val="DCDCDC"/>
                <w:sz w:val="19"/>
                <w:szCs w:val="19"/>
              </w:rPr>
              <w:t xml:space="preserve">RETURN</w:t>
            </w:r>
          </w:p>
          <w:p>
            <w:pPr>
              <w:spacing w:after="20"/>
            </w:pPr>
            <w:r>
              <w:rPr>
                <w:rFonts w:ascii="Consolas" w:cs="Consolas" w:eastAsia="Consolas" w:hAnsi="Consolas"/>
                <w:color w:val="DCDCDC"/>
                <w:sz w:val="19"/>
                <w:szCs w:val="19"/>
              </w:rPr>
              <w:t xml:space="preserve">    DIVIDE(AvgValue - AvgLimit, AvgLimit)</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AvgValue captures the average reading in the current context.</w:t>
      </w:r>
    </w:p>
    <w:p>
      <w:pPr>
        <w:pStyle w:val="ListParagraph"/>
        <w:numPr>
          <w:ilvl w:val="0"/>
          <w:numId w:val="1"/>
        </w:numPr>
        <w:spacing w:after="80"/>
      </w:pPr>
      <w:r>
        <w:rPr>
          <w:rFonts w:ascii="Calibri" w:cs="Calibri" w:eastAsia="Calibri" w:hAnsi="Calibri"/>
          <w:sz w:val="21"/>
          <w:szCs w:val="21"/>
        </w:rPr>
        <w:t xml:space="preserve">AvgLimit captures the average allowed limit in the same context.</w:t>
      </w:r>
    </w:p>
    <w:p>
      <w:pPr>
        <w:pStyle w:val="ListParagraph"/>
        <w:numPr>
          <w:ilvl w:val="0"/>
          <w:numId w:val="1"/>
        </w:numPr>
        <w:spacing w:after="80"/>
      </w:pPr>
      <w:r>
        <w:rPr>
          <w:rFonts w:ascii="Calibri" w:cs="Calibri" w:eastAsia="Calibri" w:hAnsi="Calibri"/>
          <w:sz w:val="21"/>
          <w:szCs w:val="21"/>
        </w:rPr>
        <w:t xml:space="preserve">The RETURN line expresses how far over (positive) or under (negative) the limit the site or parameter is running, as a percentage.</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used as a conditional-formatted column inside the Page 4 table so reviewers can spot which parameter, at which site, is closest to breaching its limit - even before it actually goes Non-Compliant.</w:t>
      </w:r>
    </w:p>
    <w:p>
      <w:pPr>
        <w:pStyle w:val="Heading2"/>
        <w:spacing w:after="140" w:before="280"/>
      </w:pPr>
      <w:r>
        <w:rPr>
          <w:rFonts w:ascii="Calibri" w:cs="Calibri" w:eastAsia="Calibri" w:hAnsi="Calibri"/>
          <w:b/>
          <w:bCs/>
          <w:color w:val="0E7C7B"/>
          <w:sz w:val="26"/>
          <w:szCs w:val="26"/>
        </w:rPr>
        <w:t xml:space="preserve">GROUP 6 - TRAINING MEASURES</w:t>
      </w:r>
    </w:p>
    <w:p>
      <w:pPr>
        <w:pStyle w:val="Heading3"/>
        <w:spacing w:after="100" w:before="200"/>
      </w:pPr>
      <w:r>
        <w:rPr>
          <w:rFonts w:ascii="Calibri" w:cs="Calibri" w:eastAsia="Calibri" w:hAnsi="Calibri"/>
          <w:b/>
          <w:bCs/>
          <w:color w:val="1F3864"/>
          <w:sz w:val="23"/>
          <w:szCs w:val="23"/>
        </w:rPr>
        <w:t xml:space="preserve">6.1 Training Pass Rate %</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Training Pass Rate % = DIVIDE([Passed Trainings], [Total Trainings])</w:t>
            </w:r>
          </w:p>
        </w:tc>
      </w:tr>
    </w:tbl>
    <w:p>
      <w:pPr>
        <w:spacing w:after="120"/>
      </w:pPr>
      <w:r>
        <w:rPr>
          <w:rFonts w:ascii="Calibri" w:cs="Calibri" w:eastAsia="Calibri" w:hAnsi="Calibri"/>
          <w:sz w:val="22"/>
          <w:szCs w:val="22"/>
        </w:rPr>
        <w:t xml:space="preserve">Basic pass-rate percentage, headline KPI on Page 5.</w:t>
      </w:r>
    </w:p>
    <w:p>
      <w:pPr>
        <w:pStyle w:val="Heading3"/>
        <w:spacing w:after="100" w:before="200"/>
      </w:pPr>
      <w:r>
        <w:rPr>
          <w:rFonts w:ascii="Calibri" w:cs="Calibri" w:eastAsia="Calibri" w:hAnsi="Calibri"/>
          <w:b/>
          <w:bCs/>
          <w:color w:val="1F3864"/>
          <w:sz w:val="23"/>
          <w:szCs w:val="23"/>
        </w:rPr>
        <w:t xml:space="preserve">6.2 Average Training Score</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Average Training Score = AVERAGE(fact_Training[Score])</w:t>
            </w:r>
          </w:p>
        </w:tc>
      </w:tr>
    </w:tbl>
    <w:p>
      <w:pPr>
        <w:spacing w:after="120"/>
      </w:pPr>
      <w:r>
        <w:rPr>
          <w:rFonts w:ascii="Calibri" w:cs="Calibri" w:eastAsia="Calibri" w:hAnsi="Calibri"/>
          <w:sz w:val="22"/>
          <w:szCs w:val="22"/>
        </w:rPr>
        <w:t xml:space="preserve">Simple average, used alongside pass rate because a course can have a 100% pass rate (60+ score)</w:t>
      </w:r>
    </w:p>
    <w:p>
      <w:pPr>
        <w:spacing w:after="120"/>
      </w:pPr>
      <w:r>
        <w:rPr>
          <w:rFonts w:ascii="Calibri" w:cs="Calibri" w:eastAsia="Calibri" w:hAnsi="Calibri"/>
          <w:sz w:val="22"/>
          <w:szCs w:val="22"/>
        </w:rPr>
        <w:t xml:space="preserve">while still trending down in average score - the two measures catch different problems.</w:t>
      </w:r>
    </w:p>
    <w:p>
      <w:pPr>
        <w:pStyle w:val="Heading3"/>
        <w:spacing w:after="100" w:before="200"/>
      </w:pPr>
      <w:r>
        <w:rPr>
          <w:rFonts w:ascii="Calibri" w:cs="Calibri" w:eastAsia="Calibri" w:hAnsi="Calibri"/>
          <w:b/>
          <w:bCs/>
          <w:color w:val="1F3864"/>
          <w:sz w:val="23"/>
          <w:szCs w:val="23"/>
        </w:rPr>
        <w:t xml:space="preserve">6.3 Certifications Expiring Soon</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Certifications Expiring Soon =</w:t>
            </w:r>
          </w:p>
          <w:p>
            <w:pPr>
              <w:spacing w:after="20"/>
            </w:pPr>
            <w:r>
              <w:rPr>
                <w:rFonts w:ascii="Consolas" w:cs="Consolas" w:eastAsia="Consolas" w:hAnsi="Consolas"/>
                <w:color w:val="DCDCDC"/>
                <w:sz w:val="19"/>
                <w:szCs w:val="19"/>
              </w:rPr>
              <w:t xml:space="preserve">CALCULATE(</w:t>
            </w:r>
          </w:p>
          <w:p>
            <w:pPr>
              <w:spacing w:after="20"/>
            </w:pPr>
            <w:r>
              <w:rPr>
                <w:rFonts w:ascii="Consolas" w:cs="Consolas" w:eastAsia="Consolas" w:hAnsi="Consolas"/>
                <w:color w:val="DCDCDC"/>
                <w:sz w:val="19"/>
                <w:szCs w:val="19"/>
              </w:rPr>
              <w:t xml:space="preserve">    [Total Trainings],</w:t>
            </w:r>
          </w:p>
          <w:p>
            <w:pPr>
              <w:spacing w:after="20"/>
            </w:pPr>
            <w:r>
              <w:rPr>
                <w:rFonts w:ascii="Consolas" w:cs="Consolas" w:eastAsia="Consolas" w:hAnsi="Consolas"/>
                <w:color w:val="DCDCDC"/>
                <w:sz w:val="19"/>
                <w:szCs w:val="19"/>
              </w:rPr>
              <w:t xml:space="preserve">    fact_Training[CertificationStatus] = "Expiring Soon"</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sz w:val="22"/>
          <w:szCs w:val="22"/>
        </w:rPr>
        <w:t xml:space="preserve">Simple filtered count, but conceptually important because of where its date actually lives:</w:t>
      </w:r>
    </w:p>
    <w:p>
      <w:pPr>
        <w:spacing w:after="120"/>
      </w:pPr>
      <w:r>
        <w:rPr>
          <w:rFonts w:ascii="Calibri" w:cs="Calibri" w:eastAsia="Calibri" w:hAnsi="Calibri"/>
          <w:sz w:val="22"/>
          <w:szCs w:val="22"/>
        </w:rPr>
        <w:t xml:space="preserve">CertificationStatus is driven by ExpiryDateKey, a SECOND relationship to dim_Date that is INACTIVE by default (see Group 7 below for how to reactivate it inside a measure).</w:t>
      </w:r>
    </w:p>
    <w:p>
      <w:pPr>
        <w:pStyle w:val="Heading3"/>
        <w:spacing w:after="100" w:before="200"/>
      </w:pPr>
      <w:r>
        <w:rPr>
          <w:rFonts w:ascii="Calibri" w:cs="Calibri" w:eastAsia="Calibri" w:hAnsi="Calibri"/>
          <w:b/>
          <w:bCs/>
          <w:color w:val="1F3864"/>
          <w:sz w:val="23"/>
          <w:szCs w:val="23"/>
        </w:rPr>
        <w:t xml:space="preserve">6.4 Certifications Expiring in Next 30 Days (using USERELATIONSHIP)</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Certifications Expiring Next 30 Days =</w:t>
            </w:r>
          </w:p>
          <w:p>
            <w:pPr>
              <w:spacing w:after="20"/>
            </w:pPr>
            <w:r>
              <w:rPr>
                <w:rFonts w:ascii="Consolas" w:cs="Consolas" w:eastAsia="Consolas" w:hAnsi="Consolas"/>
                <w:color w:val="DCDCDC"/>
                <w:sz w:val="19"/>
                <w:szCs w:val="19"/>
              </w:rPr>
              <w:t xml:space="preserve">CALCULATE(</w:t>
            </w:r>
          </w:p>
          <w:p>
            <w:pPr>
              <w:spacing w:after="20"/>
            </w:pPr>
            <w:r>
              <w:rPr>
                <w:rFonts w:ascii="Consolas" w:cs="Consolas" w:eastAsia="Consolas" w:hAnsi="Consolas"/>
                <w:color w:val="DCDCDC"/>
                <w:sz w:val="19"/>
                <w:szCs w:val="19"/>
              </w:rPr>
              <w:t xml:space="preserve">    [Total Trainings],</w:t>
            </w:r>
          </w:p>
          <w:p>
            <w:pPr>
              <w:spacing w:after="20"/>
            </w:pPr>
            <w:r>
              <w:rPr>
                <w:rFonts w:ascii="Consolas" w:cs="Consolas" w:eastAsia="Consolas" w:hAnsi="Consolas"/>
                <w:color w:val="DCDCDC"/>
                <w:sz w:val="19"/>
                <w:szCs w:val="19"/>
              </w:rPr>
              <w:t xml:space="preserve">    USERELATIONSHIP(fact_Training[ExpiryDateKey], dim_Date[DateKey]),</w:t>
            </w:r>
          </w:p>
          <w:p>
            <w:pPr>
              <w:spacing w:after="20"/>
            </w:pPr>
            <w:r>
              <w:rPr>
                <w:rFonts w:ascii="Consolas" w:cs="Consolas" w:eastAsia="Consolas" w:hAnsi="Consolas"/>
                <w:color w:val="DCDCDC"/>
                <w:sz w:val="19"/>
                <w:szCs w:val="19"/>
              </w:rPr>
              <w:t xml:space="preserve">    DATESBETWEEN(</w:t>
            </w:r>
          </w:p>
          <w:p>
            <w:pPr>
              <w:spacing w:after="20"/>
            </w:pPr>
            <w:r>
              <w:rPr>
                <w:rFonts w:ascii="Consolas" w:cs="Consolas" w:eastAsia="Consolas" w:hAnsi="Consolas"/>
                <w:color w:val="DCDCDC"/>
                <w:sz w:val="19"/>
                <w:szCs w:val="19"/>
              </w:rPr>
              <w:t xml:space="preserve">        dim_Date[Date],</w:t>
            </w:r>
          </w:p>
          <w:p>
            <w:pPr>
              <w:spacing w:after="20"/>
            </w:pPr>
            <w:r>
              <w:rPr>
                <w:rFonts w:ascii="Consolas" w:cs="Consolas" w:eastAsia="Consolas" w:hAnsi="Consolas"/>
                <w:color w:val="DCDCDC"/>
                <w:sz w:val="19"/>
                <w:szCs w:val="19"/>
              </w:rPr>
              <w:t xml:space="preserve">        TODAY(),</w:t>
            </w:r>
          </w:p>
          <w:p>
            <w:pPr>
              <w:spacing w:after="20"/>
            </w:pPr>
            <w:r>
              <w:rPr>
                <w:rFonts w:ascii="Consolas" w:cs="Consolas" w:eastAsia="Consolas" w:hAnsi="Consolas"/>
                <w:color w:val="DCDCDC"/>
                <w:sz w:val="19"/>
                <w:szCs w:val="19"/>
              </w:rPr>
              <w:t xml:space="preserve">        TODAY() + 30</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USERELATIONSHIP(fact_Training[ExpiryDateKey], dim_Date[DateKey]) temporarily activates the otherwise-inactive relationship between fact_Training's expiry date and dim_Date, for the duration of this CALCULATE only. Without this line, the DATESBETWEEN filter below would silently apply to the ACTIVE relationship (training delivery date) instead, giving a completely wrong (and un-obvious) answer.</w:t>
      </w:r>
    </w:p>
    <w:p>
      <w:pPr>
        <w:pStyle w:val="ListParagraph"/>
        <w:numPr>
          <w:ilvl w:val="0"/>
          <w:numId w:val="1"/>
        </w:numPr>
        <w:spacing w:after="80"/>
      </w:pPr>
      <w:r>
        <w:rPr>
          <w:rFonts w:ascii="Calibri" w:cs="Calibri" w:eastAsia="Calibri" w:hAnsi="Calibri"/>
          <w:sz w:val="21"/>
          <w:szCs w:val="21"/>
        </w:rPr>
        <w:t xml:space="preserve">DATESBETWEEN(dim_Date[Date], TODAY(), TODAY()+30) builds a 30-day forward-looking date window from today.</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this measure is included deliberately: it is the single best teaching example in this whole dataset of (a) why Power BI restricts a table pair to one active relationship at a time, and (b) how USERELATIONSHIP lets a measure reach for the inactive one on demand. Every student should be able to explain, from this one measure, why fact_Training[DateKey] and fact_Training[ExpiryDateKey] cannot both be active relationships to dim_Date simultaneously.</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this measure powers the "certifications expiring soon" alert table on Page 5, which is the single most actionable item on that page for an HSE training coordinator.</w:t>
      </w:r>
    </w:p>
    <w:p>
      <w:pPr>
        <w:pStyle w:val="Heading2"/>
        <w:spacing w:after="140" w:before="280"/>
      </w:pPr>
      <w:r>
        <w:rPr>
          <w:rFonts w:ascii="Calibri" w:cs="Calibri" w:eastAsia="Calibri" w:hAnsi="Calibri"/>
          <w:b/>
          <w:bCs/>
          <w:color w:val="0E7C7B"/>
          <w:sz w:val="26"/>
          <w:szCs w:val="26"/>
        </w:rPr>
        <w:t xml:space="preserve">GROUP 7 - KPI STATUS / CONDITIONAL FORMATTING HELPER MEASURES</w:t>
      </w:r>
    </w:p>
    <w:p>
      <w:pPr>
        <w:pStyle w:val="Heading3"/>
        <w:spacing w:after="100" w:before="200"/>
      </w:pPr>
      <w:r>
        <w:rPr>
          <w:rFonts w:ascii="Calibri" w:cs="Calibri" w:eastAsia="Calibri" w:hAnsi="Calibri"/>
          <w:b/>
          <w:bCs/>
          <w:color w:val="1F3864"/>
          <w:sz w:val="23"/>
          <w:szCs w:val="23"/>
        </w:rPr>
        <w:t xml:space="preserve">7.1 LTIFR Status (traffic-light helper)</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LTIFR Status =</w:t>
            </w:r>
          </w:p>
          <w:p>
            <w:pPr>
              <w:spacing w:after="20"/>
            </w:pPr>
            <w:r>
              <w:rPr>
                <w:rFonts w:ascii="Consolas" w:cs="Consolas" w:eastAsia="Consolas" w:hAnsi="Consolas"/>
                <w:color w:val="DCDCDC"/>
                <w:sz w:val="19"/>
                <w:szCs w:val="19"/>
              </w:rPr>
              <w:t xml:space="preserve">SWITCH(</w:t>
            </w:r>
          </w:p>
          <w:p>
            <w:pPr>
              <w:spacing w:after="20"/>
            </w:pPr>
            <w:r>
              <w:rPr>
                <w:rFonts w:ascii="Consolas" w:cs="Consolas" w:eastAsia="Consolas" w:hAnsi="Consolas"/>
                <w:color w:val="DCDCDC"/>
                <w:sz w:val="19"/>
                <w:szCs w:val="19"/>
              </w:rPr>
              <w:t xml:space="preserve">    TRUE(),</w:t>
            </w:r>
          </w:p>
          <w:p>
            <w:pPr>
              <w:spacing w:after="20"/>
            </w:pPr>
            <w:r>
              <w:rPr>
                <w:rFonts w:ascii="Consolas" w:cs="Consolas" w:eastAsia="Consolas" w:hAnsi="Consolas"/>
                <w:color w:val="DCDCDC"/>
                <w:sz w:val="19"/>
                <w:szCs w:val="19"/>
              </w:rPr>
              <w:t xml:space="preserve">    [LTIFR] = BLANK(), "No Data",</w:t>
            </w:r>
          </w:p>
          <w:p>
            <w:pPr>
              <w:spacing w:after="20"/>
            </w:pPr>
            <w:r>
              <w:rPr>
                <w:rFonts w:ascii="Consolas" w:cs="Consolas" w:eastAsia="Consolas" w:hAnsi="Consolas"/>
                <w:color w:val="DCDCDC"/>
                <w:sz w:val="19"/>
                <w:szCs w:val="19"/>
              </w:rPr>
              <w:t xml:space="preserve">    [LTIFR] &lt;= 0.5, "On Target",</w:t>
            </w:r>
          </w:p>
          <w:p>
            <w:pPr>
              <w:spacing w:after="20"/>
            </w:pPr>
            <w:r>
              <w:rPr>
                <w:rFonts w:ascii="Consolas" w:cs="Consolas" w:eastAsia="Consolas" w:hAnsi="Consolas"/>
                <w:color w:val="DCDCDC"/>
                <w:sz w:val="19"/>
                <w:szCs w:val="19"/>
              </w:rPr>
              <w:t xml:space="preserve">    [LTIFR] &lt;= 1.5, "Watch",</w:t>
            </w:r>
          </w:p>
          <w:p>
            <w:pPr>
              <w:spacing w:after="20"/>
            </w:pPr>
            <w:r>
              <w:rPr>
                <w:rFonts w:ascii="Consolas" w:cs="Consolas" w:eastAsia="Consolas" w:hAnsi="Consolas"/>
                <w:color w:val="DCDCDC"/>
                <w:sz w:val="19"/>
                <w:szCs w:val="19"/>
              </w:rPr>
              <w:t xml:space="preserve">    "Off Target"</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SWITCH(TRUE(), condition1, result1, condition2, result2, ..., default) is the standard DAX pattern for an IF/ELSE-IF chain that is easier to read than nested IF() statements.</w:t>
      </w:r>
    </w:p>
    <w:p>
      <w:pPr>
        <w:pStyle w:val="ListParagraph"/>
        <w:numPr>
          <w:ilvl w:val="0"/>
          <w:numId w:val="1"/>
        </w:numPr>
        <w:spacing w:after="80"/>
      </w:pPr>
      <w:r>
        <w:rPr>
          <w:rFonts w:ascii="Calibri" w:cs="Calibri" w:eastAsia="Calibri" w:hAnsi="Calibri"/>
          <w:sz w:val="21"/>
          <w:szCs w:val="21"/>
        </w:rPr>
        <w:t xml:space="preserve">Each condition is checked top to bottom; the first TRUE condition wins.</w:t>
      </w:r>
    </w:p>
    <w:p>
      <w:pPr>
        <w:pStyle w:val="ListParagraph"/>
        <w:numPr>
          <w:ilvl w:val="0"/>
          <w:numId w:val="1"/>
        </w:numPr>
        <w:spacing w:after="80"/>
      </w:pPr>
      <w:r>
        <w:rPr>
          <w:rFonts w:ascii="Calibri" w:cs="Calibri" w:eastAsia="Calibri" w:hAnsi="Calibri"/>
          <w:sz w:val="21"/>
          <w:szCs w:val="21"/>
        </w:rPr>
        <w:t xml:space="preserve">Thresholds (0.5, 1.5) are illustrative targets that should be replaced with the organization's actual internal safety targets - documented explicitly so students know these are placeholders, not universal HSE standards.</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this text measure is bound to a card's conditional formatting / to a KPI visual's "format by rules" so the LTIFR card shows green/amber/red without a separate visual just for color - and it is also usable directly in a table/tooltip as a readable status label.</w:t>
      </w:r>
    </w:p>
    <w:p>
      <w:pPr>
        <w:pStyle w:val="Heading3"/>
        <w:spacing w:after="100" w:before="200"/>
      </w:pPr>
      <w:r>
        <w:rPr>
          <w:rFonts w:ascii="Calibri" w:cs="Calibri" w:eastAsia="Calibri" w:hAnsi="Calibri"/>
          <w:b/>
          <w:bCs/>
          <w:color w:val="1F3864"/>
          <w:sz w:val="23"/>
          <w:szCs w:val="23"/>
        </w:rPr>
        <w:t xml:space="preserve">7.2 Environmental Compliance Status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Environmental Compliance Status =</w:t>
            </w:r>
          </w:p>
          <w:p>
            <w:pPr>
              <w:spacing w:after="20"/>
            </w:pPr>
            <w:r>
              <w:rPr>
                <w:rFonts w:ascii="Consolas" w:cs="Consolas" w:eastAsia="Consolas" w:hAnsi="Consolas"/>
                <w:color w:val="DCDCDC"/>
                <w:sz w:val="19"/>
                <w:szCs w:val="19"/>
              </w:rPr>
              <w:t xml:space="preserve">SWITCH(</w:t>
            </w:r>
          </w:p>
          <w:p>
            <w:pPr>
              <w:spacing w:after="20"/>
            </w:pPr>
            <w:r>
              <w:rPr>
                <w:rFonts w:ascii="Consolas" w:cs="Consolas" w:eastAsia="Consolas" w:hAnsi="Consolas"/>
                <w:color w:val="DCDCDC"/>
                <w:sz w:val="19"/>
                <w:szCs w:val="19"/>
              </w:rPr>
              <w:t xml:space="preserve">    TRUE(),</w:t>
            </w:r>
          </w:p>
          <w:p>
            <w:pPr>
              <w:spacing w:after="20"/>
            </w:pPr>
            <w:r>
              <w:rPr>
                <w:rFonts w:ascii="Consolas" w:cs="Consolas" w:eastAsia="Consolas" w:hAnsi="Consolas"/>
                <w:color w:val="DCDCDC"/>
                <w:sz w:val="19"/>
                <w:szCs w:val="19"/>
              </w:rPr>
              <w:t xml:space="preserve">    [Environmental Compliance %] = BLANK(), "No Data",</w:t>
            </w:r>
          </w:p>
          <w:p>
            <w:pPr>
              <w:spacing w:after="20"/>
            </w:pPr>
            <w:r>
              <w:rPr>
                <w:rFonts w:ascii="Consolas" w:cs="Consolas" w:eastAsia="Consolas" w:hAnsi="Consolas"/>
                <w:color w:val="DCDCDC"/>
                <w:sz w:val="19"/>
                <w:szCs w:val="19"/>
              </w:rPr>
              <w:t xml:space="preserve">    [Environmental Compliance %] &gt;= 0.95, "Compliant",</w:t>
            </w:r>
          </w:p>
          <w:p>
            <w:pPr>
              <w:spacing w:after="20"/>
            </w:pPr>
            <w:r>
              <w:rPr>
                <w:rFonts w:ascii="Consolas" w:cs="Consolas" w:eastAsia="Consolas" w:hAnsi="Consolas"/>
                <w:color w:val="DCDCDC"/>
                <w:sz w:val="19"/>
                <w:szCs w:val="19"/>
              </w:rPr>
              <w:t xml:space="preserve">    [Environmental Compliance %] &gt;= 0.85, "Marginal",</w:t>
            </w:r>
          </w:p>
          <w:p>
            <w:pPr>
              <w:spacing w:after="20"/>
            </w:pPr>
            <w:r>
              <w:rPr>
                <w:rFonts w:ascii="Consolas" w:cs="Consolas" w:eastAsia="Consolas" w:hAnsi="Consolas"/>
                <w:color w:val="DCDCDC"/>
                <w:sz w:val="19"/>
                <w:szCs w:val="19"/>
              </w:rPr>
              <w:t xml:space="preserve">    "Non-Compliant"</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sz w:val="22"/>
          <w:szCs w:val="22"/>
        </w:rPr>
        <w:t xml:space="preserve">Same SWITCH(TRUE()) pattern as 7.1, applied to environmental compliance thresholds.</w:t>
      </w:r>
    </w:p>
    <w:p>
      <w:pPr>
        <w:spacing w:after="120"/>
      </w:pPr>
      <w:r>
        <w:rPr>
          <w:rFonts w:ascii="Calibri" w:cs="Calibri" w:eastAsia="Calibri" w:hAnsi="Calibri"/>
          <w:sz w:val="22"/>
          <w:szCs w:val="22"/>
        </w:rPr>
        <w:t xml:space="preserve">Used to color the Page 4 KPI card and the site-level compliance table.</w:t>
      </w:r>
    </w:p>
    <w:p>
      <w:pPr>
        <w:pStyle w:val="Heading1"/>
        <w:pBdr>
          <w:bottom w:val="single" w:color="0E7C7B" w:sz="12" w:space="4"/>
        </w:pBdr>
        <w:spacing w:after="200" w:before="360"/>
      </w:pPr>
      <w:r>
        <w:rPr>
          <w:rFonts w:ascii="Calibri" w:cs="Calibri" w:eastAsia="Calibri" w:hAnsi="Calibri"/>
          <w:b/>
          <w:bCs/>
          <w:color w:val="1F3864"/>
          <w:sz w:val="32"/>
          <w:szCs w:val="32"/>
        </w:rPr>
        <w:t xml:space="preserve">6. Measures-to-Page Reference Map</w:t>
      </w:r>
    </w:p>
    <w:p>
      <w:pPr>
        <w:spacing w:after="120"/>
      </w:pPr>
      <w:r>
        <w:rPr>
          <w:rFonts w:ascii="Calibri" w:cs="Calibri" w:eastAsia="Calibri" w:hAnsi="Calibri"/>
          <w:sz w:val="22"/>
          <w:szCs w:val="22"/>
        </w:rPr>
        <w:t xml:space="preserve">Use this table to quickly confirm which measures belong on which dashboard page while building the report pages in the next section.</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tblGrid>
      <w:tr>
        <w:trPr>
          <w:tblHeader/>
        </w:trPr>
        <w:tc>
          <w:tcPr>
            <w:tcW w:type="dxa" w:w="22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Page</w:t>
            </w:r>
          </w:p>
        </w:tc>
        <w:tc>
          <w:tcPr>
            <w:tcW w:type="dxa" w:w="68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Measures Used</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1. Executive HSE Overview</w:t>
            </w:r>
          </w:p>
        </w:tc>
        <w:tc>
          <w:tcPr>
            <w:tcW w:type="dxa" w:w="6800"/>
            <w:shd w:fill="FFFFFF" w:val="clear"/>
            <w:tcMar>
              <w:top w:type="dxa" w:w="50"/>
              <w:left w:type="dxa" w:w="100"/>
              <w:bottom w:type="dxa" w:w="50"/>
              <w:right w:type="dxa" w:w="100"/>
            </w:tcMar>
          </w:tcPr>
          <w:p>
            <w:r>
              <w:rPr>
                <w:rFonts w:ascii="Calibri" w:cs="Calibri" w:eastAsia="Calibri" w:hAnsi="Calibri"/>
                <w:sz w:val="18"/>
                <w:szCs w:val="18"/>
              </w:rPr>
              <w:t xml:space="preserve">Total Incidents, Incidents PY, Incidents YoY % Change, Incidents YTD, LTIFR, TRIR, LTIFR Status, Total Days Lost, Environmental Compliance %, Training Pass Rate %, Incidents per 100 Employees</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2. Incident Deep Dive</w:t>
            </w:r>
          </w:p>
        </w:tc>
        <w:tc>
          <w:tcPr>
            <w:tcW w:type="dxa" w:w="6800"/>
            <w:shd w:fill="F4F6F8" w:val="clear"/>
            <w:tcMar>
              <w:top w:type="dxa" w:w="50"/>
              <w:left w:type="dxa" w:w="100"/>
              <w:bottom w:type="dxa" w:w="50"/>
              <w:right w:type="dxa" w:w="100"/>
            </w:tcMar>
          </w:tcPr>
          <w:p>
            <w:r>
              <w:rPr>
                <w:rFonts w:ascii="Calibri" w:cs="Calibri" w:eastAsia="Calibri" w:hAnsi="Calibri"/>
                <w:sz w:val="18"/>
                <w:szCs w:val="18"/>
              </w:rPr>
              <w:t xml:space="preserve">Total Incidents, Total Near Misses, Total LTI, Total Fatalities, Average Cost per Incident, Total Incident Cost, Near Miss to LTI Ratio, Incidents 3M Avg</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3. Safety Behaviour (BBS)</w:t>
            </w:r>
          </w:p>
        </w:tc>
        <w:tc>
          <w:tcPr>
            <w:tcW w:type="dxa" w:w="6800"/>
            <w:shd w:fill="FFFFFF" w:val="clear"/>
            <w:tcMar>
              <w:top w:type="dxa" w:w="50"/>
              <w:left w:type="dxa" w:w="100"/>
              <w:bottom w:type="dxa" w:w="50"/>
              <w:right w:type="dxa" w:w="100"/>
            </w:tcMar>
          </w:tcPr>
          <w:p>
            <w:r>
              <w:rPr>
                <w:rFonts w:ascii="Calibri" w:cs="Calibri" w:eastAsia="Calibri" w:hAnsi="Calibri"/>
                <w:sz w:val="18"/>
                <w:szCs w:val="18"/>
              </w:rPr>
              <w:t xml:space="preserve">Total Observations, Safe Observations, At-Risk Observations, Safe Behavior %, Average Safety Score, High Risk Observations</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4. Environmental Compliance</w:t>
            </w:r>
          </w:p>
        </w:tc>
        <w:tc>
          <w:tcPr>
            <w:tcW w:type="dxa" w:w="6800"/>
            <w:shd w:fill="F4F6F8" w:val="clear"/>
            <w:tcMar>
              <w:top w:type="dxa" w:w="50"/>
              <w:left w:type="dxa" w:w="100"/>
              <w:bottom w:type="dxa" w:w="50"/>
              <w:right w:type="dxa" w:w="100"/>
            </w:tcMar>
          </w:tcPr>
          <w:p>
            <w:r>
              <w:rPr>
                <w:rFonts w:ascii="Calibri" w:cs="Calibri" w:eastAsia="Calibri" w:hAnsi="Calibri"/>
                <w:sz w:val="18"/>
                <w:szCs w:val="18"/>
              </w:rPr>
              <w:t xml:space="preserve">Total Env Readings, Compliant Readings, Non-Compliant Readings, Environmental Compliance %, Avg Environmental Value, Variance to Limit %, Environmental Compliance Status</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5. Training &amp; Competence</w:t>
            </w:r>
          </w:p>
        </w:tc>
        <w:tc>
          <w:tcPr>
            <w:tcW w:type="dxa" w:w="6800"/>
            <w:shd w:fill="FFFFFF" w:val="clear"/>
            <w:tcMar>
              <w:top w:type="dxa" w:w="50"/>
              <w:left w:type="dxa" w:w="100"/>
              <w:bottom w:type="dxa" w:w="50"/>
              <w:right w:type="dxa" w:w="100"/>
            </w:tcMar>
          </w:tcPr>
          <w:p>
            <w:r>
              <w:rPr>
                <w:rFonts w:ascii="Calibri" w:cs="Calibri" w:eastAsia="Calibri" w:hAnsi="Calibri"/>
                <w:sz w:val="18"/>
                <w:szCs w:val="18"/>
              </w:rPr>
              <w:t xml:space="preserve">Total Trainings, Passed Trainings, Failed Trainings, Training Pass Rate %, Average Training Score, Certifications Expiring Soon, Certifications Expiring Next 30 Days</w:t>
            </w:r>
          </w:p>
        </w:tc>
      </w:tr>
    </w:tbl>
    <w:p>
      <w:pPr>
        <w:spacing w:after="120"/>
      </w:pPr>
      <w:r>
        <w:rPr>
          <w:rFonts w:ascii="Calibri" w:cs="Calibri" w:eastAsia="Calibri" w:hAnsi="Calibri"/>
          <w:sz w:val="22"/>
          <w:szCs w:val="22"/>
        </w:rPr>
        <w:t xml:space="preserve"/>
      </w:r>
    </w:p>
    <w:p>
      <w:pPr>
        <w:pStyle w:val="Heading1"/>
        <w:pBdr>
          <w:bottom w:val="single" w:color="0E7C7B" w:sz="12" w:space="4"/>
        </w:pBdr>
        <w:spacing w:after="200" w:before="360"/>
      </w:pPr>
      <w:r>
        <w:rPr>
          <w:rFonts w:ascii="Calibri" w:cs="Calibri" w:eastAsia="Calibri" w:hAnsi="Calibri"/>
          <w:b/>
          <w:bCs/>
          <w:color w:val="1F3864"/>
          <w:sz w:val="32"/>
          <w:szCs w:val="32"/>
        </w:rPr>
        <w:t xml:space="preserve">7. Building the 5-Page Power BI Dashboard</w:t>
      </w:r>
    </w:p>
    <w:p>
      <w:pPr>
        <w:spacing w:after="120"/>
      </w:pPr>
      <w:r>
        <w:rPr>
          <w:rFonts w:ascii="Calibri" w:cs="Calibri" w:eastAsia="Calibri" w:hAnsi="Calibri"/>
          <w:sz w:val="22"/>
          <w:szCs w:val="22"/>
        </w:rPr>
        <w:t xml:space="preserve">Canvas: 16:9, 1280x720. Theme: Navy (#1F3864), Teal (#0E7C7B), Amber (#E8A33D), Red (#C0392B), Gray (#7F8C8D) on a white/light-gray background. Font: Segoe UI throughout, matching the theme used across this entire training package.</w:t>
      </w:r>
    </w:p>
    <w:p>
      <w:pPr>
        <w:pStyle w:val="Heading2"/>
        <w:spacing w:after="140" w:before="280"/>
      </w:pPr>
      <w:r>
        <w:rPr>
          <w:rFonts w:ascii="Calibri" w:cs="Calibri" w:eastAsia="Calibri" w:hAnsi="Calibri"/>
          <w:b/>
          <w:bCs/>
          <w:color w:val="0E7C7B"/>
          <w:sz w:val="26"/>
          <w:szCs w:val="26"/>
        </w:rPr>
        <w:t xml:space="preserve">Dashboard Page 1 - "HSE Executive Overview"</w:t>
      </w:r>
    </w:p>
    <w:p>
      <w:pPr>
        <w:spacing w:after="120"/>
      </w:pPr>
      <w:r>
        <w:rPr>
          <w:rFonts w:ascii="Calibri" w:cs="Calibri" w:eastAsia="Calibri" w:hAnsi="Calibri"/>
          <w:i/>
          <w:iCs/>
          <w:color w:val="595959"/>
          <w:sz w:val="22"/>
          <w:szCs w:val="22"/>
        </w:rPr>
        <w:t xml:space="preserve">a single-glance summary for senior management - are we safe, are we compliant, are we trending better or worse than last year.</w:t>
      </w:r>
    </w:p>
    <w:p>
      <w:pPr>
        <w:spacing w:after="120"/>
      </w:pPr>
      <w:r>
        <w:rPr>
          <w:rFonts w:ascii="Calibri" w:cs="Calibri" w:eastAsia="Calibri" w:hAnsi="Calibri"/>
          <w:b/>
          <w:bCs/>
          <w:sz w:val="22"/>
          <w:szCs w:val="22"/>
        </w:rPr>
        <w:t xml:space="preserve">Slicers: Year (dim_Date[Year]) - slicer, single-select buttons; Site (dim_Site[SiteName]) - dropdown slicer; Department (dim_Employee[Department]) - dropdown slicer</w:t>
      </w:r>
    </w:p>
    <w:p>
      <w:pPr>
        <w:pStyle w:val="Heading3"/>
        <w:spacing w:after="100" w:before="200"/>
      </w:pPr>
      <w:r>
        <w:rPr>
          <w:rFonts w:ascii="Calibri" w:cs="Calibri" w:eastAsia="Calibri" w:hAnsi="Calibri"/>
          <w:b/>
          <w:bCs/>
          <w:color w:val="1F3864"/>
          <w:sz w:val="23"/>
          <w:szCs w:val="23"/>
        </w:rPr>
        <w:t xml:space="preserve">Total Incidents</w:t>
      </w:r>
    </w:p>
    <w:p>
      <w:pPr>
        <w:spacing w:after="120"/>
      </w:pPr>
      <w:r>
        <w:rPr>
          <w:rFonts w:ascii="Calibri" w:cs="Calibri" w:eastAsia="Calibri" w:hAnsi="Calibri"/>
          <w:sz w:val="22"/>
          <w:szCs w:val="22"/>
        </w:rPr>
        <w:t xml:space="preserve">Design: Card - "Total Incidents" -&gt; measure [Total Incidents], subtitle shows [Incidents YoY % Change] with an up/down conditional arrow (red up = bad, green down = good).</w:t>
      </w:r>
    </w:p>
    <w:p>
      <w:pPr>
        <w:pStyle w:val="Heading3"/>
        <w:spacing w:after="100" w:before="200"/>
      </w:pPr>
      <w:r>
        <w:rPr>
          <w:rFonts w:ascii="Calibri" w:cs="Calibri" w:eastAsia="Calibri" w:hAnsi="Calibri"/>
          <w:b/>
          <w:bCs/>
          <w:color w:val="1F3864"/>
          <w:sz w:val="23"/>
          <w:szCs w:val="23"/>
        </w:rPr>
        <w:t xml:space="preserve">LTIFR</w:t>
      </w:r>
    </w:p>
    <w:p>
      <w:pPr>
        <w:spacing w:after="120"/>
      </w:pPr>
      <w:r>
        <w:rPr>
          <w:rFonts w:ascii="Calibri" w:cs="Calibri" w:eastAsia="Calibri" w:hAnsi="Calibri"/>
          <w:sz w:val="22"/>
          <w:szCs w:val="22"/>
        </w:rPr>
        <w:t xml:space="preserve">Design: Card - "LTIFR" -&gt; measure [LTIFR], background color driven by [LTIFR Status] (green/amber/red).</w:t>
      </w:r>
    </w:p>
    <w:p>
      <w:pPr>
        <w:pStyle w:val="Heading3"/>
        <w:spacing w:after="100" w:before="200"/>
      </w:pPr>
      <w:r>
        <w:rPr>
          <w:rFonts w:ascii="Calibri" w:cs="Calibri" w:eastAsia="Calibri" w:hAnsi="Calibri"/>
          <w:b/>
          <w:bCs/>
          <w:color w:val="1F3864"/>
          <w:sz w:val="23"/>
          <w:szCs w:val="23"/>
        </w:rPr>
        <w:t xml:space="preserve">TRIR</w:t>
      </w:r>
    </w:p>
    <w:p>
      <w:pPr>
        <w:spacing w:after="120"/>
      </w:pPr>
      <w:r>
        <w:rPr>
          <w:rFonts w:ascii="Calibri" w:cs="Calibri" w:eastAsia="Calibri" w:hAnsi="Calibri"/>
          <w:sz w:val="22"/>
          <w:szCs w:val="22"/>
        </w:rPr>
        <w:t xml:space="preserve">Design: Card - "TRIR" -&gt; measure [TRIR].</w:t>
      </w:r>
    </w:p>
    <w:p>
      <w:pPr>
        <w:pStyle w:val="Heading3"/>
        <w:spacing w:after="100" w:before="200"/>
      </w:pPr>
      <w:r>
        <w:rPr>
          <w:rFonts w:ascii="Calibri" w:cs="Calibri" w:eastAsia="Calibri" w:hAnsi="Calibri"/>
          <w:b/>
          <w:bCs/>
          <w:color w:val="1F3864"/>
          <w:sz w:val="23"/>
          <w:szCs w:val="23"/>
        </w:rPr>
        <w:t xml:space="preserve">Total Days Lost</w:t>
      </w:r>
    </w:p>
    <w:p>
      <w:pPr>
        <w:spacing w:after="120"/>
      </w:pPr>
      <w:r>
        <w:rPr>
          <w:rFonts w:ascii="Calibri" w:cs="Calibri" w:eastAsia="Calibri" w:hAnsi="Calibri"/>
          <w:sz w:val="22"/>
          <w:szCs w:val="22"/>
        </w:rPr>
        <w:t xml:space="preserve">Design: Card - "Total Days Lost" -&gt; measure [Total Days Lost].</w:t>
      </w:r>
    </w:p>
    <w:p>
      <w:pPr>
        <w:pStyle w:val="Heading3"/>
        <w:spacing w:after="100" w:before="200"/>
      </w:pPr>
      <w:r>
        <w:rPr>
          <w:rFonts w:ascii="Calibri" w:cs="Calibri" w:eastAsia="Calibri" w:hAnsi="Calibri"/>
          <w:b/>
          <w:bCs/>
          <w:color w:val="1F3864"/>
          <w:sz w:val="23"/>
          <w:szCs w:val="23"/>
        </w:rPr>
        <w:t xml:space="preserve">Environmental Compliance %</w:t>
      </w:r>
    </w:p>
    <w:p>
      <w:pPr>
        <w:spacing w:after="120"/>
      </w:pPr>
      <w:r>
        <w:rPr>
          <w:rFonts w:ascii="Calibri" w:cs="Calibri" w:eastAsia="Calibri" w:hAnsi="Calibri"/>
          <w:sz w:val="22"/>
          <w:szCs w:val="22"/>
        </w:rPr>
        <w:t xml:space="preserve">Design: Card - "Environmental Compliance %" -&gt; measure [Environmental Compliance %], formatted 0.0%.</w:t>
      </w:r>
    </w:p>
    <w:p>
      <w:pPr>
        <w:pStyle w:val="Heading3"/>
        <w:spacing w:after="100" w:before="200"/>
      </w:pPr>
      <w:r>
        <w:rPr>
          <w:rFonts w:ascii="Calibri" w:cs="Calibri" w:eastAsia="Calibri" w:hAnsi="Calibri"/>
          <w:b/>
          <w:bCs/>
          <w:color w:val="1F3864"/>
          <w:sz w:val="23"/>
          <w:szCs w:val="23"/>
        </w:rPr>
        <w:t xml:space="preserve">Training Pass Rate</w:t>
      </w:r>
    </w:p>
    <w:p>
      <w:pPr>
        <w:spacing w:after="120"/>
      </w:pPr>
      <w:r>
        <w:rPr>
          <w:rFonts w:ascii="Calibri" w:cs="Calibri" w:eastAsia="Calibri" w:hAnsi="Calibri"/>
          <w:sz w:val="22"/>
          <w:szCs w:val="22"/>
        </w:rPr>
        <w:t xml:space="preserve">Design: Card - "Training Pass Rate" -&gt; measure [Training Pass Rate %], formatted 0.0%.</w:t>
      </w:r>
    </w:p>
    <w:p>
      <w:pPr>
        <w:pStyle w:val="Heading3"/>
        <w:spacing w:after="100" w:before="200"/>
      </w:pPr>
      <w:r>
        <w:rPr>
          <w:rFonts w:ascii="Calibri" w:cs="Calibri" w:eastAsia="Calibri" w:hAnsi="Calibri"/>
          <w:b/>
          <w:bCs/>
          <w:color w:val="1F3864"/>
          <w:sz w:val="23"/>
          <w:szCs w:val="23"/>
        </w:rPr>
        <w:t xml:space="preserve">Monthly Incident Trend - Current Year vs Prior Year</w:t>
      </w:r>
    </w:p>
    <w:p>
      <w:pPr>
        <w:spacing w:after="120"/>
      </w:pPr>
      <w:r>
        <w:rPr>
          <w:rFonts w:ascii="Calibri" w:cs="Calibri" w:eastAsia="Calibri" w:hAnsi="Calibri"/>
          <w:sz w:val="22"/>
          <w:szCs w:val="22"/>
        </w:rPr>
        <w:t xml:space="preserve">Design: Line and clustered column chart - X axis: dim_Date[MonthShort] (sorted by MonthNumber), Columns: [Total Incidents] for current year, Line: [Incidents PY] for prior year overlay.</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this chart: overlaying current vs prior year on the same month axis is the fastest way for an executive to see if the organization is improving seasonally, not just in raw totals.</w:t>
      </w:r>
    </w:p>
    <w:p>
      <w:pPr>
        <w:pStyle w:val="Heading3"/>
        <w:spacing w:after="100" w:before="200"/>
      </w:pPr>
      <w:r>
        <w:rPr>
          <w:rFonts w:ascii="Calibri" w:cs="Calibri" w:eastAsia="Calibri" w:hAnsi="Calibri"/>
          <w:b/>
          <w:bCs/>
          <w:color w:val="1F3864"/>
          <w:sz w:val="23"/>
          <w:szCs w:val="23"/>
        </w:rPr>
        <w:t xml:space="preserve">Incidents by Site (Raw Count vs Rate per 100 Employees)</w:t>
      </w:r>
    </w:p>
    <w:p>
      <w:pPr>
        <w:spacing w:after="120"/>
      </w:pPr>
      <w:r>
        <w:rPr>
          <w:rFonts w:ascii="Calibri" w:cs="Calibri" w:eastAsia="Calibri" w:hAnsi="Calibri"/>
          <w:sz w:val="22"/>
          <w:szCs w:val="22"/>
        </w:rPr>
        <w:t xml:space="preserve">Design: Clustered bar chart - Y axis: dim_Site[SiteName], Value: [Total Incidents] AND [Incidents per 100 Employees] as a second measure (dual value bars).</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a raw ranking of sites by incident count unfairly penalizes large sites; showing the per-capita rate alongside the raw count teaches students to never present one without the other.</w:t>
      </w:r>
    </w:p>
    <w:p>
      <w:pPr>
        <w:pStyle w:val="Heading3"/>
        <w:spacing w:after="100" w:before="200"/>
      </w:pPr>
      <w:r>
        <w:rPr>
          <w:rFonts w:ascii="Calibri" w:cs="Calibri" w:eastAsia="Calibri" w:hAnsi="Calibri"/>
          <w:b/>
          <w:bCs/>
          <w:color w:val="1F3864"/>
          <w:sz w:val="23"/>
          <w:szCs w:val="23"/>
        </w:rPr>
        <w:t xml:space="preserve">Incidents by Severity</w:t>
      </w:r>
    </w:p>
    <w:p>
      <w:pPr>
        <w:spacing w:after="120"/>
      </w:pPr>
      <w:r>
        <w:rPr>
          <w:rFonts w:ascii="Calibri" w:cs="Calibri" w:eastAsia="Calibri" w:hAnsi="Calibri"/>
          <w:sz w:val="22"/>
          <w:szCs w:val="22"/>
        </w:rPr>
        <w:t xml:space="preserve">Design: Donut chart - Legend: fact_Incidents[Severity], Value: [Total Incidents].</w:t>
      </w:r>
    </w:p>
    <w:p>
      <w:pPr>
        <w:pStyle w:val="Heading3"/>
        <w:spacing w:after="100" w:before="200"/>
      </w:pPr>
      <w:r>
        <w:rPr>
          <w:rFonts w:ascii="Calibri" w:cs="Calibri" w:eastAsia="Calibri" w:hAnsi="Calibri"/>
          <w:b/>
          <w:bCs/>
          <w:color w:val="1F3864"/>
          <w:sz w:val="23"/>
          <w:szCs w:val="23"/>
        </w:rPr>
        <w:t xml:space="preserve">Geographic Distribution of Incidents</w:t>
      </w:r>
    </w:p>
    <w:p>
      <w:pPr>
        <w:spacing w:after="120"/>
      </w:pPr>
      <w:r>
        <w:rPr>
          <w:rFonts w:ascii="Calibri" w:cs="Calibri" w:eastAsia="Calibri" w:hAnsi="Calibri"/>
          <w:sz w:val="22"/>
          <w:szCs w:val="22"/>
        </w:rPr>
        <w:t xml:space="preserve">Design: Map (or filled/shape map of Nigeria if available) - Location: dim_Site[Region], Bubble size: [Total Incidents]. (If a proper Azure Map / Shape Map isn't available in the training environment, substitute a Treemap of Region -&gt; SiteName sized by [Total Incidents] - documented as an acceptable substitute in the solution file.)</w:t>
      </w:r>
    </w:p>
    <w:p>
      <w:pPr>
        <w:pStyle w:val="Heading2"/>
        <w:spacing w:after="140" w:before="280"/>
      </w:pPr>
      <w:r>
        <w:rPr>
          <w:rFonts w:ascii="Calibri" w:cs="Calibri" w:eastAsia="Calibri" w:hAnsi="Calibri"/>
          <w:b/>
          <w:bCs/>
          <w:color w:val="0E7C7B"/>
          <w:sz w:val="26"/>
          <w:szCs w:val="26"/>
        </w:rPr>
        <w:t xml:space="preserve">Dashboard Page 2 - "Incident Deep Dive"</w:t>
      </w:r>
    </w:p>
    <w:p>
      <w:pPr>
        <w:spacing w:after="120"/>
      </w:pPr>
      <w:r>
        <w:rPr>
          <w:rFonts w:ascii="Calibri" w:cs="Calibri" w:eastAsia="Calibri" w:hAnsi="Calibri"/>
          <w:i/>
          <w:iCs/>
          <w:color w:val="595959"/>
          <w:sz w:val="22"/>
          <w:szCs w:val="22"/>
        </w:rPr>
        <w:t xml:space="preserve">root-cause and corrective-action analysis for HSE managers running an incident review.</w:t>
      </w:r>
    </w:p>
    <w:p>
      <w:pPr>
        <w:spacing w:after="120"/>
      </w:pPr>
      <w:r>
        <w:rPr>
          <w:rFonts w:ascii="Calibri" w:cs="Calibri" w:eastAsia="Calibri" w:hAnsi="Calibri"/>
          <w:b/>
          <w:bCs/>
          <w:sz w:val="22"/>
          <w:szCs w:val="22"/>
        </w:rPr>
        <w:t xml:space="preserve">Slicers: Year, IncidentType, Severity (all multi-select).</w:t>
      </w:r>
    </w:p>
    <w:p>
      <w:pPr>
        <w:pStyle w:val="Heading3"/>
        <w:spacing w:after="100" w:before="200"/>
      </w:pPr>
      <w:r>
        <w:rPr>
          <w:rFonts w:ascii="Calibri" w:cs="Calibri" w:eastAsia="Calibri" w:hAnsi="Calibri"/>
          <w:b/>
          <w:bCs/>
          <w:color w:val="1F3864"/>
          <w:sz w:val="23"/>
          <w:szCs w:val="23"/>
        </w:rPr>
        <w:t xml:space="preserve">Total Recordable Incidents</w:t>
      </w:r>
    </w:p>
    <w:p>
      <w:pPr>
        <w:spacing w:after="120"/>
      </w:pPr>
      <w:r>
        <w:rPr>
          <w:rFonts w:ascii="Calibri" w:cs="Calibri" w:eastAsia="Calibri" w:hAnsi="Calibri"/>
          <w:sz w:val="22"/>
          <w:szCs w:val="22"/>
        </w:rPr>
        <w:t xml:space="preserve">Design: Card - "Total Recordable Incidents" -&gt; measure [Total Recordable Incidents].</w:t>
      </w:r>
    </w:p>
    <w:p>
      <w:pPr>
        <w:pStyle w:val="Heading3"/>
        <w:spacing w:after="100" w:before="200"/>
      </w:pPr>
      <w:r>
        <w:rPr>
          <w:rFonts w:ascii="Calibri" w:cs="Calibri" w:eastAsia="Calibri" w:hAnsi="Calibri"/>
          <w:b/>
          <w:bCs/>
          <w:color w:val="1F3864"/>
          <w:sz w:val="23"/>
          <w:szCs w:val="23"/>
        </w:rPr>
        <w:t xml:space="preserve">Near Miss to LTI Ratio</w:t>
      </w:r>
    </w:p>
    <w:p>
      <w:pPr>
        <w:spacing w:after="120"/>
      </w:pPr>
      <w:r>
        <w:rPr>
          <w:rFonts w:ascii="Calibri" w:cs="Calibri" w:eastAsia="Calibri" w:hAnsi="Calibri"/>
          <w:sz w:val="22"/>
          <w:szCs w:val="22"/>
        </w:rPr>
        <w:t xml:space="preserve">Design: Card - "Near Miss to LTI Ratio" -&gt; measure [Near Miss to LTI Ratio], formatted "0.0".</w:t>
      </w:r>
    </w:p>
    <w:p>
      <w:pPr>
        <w:pStyle w:val="Heading3"/>
        <w:spacing w:after="100" w:before="200"/>
      </w:pPr>
      <w:r>
        <w:rPr>
          <w:rFonts w:ascii="Calibri" w:cs="Calibri" w:eastAsia="Calibri" w:hAnsi="Calibri"/>
          <w:b/>
          <w:bCs/>
          <w:color w:val="1F3864"/>
          <w:sz w:val="23"/>
          <w:szCs w:val="23"/>
        </w:rPr>
        <w:t xml:space="preserve">Average Cost per Incident</w:t>
      </w:r>
    </w:p>
    <w:p>
      <w:pPr>
        <w:spacing w:after="120"/>
      </w:pPr>
      <w:r>
        <w:rPr>
          <w:rFonts w:ascii="Calibri" w:cs="Calibri" w:eastAsia="Calibri" w:hAnsi="Calibri"/>
          <w:sz w:val="22"/>
          <w:szCs w:val="22"/>
        </w:rPr>
        <w:t xml:space="preserve">Design: Card - "Average Cost per Incident" -&gt; measure [Average Cost per Incident], currency format.</w:t>
      </w:r>
    </w:p>
    <w:p>
      <w:pPr>
        <w:pStyle w:val="Heading3"/>
        <w:spacing w:after="100" w:before="200"/>
      </w:pPr>
      <w:r>
        <w:rPr>
          <w:rFonts w:ascii="Calibri" w:cs="Calibri" w:eastAsia="Calibri" w:hAnsi="Calibri"/>
          <w:b/>
          <w:bCs/>
          <w:color w:val="1F3864"/>
          <w:sz w:val="23"/>
          <w:szCs w:val="23"/>
        </w:rPr>
        <w:t xml:space="preserve">Incident Count by Type (Safety Pyramid View)</w:t>
      </w:r>
    </w:p>
    <w:p>
      <w:pPr>
        <w:spacing w:after="120"/>
      </w:pPr>
      <w:r>
        <w:rPr>
          <w:rFonts w:ascii="Calibri" w:cs="Calibri" w:eastAsia="Calibri" w:hAnsi="Calibri"/>
          <w:sz w:val="22"/>
          <w:szCs w:val="22"/>
        </w:rPr>
        <w:t xml:space="preserve">Design: Clustered bar chart - Y axis: fact_Incidents[IncidentType], Value: [Total Incidents], sorted descending.</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intentionally laid out so Near Miss (largest bar) sits at top and Fatality (smallest bar) at the bottom, visually recreating the classic HSE "incident pyramid" concept.</w:t>
      </w:r>
    </w:p>
    <w:p>
      <w:pPr>
        <w:pStyle w:val="Heading3"/>
        <w:spacing w:after="100" w:before="200"/>
      </w:pPr>
      <w:r>
        <w:rPr>
          <w:rFonts w:ascii="Calibri" w:cs="Calibri" w:eastAsia="Calibri" w:hAnsi="Calibri"/>
          <w:b/>
          <w:bCs/>
          <w:color w:val="1F3864"/>
          <w:sz w:val="23"/>
          <w:szCs w:val="23"/>
        </w:rPr>
        <w:t xml:space="preserve">Incident Category Mix by Department</w:t>
      </w:r>
    </w:p>
    <w:p>
      <w:pPr>
        <w:spacing w:after="120"/>
      </w:pPr>
      <w:r>
        <w:rPr>
          <w:rFonts w:ascii="Calibri" w:cs="Calibri" w:eastAsia="Calibri" w:hAnsi="Calibri"/>
          <w:sz w:val="22"/>
          <w:szCs w:val="22"/>
        </w:rPr>
        <w:t xml:space="preserve">Design: 100% stacked bar chart - X axis: dim_Employee[Department] (via relationship), Legend: fact_Incidents[IncidentCategory], Value: [Total Incidents].</w:t>
      </w:r>
    </w:p>
    <w:p>
      <w:pPr>
        <w:pStyle w:val="Heading3"/>
        <w:spacing w:after="100" w:before="200"/>
      </w:pPr>
      <w:r>
        <w:rPr>
          <w:rFonts w:ascii="Calibri" w:cs="Calibri" w:eastAsia="Calibri" w:hAnsi="Calibri"/>
          <w:b/>
          <w:bCs/>
          <w:color w:val="1F3864"/>
          <w:sz w:val="23"/>
          <w:szCs w:val="23"/>
        </w:rPr>
        <w:t xml:space="preserve">Root Cause by Site (Count and Cost)</w:t>
      </w:r>
    </w:p>
    <w:p>
      <w:pPr>
        <w:spacing w:after="120"/>
      </w:pPr>
      <w:r>
        <w:rPr>
          <w:rFonts w:ascii="Calibri" w:cs="Calibri" w:eastAsia="Calibri" w:hAnsi="Calibri"/>
          <w:sz w:val="22"/>
          <w:szCs w:val="22"/>
        </w:rPr>
        <w:t xml:space="preserve">Design: Matrix visual - Rows: fact_Incidents[RootCause], Columns: dim_Site[SiteName], Values: [Total Incidents] and [Total Incident Cost] (conditional-formatted data bars on cost).</w:t>
      </w:r>
    </w:p>
    <w:p>
      <w:pPr>
        <w:pStyle w:val="Heading3"/>
        <w:spacing w:after="100" w:before="200"/>
      </w:pPr>
      <w:r>
        <w:rPr>
          <w:rFonts w:ascii="Calibri" w:cs="Calibri" w:eastAsia="Calibri" w:hAnsi="Calibri"/>
          <w:b/>
          <w:bCs/>
          <w:color w:val="1F3864"/>
          <w:sz w:val="23"/>
          <w:szCs w:val="23"/>
        </w:rPr>
        <w:t xml:space="preserve">Severity vs Cost Scatter - Spotting Outlier Incidents</w:t>
      </w:r>
    </w:p>
    <w:p>
      <w:pPr>
        <w:spacing w:after="120"/>
      </w:pPr>
      <w:r>
        <w:rPr>
          <w:rFonts w:ascii="Calibri" w:cs="Calibri" w:eastAsia="Calibri" w:hAnsi="Calibri"/>
          <w:sz w:val="22"/>
          <w:szCs w:val="22"/>
        </w:rPr>
        <w:t xml:space="preserve">Design: Scatter chart - X axis: [Total Days Lost] (or DaysLost per incident), Y axis: [Average Cost per Incident], Details: fact_Incidents[IncidentID], Size: [Total Incidents].</w:t>
      </w:r>
    </w:p>
    <w:p>
      <w:pPr>
        <w:pStyle w:val="Heading3"/>
        <w:spacing w:after="100" w:before="200"/>
      </w:pPr>
      <w:r>
        <w:rPr>
          <w:rFonts w:ascii="Calibri" w:cs="Calibri" w:eastAsia="Calibri" w:hAnsi="Calibri"/>
          <w:b/>
          <w:bCs/>
          <w:color w:val="1F3864"/>
          <w:sz w:val="23"/>
          <w:szCs w:val="23"/>
        </w:rPr>
        <w:t xml:space="preserve">Open Investigations &amp; Overdue Corrective Actions - Action Required</w:t>
      </w:r>
    </w:p>
    <w:p>
      <w:pPr>
        <w:spacing w:after="120"/>
      </w:pPr>
      <w:r>
        <w:rPr>
          <w:rFonts w:ascii="Calibri" w:cs="Calibri" w:eastAsia="Calibri" w:hAnsi="Calibri"/>
          <w:sz w:val="22"/>
          <w:szCs w:val="22"/>
        </w:rPr>
        <w:t xml:space="preserve">Design: Table - Columns: IncidentID, Date, Site, IncidentType, Severity, InvestigationStatus, CorrectiveActionStatus. Filtered (visual-level filter) to CorrectiveActionStatus = "Overdue" OR InvestigationStatus = "Open".</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every HSE dashboard needs at least one "to-do list" table, not just charts - this is the table an HSE manager actually works from after the meeting ends.</w:t>
      </w:r>
    </w:p>
    <w:p>
      <w:pPr>
        <w:pStyle w:val="Heading2"/>
        <w:spacing w:after="140" w:before="280"/>
      </w:pPr>
      <w:r>
        <w:rPr>
          <w:rFonts w:ascii="Calibri" w:cs="Calibri" w:eastAsia="Calibri" w:hAnsi="Calibri"/>
          <w:b/>
          <w:bCs/>
          <w:color w:val="0E7C7B"/>
          <w:sz w:val="26"/>
          <w:szCs w:val="26"/>
        </w:rPr>
        <w:t xml:space="preserve">Dashboard Page 3 - "Safety Behaviour &amp; Leading Indicators (BBS)"</w:t>
      </w:r>
    </w:p>
    <w:p>
      <w:pPr>
        <w:spacing w:after="120"/>
      </w:pPr>
      <w:r>
        <w:rPr>
          <w:rFonts w:ascii="Calibri" w:cs="Calibri" w:eastAsia="Calibri" w:hAnsi="Calibri"/>
          <w:i/>
          <w:iCs/>
          <w:color w:val="595959"/>
          <w:sz w:val="22"/>
          <w:szCs w:val="22"/>
        </w:rPr>
        <w:t xml:space="preserve">show how proactive, leading-indicator behavior (observations) correlates with the lagging incident numbers on Pages 1-2.</w:t>
      </w:r>
    </w:p>
    <w:p>
      <w:pPr>
        <w:spacing w:after="120"/>
      </w:pPr>
      <w:r>
        <w:rPr>
          <w:rFonts w:ascii="Calibri" w:cs="Calibri" w:eastAsia="Calibri" w:hAnsi="Calibri"/>
          <w:b/>
          <w:bCs/>
          <w:sz w:val="22"/>
          <w:szCs w:val="22"/>
        </w:rPr>
        <w:t xml:space="preserve">Slicers: Year, Site, Category (observation category).</w:t>
      </w:r>
    </w:p>
    <w:p>
      <w:pPr>
        <w:pStyle w:val="Heading3"/>
        <w:spacing w:after="100" w:before="200"/>
      </w:pPr>
      <w:r>
        <w:rPr>
          <w:rFonts w:ascii="Calibri" w:cs="Calibri" w:eastAsia="Calibri" w:hAnsi="Calibri"/>
          <w:b/>
          <w:bCs/>
          <w:color w:val="1F3864"/>
          <w:sz w:val="23"/>
          <w:szCs w:val="23"/>
        </w:rPr>
        <w:t xml:space="preserve">Total Observations</w:t>
      </w:r>
    </w:p>
    <w:p>
      <w:pPr>
        <w:spacing w:after="120"/>
      </w:pPr>
      <w:r>
        <w:rPr>
          <w:rFonts w:ascii="Calibri" w:cs="Calibri" w:eastAsia="Calibri" w:hAnsi="Calibri"/>
          <w:sz w:val="22"/>
          <w:szCs w:val="22"/>
        </w:rPr>
        <w:t xml:space="preserve">Design: Card - "Total Observations" -&gt; [Total Observations].</w:t>
      </w:r>
    </w:p>
    <w:p>
      <w:pPr>
        <w:pStyle w:val="Heading3"/>
        <w:spacing w:after="100" w:before="200"/>
      </w:pPr>
      <w:r>
        <w:rPr>
          <w:rFonts w:ascii="Calibri" w:cs="Calibri" w:eastAsia="Calibri" w:hAnsi="Calibri"/>
          <w:b/>
          <w:bCs/>
          <w:color w:val="1F3864"/>
          <w:sz w:val="23"/>
          <w:szCs w:val="23"/>
        </w:rPr>
        <w:t xml:space="preserve">Safe Behavior %</w:t>
      </w:r>
    </w:p>
    <w:p>
      <w:pPr>
        <w:spacing w:after="120"/>
      </w:pPr>
      <w:r>
        <w:rPr>
          <w:rFonts w:ascii="Calibri" w:cs="Calibri" w:eastAsia="Calibri" w:hAnsi="Calibri"/>
          <w:sz w:val="22"/>
          <w:szCs w:val="22"/>
        </w:rPr>
        <w:t xml:space="preserve">Design: Card - "Safe Behavior %" -&gt; [Safe Behavior %], conditional color (green &gt;= 80%).</w:t>
      </w:r>
    </w:p>
    <w:p>
      <w:pPr>
        <w:pStyle w:val="Heading3"/>
        <w:spacing w:after="100" w:before="200"/>
      </w:pPr>
      <w:r>
        <w:rPr>
          <w:rFonts w:ascii="Calibri" w:cs="Calibri" w:eastAsia="Calibri" w:hAnsi="Calibri"/>
          <w:b/>
          <w:bCs/>
          <w:color w:val="1F3864"/>
          <w:sz w:val="23"/>
          <w:szCs w:val="23"/>
        </w:rPr>
        <w:t xml:space="preserve">Average Safety Score</w:t>
      </w:r>
    </w:p>
    <w:p>
      <w:pPr>
        <w:spacing w:after="120"/>
      </w:pPr>
      <w:r>
        <w:rPr>
          <w:rFonts w:ascii="Calibri" w:cs="Calibri" w:eastAsia="Calibri" w:hAnsi="Calibri"/>
          <w:sz w:val="22"/>
          <w:szCs w:val="22"/>
        </w:rPr>
        <w:t xml:space="preserve">Design: Card - "Average Safety Score" -&gt; [Average Safety Score].</w:t>
      </w:r>
    </w:p>
    <w:p>
      <w:pPr>
        <w:pStyle w:val="Heading3"/>
        <w:spacing w:after="100" w:before="200"/>
      </w:pPr>
      <w:r>
        <w:rPr>
          <w:rFonts w:ascii="Calibri" w:cs="Calibri" w:eastAsia="Calibri" w:hAnsi="Calibri"/>
          <w:b/>
          <w:bCs/>
          <w:color w:val="1F3864"/>
          <w:sz w:val="23"/>
          <w:szCs w:val="23"/>
        </w:rPr>
        <w:t xml:space="preserve">Observations by Category</w:t>
      </w:r>
    </w:p>
    <w:p>
      <w:pPr>
        <w:spacing w:after="120"/>
      </w:pPr>
      <w:r>
        <w:rPr>
          <w:rFonts w:ascii="Calibri" w:cs="Calibri" w:eastAsia="Calibri" w:hAnsi="Calibri"/>
          <w:sz w:val="22"/>
          <w:szCs w:val="22"/>
        </w:rPr>
        <w:t xml:space="preserve">Design: Clustered bar chart - Y axis: fact_Observations[Category], Value: [Total Observations] split by ObservationType (Safe vs At-Risk) as legend.</w:t>
      </w:r>
    </w:p>
    <w:p>
      <w:pPr>
        <w:pStyle w:val="Heading3"/>
        <w:spacing w:after="100" w:before="200"/>
      </w:pPr>
      <w:r>
        <w:rPr>
          <w:rFonts w:ascii="Calibri" w:cs="Calibri" w:eastAsia="Calibri" w:hAnsi="Calibri"/>
          <w:b/>
          <w:bCs/>
          <w:color w:val="1F3864"/>
          <w:sz w:val="23"/>
          <w:szCs w:val="23"/>
        </w:rPr>
        <w:t xml:space="preserve">Safe vs At-Risk Behavior Trend</w:t>
      </w:r>
    </w:p>
    <w:p>
      <w:pPr>
        <w:spacing w:after="120"/>
      </w:pPr>
      <w:r>
        <w:rPr>
          <w:rFonts w:ascii="Calibri" w:cs="Calibri" w:eastAsia="Calibri" w:hAnsi="Calibri"/>
          <w:sz w:val="22"/>
          <w:szCs w:val="22"/>
        </w:rPr>
        <w:t xml:space="preserve">Design: Line chart - X axis: dim_Date[YearMonth], Two lines: [Safe Observations] and [At-Risk Observations].</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a widening gap over time (safe line rising, at-risk line falling) is the clearest visual proof that a behaviour-based safety program is working.</w:t>
      </w:r>
    </w:p>
    <w:p>
      <w:pPr>
        <w:pStyle w:val="Heading3"/>
        <w:spacing w:after="100" w:before="200"/>
      </w:pPr>
      <w:r>
        <w:rPr>
          <w:rFonts w:ascii="Calibri" w:cs="Calibri" w:eastAsia="Calibri" w:hAnsi="Calibri"/>
          <w:b/>
          <w:bCs/>
          <w:color w:val="1F3864"/>
          <w:sz w:val="23"/>
          <w:szCs w:val="23"/>
        </w:rPr>
        <w:t xml:space="preserve">Risk Rating Split of At-Risk Observations</w:t>
      </w:r>
    </w:p>
    <w:p>
      <w:pPr>
        <w:spacing w:after="120"/>
      </w:pPr>
      <w:r>
        <w:rPr>
          <w:rFonts w:ascii="Calibri" w:cs="Calibri" w:eastAsia="Calibri" w:hAnsi="Calibri"/>
          <w:sz w:val="22"/>
          <w:szCs w:val="22"/>
        </w:rPr>
        <w:t xml:space="preserve">Design: Donut chart - Legend: fact_Observations[RiskRating], Value: [At-Risk Observations].</w:t>
      </w:r>
    </w:p>
    <w:p>
      <w:pPr>
        <w:pStyle w:val="Heading3"/>
        <w:spacing w:after="100" w:before="200"/>
      </w:pPr>
      <w:r>
        <w:rPr>
          <w:rFonts w:ascii="Calibri" w:cs="Calibri" w:eastAsia="Calibri" w:hAnsi="Calibri"/>
          <w:b/>
          <w:bCs/>
          <w:color w:val="1F3864"/>
          <w:sz w:val="23"/>
          <w:szCs w:val="23"/>
        </w:rPr>
        <w:t xml:space="preserve">Site Ranking - Where to Focus Coaching Effort</w:t>
      </w:r>
    </w:p>
    <w:p>
      <w:pPr>
        <w:spacing w:after="120"/>
      </w:pPr>
      <w:r>
        <w:rPr>
          <w:rFonts w:ascii="Calibri" w:cs="Calibri" w:eastAsia="Calibri" w:hAnsi="Calibri"/>
          <w:sz w:val="22"/>
          <w:szCs w:val="22"/>
        </w:rPr>
        <w:t xml:space="preserve">Design: Table (ranked) - Rows: dim_Site[SiteName], Values: [Total Observations], [Safe Behavior %], [Average Safety Score], sorted by Safe Behavior % ascending (worst first).</w:t>
      </w:r>
    </w:p>
    <w:p>
      <w:pPr>
        <w:pStyle w:val="Heading2"/>
        <w:spacing w:after="140" w:before="280"/>
      </w:pPr>
      <w:r>
        <w:rPr>
          <w:rFonts w:ascii="Calibri" w:cs="Calibri" w:eastAsia="Calibri" w:hAnsi="Calibri"/>
          <w:b/>
          <w:bCs/>
          <w:color w:val="0E7C7B"/>
          <w:sz w:val="26"/>
          <w:szCs w:val="26"/>
        </w:rPr>
        <w:t xml:space="preserve">Dashboard Page 4 - "Environmental Compliance"</w:t>
      </w:r>
    </w:p>
    <w:p>
      <w:pPr>
        <w:spacing w:after="120"/>
      </w:pPr>
      <w:r>
        <w:rPr>
          <w:rFonts w:ascii="Calibri" w:cs="Calibri" w:eastAsia="Calibri" w:hAnsi="Calibri"/>
          <w:i/>
          <w:iCs/>
          <w:color w:val="595959"/>
          <w:sz w:val="22"/>
          <w:szCs w:val="22"/>
        </w:rPr>
        <w:t xml:space="preserve">monitor environmental performance against regulatory/internal limits.</w:t>
      </w:r>
    </w:p>
    <w:p>
      <w:pPr>
        <w:spacing w:after="120"/>
      </w:pPr>
      <w:r>
        <w:rPr>
          <w:rFonts w:ascii="Calibri" w:cs="Calibri" w:eastAsia="Calibri" w:hAnsi="Calibri"/>
          <w:b/>
          <w:bCs/>
          <w:sz w:val="22"/>
          <w:szCs w:val="22"/>
        </w:rPr>
        <w:t xml:space="preserve">Slicers: Year, ParameterType, Site.</w:t>
      </w:r>
    </w:p>
    <w:p>
      <w:pPr>
        <w:pStyle w:val="Heading3"/>
        <w:spacing w:after="100" w:before="200"/>
      </w:pPr>
      <w:r>
        <w:rPr>
          <w:rFonts w:ascii="Calibri" w:cs="Calibri" w:eastAsia="Calibri" w:hAnsi="Calibri"/>
          <w:b/>
          <w:bCs/>
          <w:color w:val="1F3864"/>
          <w:sz w:val="23"/>
          <w:szCs w:val="23"/>
        </w:rPr>
        <w:t xml:space="preserve">Environmental Compliance %</w:t>
      </w:r>
    </w:p>
    <w:p>
      <w:pPr>
        <w:spacing w:after="120"/>
      </w:pPr>
      <w:r>
        <w:rPr>
          <w:rFonts w:ascii="Calibri" w:cs="Calibri" w:eastAsia="Calibri" w:hAnsi="Calibri"/>
          <w:sz w:val="22"/>
          <w:szCs w:val="22"/>
        </w:rPr>
        <w:t xml:space="preserve">Design: Card - "Environmental Compliance %" -&gt; [Environmental Compliance %], color driven by [Environmental Compliance Status].</w:t>
      </w:r>
    </w:p>
    <w:p>
      <w:pPr>
        <w:pStyle w:val="Heading3"/>
        <w:spacing w:after="100" w:before="200"/>
      </w:pPr>
      <w:r>
        <w:rPr>
          <w:rFonts w:ascii="Calibri" w:cs="Calibri" w:eastAsia="Calibri" w:hAnsi="Calibri"/>
          <w:b/>
          <w:bCs/>
          <w:color w:val="1F3864"/>
          <w:sz w:val="23"/>
          <w:szCs w:val="23"/>
        </w:rPr>
        <w:t xml:space="preserve">Non-Compliant Readings</w:t>
      </w:r>
    </w:p>
    <w:p>
      <w:pPr>
        <w:spacing w:after="120"/>
      </w:pPr>
      <w:r>
        <w:rPr>
          <w:rFonts w:ascii="Calibri" w:cs="Calibri" w:eastAsia="Calibri" w:hAnsi="Calibri"/>
          <w:sz w:val="22"/>
          <w:szCs w:val="22"/>
        </w:rPr>
        <w:t xml:space="preserve">Design: Card - "Non-Compliant Readings" -&gt; [Non-Compliant Readings].</w:t>
      </w:r>
    </w:p>
    <w:p>
      <w:pPr>
        <w:pStyle w:val="Heading3"/>
        <w:spacing w:after="100" w:before="200"/>
      </w:pPr>
      <w:r>
        <w:rPr>
          <w:rFonts w:ascii="Calibri" w:cs="Calibri" w:eastAsia="Calibri" w:hAnsi="Calibri"/>
          <w:b/>
          <w:bCs/>
          <w:color w:val="1F3864"/>
          <w:sz w:val="23"/>
          <w:szCs w:val="23"/>
        </w:rPr>
        <w:t xml:space="preserve">Average CO2 Emissions</w:t>
      </w:r>
    </w:p>
    <w:p>
      <w:pPr>
        <w:spacing w:after="120"/>
      </w:pPr>
      <w:r>
        <w:rPr>
          <w:rFonts w:ascii="Calibri" w:cs="Calibri" w:eastAsia="Calibri" w:hAnsi="Calibri"/>
          <w:sz w:val="22"/>
          <w:szCs w:val="22"/>
        </w:rPr>
        <w:t xml:space="preserve">Design: Card - "Average CO2 Emissions" -&gt; [Avg Environmental Value] (filtered to CO2 Emissions via a visual-level filter, or shown inside a matrix where ParameterType is a row).</w:t>
      </w:r>
    </w:p>
    <w:p>
      <w:pPr>
        <w:pStyle w:val="Heading3"/>
        <w:spacing w:after="100" w:before="200"/>
      </w:pPr>
      <w:r>
        <w:rPr>
          <w:rFonts w:ascii="Calibri" w:cs="Calibri" w:eastAsia="Calibri" w:hAnsi="Calibri"/>
          <w:b/>
          <w:bCs/>
          <w:color w:val="1F3864"/>
          <w:sz w:val="23"/>
          <w:szCs w:val="23"/>
        </w:rPr>
        <w:t xml:space="preserve">Average Reading by Site and Parameter</w:t>
      </w:r>
    </w:p>
    <w:p>
      <w:pPr>
        <w:spacing w:after="120"/>
      </w:pPr>
      <w:r>
        <w:rPr>
          <w:rFonts w:ascii="Calibri" w:cs="Calibri" w:eastAsia="Calibri" w:hAnsi="Calibri"/>
          <w:sz w:val="22"/>
          <w:szCs w:val="22"/>
        </w:rPr>
        <w:t xml:space="preserve">Design: Clustered column chart - X axis: dim_Site[SiteName], Legend: fact_Environmental[ParameterType], Value: [Avg Environmental Value].</w:t>
      </w:r>
    </w:p>
    <w:p>
      <w:pPr>
        <w:pStyle w:val="Heading3"/>
        <w:spacing w:after="100" w:before="200"/>
      </w:pPr>
      <w:r>
        <w:rPr>
          <w:rFonts w:ascii="Calibri" w:cs="Calibri" w:eastAsia="Calibri" w:hAnsi="Calibri"/>
          <w:b/>
          <w:bCs/>
          <w:color w:val="1F3864"/>
          <w:sz w:val="23"/>
          <w:szCs w:val="23"/>
        </w:rPr>
        <w:t xml:space="preserve">Monthly Trend vs Compliance Limit</w:t>
      </w:r>
    </w:p>
    <w:p>
      <w:pPr>
        <w:spacing w:after="120"/>
      </w:pPr>
      <w:r>
        <w:rPr>
          <w:rFonts w:ascii="Calibri" w:cs="Calibri" w:eastAsia="Calibri" w:hAnsi="Calibri"/>
          <w:sz w:val="22"/>
          <w:szCs w:val="22"/>
        </w:rPr>
        <w:t xml:space="preserve">Design: Line chart - X axis: dim_Date[YearMonth], Value: [Avg Environmental Value], filtered to a single ParameterType via a "Parameter" slicer, with a constant reference line at AVERAGE(fact_Environmental[ComplianceLimit]) drawn using an Analytics-pane constant line.</w:t>
      </w:r>
    </w:p>
    <w:p>
      <w:pPr>
        <w:pStyle w:val="Heading3"/>
        <w:spacing w:after="100" w:before="200"/>
      </w:pPr>
      <w:r>
        <w:rPr>
          <w:rFonts w:ascii="Calibri" w:cs="Calibri" w:eastAsia="Calibri" w:hAnsi="Calibri"/>
          <w:b/>
          <w:bCs/>
          <w:color w:val="1F3864"/>
          <w:sz w:val="23"/>
          <w:szCs w:val="23"/>
        </w:rPr>
        <w:t xml:space="preserve">Compliance Status Split</w:t>
      </w:r>
    </w:p>
    <w:p>
      <w:pPr>
        <w:spacing w:after="120"/>
      </w:pPr>
      <w:r>
        <w:rPr>
          <w:rFonts w:ascii="Calibri" w:cs="Calibri" w:eastAsia="Calibri" w:hAnsi="Calibri"/>
          <w:sz w:val="22"/>
          <w:szCs w:val="22"/>
        </w:rPr>
        <w:t xml:space="preserve">Design: Donut chart - Legend: fact_Environmental[ComplianceStatus], Value: [Total Env Readings].</w:t>
      </w:r>
    </w:p>
    <w:p>
      <w:pPr>
        <w:pStyle w:val="Heading3"/>
        <w:spacing w:after="100" w:before="200"/>
      </w:pPr>
      <w:r>
        <w:rPr>
          <w:rFonts w:ascii="Calibri" w:cs="Calibri" w:eastAsia="Calibri" w:hAnsi="Calibri"/>
          <w:b/>
          <w:bCs/>
          <w:color w:val="1F3864"/>
          <w:sz w:val="23"/>
          <w:szCs w:val="23"/>
        </w:rPr>
        <w:t xml:space="preserve">Non-Compliant Readings - Investigation List</w:t>
      </w:r>
    </w:p>
    <w:p>
      <w:pPr>
        <w:spacing w:after="120"/>
      </w:pPr>
      <w:r>
        <w:rPr>
          <w:rFonts w:ascii="Calibri" w:cs="Calibri" w:eastAsia="Calibri" w:hAnsi="Calibri"/>
          <w:sz w:val="22"/>
          <w:szCs w:val="22"/>
        </w:rPr>
        <w:t xml:space="preserve">Design: Table - Columns: MonitoringID, Date, Site, ParameterType, Value, ComplianceLimit, [Variance to Limit %] (conditional formatted red/green), ComplianceStatus. Visual-level filter: ComplianceStatus = "Non-Compliant".</w:t>
      </w:r>
    </w:p>
    <w:p>
      <w:pPr>
        <w:pStyle w:val="Heading2"/>
        <w:spacing w:after="140" w:before="280"/>
      </w:pPr>
      <w:r>
        <w:rPr>
          <w:rFonts w:ascii="Calibri" w:cs="Calibri" w:eastAsia="Calibri" w:hAnsi="Calibri"/>
          <w:b/>
          <w:bCs/>
          <w:color w:val="0E7C7B"/>
          <w:sz w:val="26"/>
          <w:szCs w:val="26"/>
        </w:rPr>
        <w:t xml:space="preserve">Dashboard Page 5 - "Training &amp; Competence"</w:t>
      </w:r>
    </w:p>
    <w:p>
      <w:pPr>
        <w:spacing w:after="120"/>
      </w:pPr>
      <w:r>
        <w:rPr>
          <w:rFonts w:ascii="Calibri" w:cs="Calibri" w:eastAsia="Calibri" w:hAnsi="Calibri"/>
          <w:i/>
          <w:iCs/>
          <w:color w:val="595959"/>
          <w:sz w:val="22"/>
          <w:szCs w:val="22"/>
        </w:rPr>
        <w:t xml:space="preserve">track training delivery, pass rates, and certification currency across the workforce.</w:t>
      </w:r>
    </w:p>
    <w:p>
      <w:pPr>
        <w:spacing w:after="120"/>
      </w:pPr>
      <w:r>
        <w:rPr>
          <w:rFonts w:ascii="Calibri" w:cs="Calibri" w:eastAsia="Calibri" w:hAnsi="Calibri"/>
          <w:b/>
          <w:bCs/>
          <w:sz w:val="22"/>
          <w:szCs w:val="22"/>
        </w:rPr>
        <w:t xml:space="preserve">Slicers: Year, TrainingCourse, Department (via dim_Employee).</w:t>
      </w:r>
    </w:p>
    <w:p>
      <w:pPr>
        <w:pStyle w:val="Heading3"/>
        <w:spacing w:after="100" w:before="200"/>
      </w:pPr>
      <w:r>
        <w:rPr>
          <w:rFonts w:ascii="Calibri" w:cs="Calibri" w:eastAsia="Calibri" w:hAnsi="Calibri"/>
          <w:b/>
          <w:bCs/>
          <w:color w:val="1F3864"/>
          <w:sz w:val="23"/>
          <w:szCs w:val="23"/>
        </w:rPr>
        <w:t xml:space="preserve">Total Trainings Delivered</w:t>
      </w:r>
    </w:p>
    <w:p>
      <w:pPr>
        <w:spacing w:after="120"/>
      </w:pPr>
      <w:r>
        <w:rPr>
          <w:rFonts w:ascii="Calibri" w:cs="Calibri" w:eastAsia="Calibri" w:hAnsi="Calibri"/>
          <w:sz w:val="22"/>
          <w:szCs w:val="22"/>
        </w:rPr>
        <w:t xml:space="preserve">Design: Card - "Total Trainings Delivered" -&gt; [Total Trainings].</w:t>
      </w:r>
    </w:p>
    <w:p>
      <w:pPr>
        <w:pStyle w:val="Heading3"/>
        <w:spacing w:after="100" w:before="200"/>
      </w:pPr>
      <w:r>
        <w:rPr>
          <w:rFonts w:ascii="Calibri" w:cs="Calibri" w:eastAsia="Calibri" w:hAnsi="Calibri"/>
          <w:b/>
          <w:bCs/>
          <w:color w:val="1F3864"/>
          <w:sz w:val="23"/>
          <w:szCs w:val="23"/>
        </w:rPr>
        <w:t xml:space="preserve">Training Pass Rate</w:t>
      </w:r>
    </w:p>
    <w:p>
      <w:pPr>
        <w:spacing w:after="120"/>
      </w:pPr>
      <w:r>
        <w:rPr>
          <w:rFonts w:ascii="Calibri" w:cs="Calibri" w:eastAsia="Calibri" w:hAnsi="Calibri"/>
          <w:sz w:val="22"/>
          <w:szCs w:val="22"/>
        </w:rPr>
        <w:t xml:space="preserve">Design: Card - "Training Pass Rate" -&gt; [Training Pass Rate %].</w:t>
      </w:r>
    </w:p>
    <w:p>
      <w:pPr>
        <w:pStyle w:val="Heading3"/>
        <w:spacing w:after="100" w:before="200"/>
      </w:pPr>
      <w:r>
        <w:rPr>
          <w:rFonts w:ascii="Calibri" w:cs="Calibri" w:eastAsia="Calibri" w:hAnsi="Calibri"/>
          <w:b/>
          <w:bCs/>
          <w:color w:val="1F3864"/>
          <w:sz w:val="23"/>
          <w:szCs w:val="23"/>
        </w:rPr>
        <w:t xml:space="preserve">Certifications Expiring (Next 30 Days)</w:t>
      </w:r>
    </w:p>
    <w:p>
      <w:pPr>
        <w:spacing w:after="120"/>
      </w:pPr>
      <w:r>
        <w:rPr>
          <w:rFonts w:ascii="Calibri" w:cs="Calibri" w:eastAsia="Calibri" w:hAnsi="Calibri"/>
          <w:sz w:val="22"/>
          <w:szCs w:val="22"/>
        </w:rPr>
        <w:t xml:space="preserve">Design: Card - "Certifications Expiring (Next 30 Days)" -&gt; [Certifications Expiring Next 30 Days].</w:t>
      </w:r>
    </w:p>
    <w:p>
      <w:pPr>
        <w:pStyle w:val="Heading3"/>
        <w:spacing w:after="100" w:before="200"/>
      </w:pPr>
      <w:r>
        <w:rPr>
          <w:rFonts w:ascii="Calibri" w:cs="Calibri" w:eastAsia="Calibri" w:hAnsi="Calibri"/>
          <w:b/>
          <w:bCs/>
          <w:color w:val="1F3864"/>
          <w:sz w:val="23"/>
          <w:szCs w:val="23"/>
        </w:rPr>
        <w:t xml:space="preserve">Training Volume by Course</w:t>
      </w:r>
    </w:p>
    <w:p>
      <w:pPr>
        <w:spacing w:after="120"/>
      </w:pPr>
      <w:r>
        <w:rPr>
          <w:rFonts w:ascii="Calibri" w:cs="Calibri" w:eastAsia="Calibri" w:hAnsi="Calibri"/>
          <w:sz w:val="22"/>
          <w:szCs w:val="22"/>
        </w:rPr>
        <w:t xml:space="preserve">Design: Clustered bar chart - Y axis: fact_Training[TrainingCourse], Value: [Total Trainings], sorted descending.</w:t>
      </w:r>
    </w:p>
    <w:p>
      <w:pPr>
        <w:pStyle w:val="Heading3"/>
        <w:spacing w:after="100" w:before="200"/>
      </w:pPr>
      <w:r>
        <w:rPr>
          <w:rFonts w:ascii="Calibri" w:cs="Calibri" w:eastAsia="Calibri" w:hAnsi="Calibri"/>
          <w:b/>
          <w:bCs/>
          <w:color w:val="1F3864"/>
          <w:sz w:val="23"/>
          <w:szCs w:val="23"/>
        </w:rPr>
        <w:t xml:space="preserve">Monthly Pass Rate Trend</w:t>
      </w:r>
    </w:p>
    <w:p>
      <w:pPr>
        <w:spacing w:after="120"/>
      </w:pPr>
      <w:r>
        <w:rPr>
          <w:rFonts w:ascii="Calibri" w:cs="Calibri" w:eastAsia="Calibri" w:hAnsi="Calibri"/>
          <w:sz w:val="22"/>
          <w:szCs w:val="22"/>
        </w:rPr>
        <w:t xml:space="preserve">Design: Line chart - X axis: dim_Date[YearMonth], Value: [Training Pass Rate %].</w:t>
      </w:r>
    </w:p>
    <w:p>
      <w:pPr>
        <w:pStyle w:val="Heading3"/>
        <w:spacing w:after="100" w:before="200"/>
      </w:pPr>
      <w:r>
        <w:rPr>
          <w:rFonts w:ascii="Calibri" w:cs="Calibri" w:eastAsia="Calibri" w:hAnsi="Calibri"/>
          <w:b/>
          <w:bCs/>
          <w:color w:val="1F3864"/>
          <w:sz w:val="23"/>
          <w:szCs w:val="23"/>
        </w:rPr>
        <w:t xml:space="preserve">Certification Status Overview</w:t>
      </w:r>
    </w:p>
    <w:p>
      <w:pPr>
        <w:spacing w:after="120"/>
      </w:pPr>
      <w:r>
        <w:rPr>
          <w:rFonts w:ascii="Calibri" w:cs="Calibri" w:eastAsia="Calibri" w:hAnsi="Calibri"/>
          <w:sz w:val="22"/>
          <w:szCs w:val="22"/>
        </w:rPr>
        <w:t xml:space="preserve">Design: Donut chart - Legend: fact_Training[CertificationStatus], Value: [Total Trainings].</w:t>
      </w:r>
    </w:p>
    <w:p>
      <w:pPr>
        <w:pStyle w:val="Heading3"/>
        <w:spacing w:after="100" w:before="200"/>
      </w:pPr>
      <w:r>
        <w:rPr>
          <w:rFonts w:ascii="Calibri" w:cs="Calibri" w:eastAsia="Calibri" w:hAnsi="Calibri"/>
          <w:b/>
          <w:bCs/>
          <w:color w:val="1F3864"/>
          <w:sz w:val="23"/>
          <w:szCs w:val="23"/>
        </w:rPr>
        <w:t xml:space="preserve">Employees Needing Refresher Training - Action List</w:t>
      </w:r>
    </w:p>
    <w:p>
      <w:pPr>
        <w:spacing w:after="120"/>
      </w:pPr>
      <w:r>
        <w:rPr>
          <w:rFonts w:ascii="Calibri" w:cs="Calibri" w:eastAsia="Calibri" w:hAnsi="Calibri"/>
          <w:sz w:val="22"/>
          <w:szCs w:val="22"/>
        </w:rPr>
        <w:t xml:space="preserve">Design: Table - Columns: EmployeeID (via dim_Employee[FullName]), TrainingCourse, Score, ResultStatus, ExpiryDateKey (formatted as date), CertificationStatus. Visual-level filter: CertificationStatus IN {"Expired","Expiring Soon"}.</w:t>
      </w:r>
    </w:p>
    <w:p>
      <w:pPr>
        <w:pStyle w:val="Heading2"/>
        <w:spacing w:after="140" w:before="280"/>
      </w:pPr>
      <w:r>
        <w:rPr>
          <w:rFonts w:ascii="Calibri" w:cs="Calibri" w:eastAsia="Calibri" w:hAnsi="Calibri"/>
          <w:b/>
          <w:bCs/>
          <w:color w:val="0E7C7B"/>
          <w:sz w:val="26"/>
          <w:szCs w:val="26"/>
        </w:rPr>
        <w:t xml:space="preserve">Cross-Page Design Standards</w:t>
      </w:r>
    </w:p>
    <w:p>
      <w:pPr>
        <w:spacing w:after="120"/>
      </w:pPr>
      <w:r>
        <w:rPr>
          <w:rFonts w:ascii="Calibri" w:cs="Calibri" w:eastAsia="Calibri" w:hAnsi="Calibri"/>
          <w:sz w:val="22"/>
          <w:szCs w:val="22"/>
        </w:rPr>
        <w:t xml:space="preserve">These rules were applied consistently across all five pages so the finished report reads as one coherent product rather than five disconnected pages.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KPI card uses the same card visual style (rounded corners, 2px border, category label above value, YoY/target sub-label below in smaller gray text) for visual consistency.</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page has the same slicer panel position (top strip, height 60px) so students learn to build a repeatable dashboard template, not a one-off page.</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chart has a one-line "Why this chart" note placed in the Word document and HTML solution file (not on the canvas itself) so students learn the reasoning, not just the mechanics.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Tooltips: every column/bar/line visual should have a tooltip page or extended tooltip fields added (Site, Department, Date) so hovering reveals context without needing to click through.</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Bookmarks (optional stretch task): create a bookmark group toggling between "Count view" and "Rate view" on Page 1, to teach students bookmark + selection pane + button interactions.</w:t>
      </w:r>
    </w:p>
    <w:p>
      <w:pPr>
        <w:pStyle w:val="Heading1"/>
        <w:pBdr>
          <w:bottom w:val="single" w:color="0E7C7B" w:sz="12" w:space="4"/>
        </w:pBdr>
        <w:spacing w:after="200" w:before="360"/>
      </w:pPr>
      <w:r>
        <w:rPr>
          <w:rFonts w:ascii="Calibri" w:cs="Calibri" w:eastAsia="Calibri" w:hAnsi="Calibri"/>
          <w:b/>
          <w:bCs/>
          <w:color w:val="1F3864"/>
          <w:sz w:val="32"/>
          <w:szCs w:val="32"/>
        </w:rPr>
        <w:t xml:space="preserve">8. Final Quality Checklist</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visual on every page renders with no error triangles and no '(Blank)' categories.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KPI card's conditional formatting (LTIFR Status, Environmental Compliance Status) displays the correct color at realistic filter combinations.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The Certifications Expiring Next 30 Days measure returns different, sensible numbers than a naive count using the active DateKey relationship - confirming USERELATIONSHIP is applied correctly.</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slicer on every page cross-filters the visuals on that page correctly, and does not unexpectedly affect other pages.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All monetary values are formatted consistently (USD, thousands separator) and all percentages are formatted to one decimal place throughout the report.</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The report has been tested with at least three different slicer combinations to confirm no visual breaks or misleading blank results.</w:t>
      </w:r>
    </w:p>
    <w:p>
      <w:pPr>
        <w:spacing w:after="120"/>
      </w:pPr>
      <w:r>
        <w:rPr>
          <w:rFonts w:ascii="Calibri" w:cs="Calibri" w:eastAsia="Calibri" w:hAnsi="Calibri"/>
          <w:sz w:val="22"/>
          <w:szCs w:val="22"/>
        </w:rPr>
        <w:t xml:space="preserve"/>
      </w:r>
    </w:p>
    <w:p>
      <w:pPr>
        <w:spacing w:after="120"/>
      </w:pPr>
      <w:r>
        <w:rPr>
          <w:rFonts w:ascii="Calibri" w:cs="Calibri" w:eastAsia="Calibri" w:hAnsi="Calibri"/>
          <w:i/>
          <w:iCs/>
          <w:color w:val="7F8C8D"/>
          <w:sz w:val="22"/>
          <w:szCs w:val="22"/>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5B1"/>
        <w:sz w:val="16"/>
        <w:szCs w:val="16"/>
      </w:rPr>
      <w:t xml:space="preserve">Page </w:t>
    </w:r>
    <w:r>
      <w:rPr>
        <w:rFonts w:ascii="Calibri" w:cs="Calibri" w:eastAsia="Calibri" w:hAnsi="Calibri"/>
        <w:color w:val="9AA5B1"/>
        <w:sz w:val="16"/>
        <w:szCs w:val="16"/>
      </w:rPr>
      <w:fldChar w:fldCharType="begin"/>
      <w:instrText xml:space="preserve">PAGE</w:instrText>
      <w:fldChar w:fldCharType="separate"/>
      <w:fldChar w:fldCharType="end"/>
    </w:r>
    <w:r>
      <w:rPr>
        <w:rFonts w:ascii="Calibri" w:cs="Calibri" w:eastAsia="Calibri" w:hAnsi="Calibri"/>
        <w:color w:val="9AA5B1"/>
        <w:sz w:val="16"/>
        <w:szCs w:val="16"/>
      </w:rPr>
      <w:t xml:space="preserve"> of </w:t>
    </w:r>
    <w:r>
      <w:rPr>
        <w:rFonts w:ascii="Calibri" w:cs="Calibri" w:eastAsia="Calibri" w:hAnsi="Calibri"/>
        <w:color w:val="9AA5B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5B1"/>
        <w:sz w:val="16"/>
        <w:szCs w:val="16"/>
      </w:rPr>
      <w:t xml:space="preserve">NDPPC - HSE Power BI Training - Kajola Gbenga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HSE Power BI Training Project</dc:title>
  <dc:creator>Kajola Gbenga</dc:creator>
  <cp:lastModifiedBy>Un-named</cp:lastModifiedBy>
  <cp:revision>1</cp:revision>
  <dcterms:created xsi:type="dcterms:W3CDTF">2026-08-22T08:47:46.173Z</dcterms:created>
  <dcterms:modified xsi:type="dcterms:W3CDTF">2026-08-22T08:47:46.186Z</dcterms:modified>
</cp:coreProperties>
</file>

<file path=docProps/custom.xml><?xml version="1.0" encoding="utf-8"?>
<Properties xmlns="http://schemas.openxmlformats.org/officeDocument/2006/custom-properties" xmlns:vt="http://schemas.openxmlformats.org/officeDocument/2006/docPropsVTypes"/>
</file>