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C45C8">
      <w:pPr>
        <w:pStyle w:val="36"/>
        <w:rPr>
          <w:sz w:val="58"/>
          <w:szCs w:val="58"/>
        </w:rPr>
      </w:pPr>
      <w:r>
        <w:rPr>
          <w:sz w:val="58"/>
          <w:szCs w:val="58"/>
        </w:rPr>
        <w:t>Nigerian Breweries –</w:t>
      </w:r>
      <w:bookmarkStart w:id="0" w:name="_GoBack"/>
      <w:bookmarkEnd w:id="0"/>
      <w:r>
        <w:rPr>
          <w:sz w:val="58"/>
          <w:szCs w:val="58"/>
        </w:rPr>
        <w:t xml:space="preserve"> Data-Driven Insights</w:t>
      </w:r>
    </w:p>
    <w:p w14:paraId="7312E371">
      <w:r>
        <w:t>Coverage period: January 2024 to December 2024</w:t>
      </w:r>
    </w:p>
    <w:p w14:paraId="14F4204D">
      <w:r>
        <w:t>Dataset nature: Synthetic but pattern-realistic for Nigerian market conditions (sales, pricing, logistics, distributor risk, quality, media, social, macro).</w:t>
      </w:r>
    </w:p>
    <w:p w14:paraId="44710589">
      <w:pPr>
        <w:pStyle w:val="2"/>
      </w:pPr>
      <w:r>
        <w:t>2) Seasonal &amp; Regional Performance</w:t>
      </w:r>
    </w:p>
    <w:p w14:paraId="608C5BEA">
      <w:r>
        <w:t>• Peak Month: May 2024</w:t>
      </w:r>
      <w:r>
        <w:br w:type="textWrapping"/>
      </w:r>
      <w:r>
        <w:t>• Trough Month: November 2024</w:t>
      </w:r>
    </w:p>
    <w:p w14:paraId="101C4D6F">
      <w:r>
        <w:br w:type="textWrapping"/>
      </w:r>
    </w:p>
    <w:p w14:paraId="2F192F4F">
      <w:pPr>
        <w:pStyle w:val="2"/>
      </w:pPr>
      <w:r>
        <w:t>Top States by Revenue</w:t>
      </w:r>
    </w:p>
    <w:p w14:paraId="2F35ADA4">
      <w:r>
        <w:t>Top States by Revenue:</w:t>
      </w:r>
      <w:r>
        <w:br w:type="textWrapping"/>
      </w:r>
      <w:r>
        <w:t>• Oyo: ₦361,226,330 revenue, 821,893 units</w:t>
      </w:r>
      <w:r>
        <w:br w:type="textWrapping"/>
      </w:r>
      <w:r>
        <w:t>• Kaduna: ₦356,810,385 revenue, 798,258 units</w:t>
      </w:r>
      <w:r>
        <w:br w:type="textWrapping"/>
      </w:r>
      <w:r>
        <w:t>• Borno: ₦351,034,310 revenue, 790,089 units</w:t>
      </w:r>
      <w:r>
        <w:br w:type="textWrapping"/>
      </w:r>
      <w:r>
        <w:t>• Kano: ₦346,394,625 revenue, 787,876 units</w:t>
      </w:r>
      <w:r>
        <w:br w:type="textWrapping"/>
      </w:r>
      <w:r>
        <w:t>• Abuja: ₦345,929,849 revenue, 810,712 units</w:t>
      </w:r>
    </w:p>
    <w:p w14:paraId="30CBE37D">
      <w:r>
        <w:t>The chart below highlights the top 5 states contributing the highest revenues.</w:t>
      </w:r>
    </w:p>
    <w:p w14:paraId="55F91548">
      <w:r>
        <w:drawing>
          <wp:inline distT="0" distB="0" distL="114300" distR="114300">
            <wp:extent cx="4572000" cy="3452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10A3">
      <w:r>
        <w:t>Top SKUs by Revenue:</w:t>
      </w:r>
      <w:r>
        <w:br w:type="textWrapping"/>
      </w:r>
      <w:r>
        <w:t>• Gulder Lager 33cl: ₦595,170,858 revenue, 1,370,084 units</w:t>
      </w:r>
      <w:r>
        <w:br w:type="textWrapping"/>
      </w:r>
      <w:r>
        <w:t>• Trophy Lager 45cl: ₦589,342,229 revenue, 1,331,993 units</w:t>
      </w:r>
      <w:r>
        <w:br w:type="textWrapping"/>
      </w:r>
      <w:r>
        <w:t>• Fayrouz Can 33cl: ₦589,069,722 revenue, 1,344,991 units</w:t>
      </w:r>
      <w:r>
        <w:br w:type="textWrapping"/>
      </w:r>
      <w:r>
        <w:t>• Life Lager 60cl: ₦574,734,211 revenue, 1,314,369 units</w:t>
      </w:r>
      <w:r>
        <w:br w:type="textWrapping"/>
      </w:r>
      <w:r>
        <w:t>• Maltina PET 50cl: ₦567,681,816 revenue, 1,302,163 units</w:t>
      </w:r>
    </w:p>
    <w:p w14:paraId="468DBF37">
      <w:pPr>
        <w:pStyle w:val="2"/>
      </w:pPr>
      <w:r>
        <w:t>3) Stockouts &amp; Inventory</w:t>
      </w:r>
    </w:p>
    <w:p w14:paraId="3AFBDBA8">
      <w:r>
        <w:t>• Average OOS Rate (mean across months): 7.55%</w:t>
      </w:r>
      <w:r>
        <w:br w:type="textWrapping"/>
      </w:r>
      <w:r>
        <w:t>• Estimated Lost Sales from OOS: 666,602 units</w:t>
      </w:r>
      <w:r>
        <w:br w:type="textWrapping"/>
      </w:r>
      <w:r>
        <w:t>Implication: Each 1pp reduction in OOS improves available volume; targeting -3 to -5pp OOS in top states likely yields immediate volume recovery.</w:t>
      </w:r>
    </w:p>
    <w:p w14:paraId="5D2CCBD2">
      <w:pPr>
        <w:pStyle w:val="2"/>
      </w:pPr>
      <w:r>
        <w:t>4) Pricing Power &amp; Compliance</w:t>
      </w:r>
    </w:p>
    <w:p w14:paraId="35D0CE7E">
      <w:r>
        <w:t>• Avg Price Gap vs Competitors (mean across comps): 0.32%</w:t>
      </w:r>
      <w:r>
        <w:br w:type="textWrapping"/>
      </w:r>
      <w:r>
        <w:t>• Compliance (from sales price_compliance): avg 90.01%</w:t>
      </w:r>
      <w:r>
        <w:br w:type="textWrapping"/>
      </w:r>
      <w:r>
        <w:t>• Price–Volume correlation: -0.01 (negative indicates demand sensitivity to price)</w:t>
      </w:r>
      <w:r>
        <w:br w:type="textWrapping"/>
      </w:r>
      <w:r>
        <w:t>Action: Sharpen pack-price architecture (smaller PET/can options in inflation-sensitive states) and protect price premium where sentiment is strong (e.g., platforms/ages with highest net sentiment).</w:t>
      </w:r>
    </w:p>
    <w:p w14:paraId="0DE3B4DA">
      <w:pPr>
        <w:pStyle w:val="2"/>
      </w:pPr>
      <w:r>
        <w:t>5) Logistics &amp; Cost-to-Serve</w:t>
      </w:r>
    </w:p>
    <w:p w14:paraId="6C928EFB">
      <w:r>
        <w:t>Worst 5 lanes by Cost per km:</w:t>
      </w:r>
      <w:r>
        <w:br w:type="textWrapping"/>
      </w:r>
      <w:r>
        <w:t>• Kaduna Brewery ➜ Oyo: ₦72/km, OT 0.87, LT 5.1d</w:t>
      </w:r>
      <w:r>
        <w:br w:type="textWrapping"/>
      </w:r>
      <w:r>
        <w:t>• Kaduna Brewery ➜ Kaduna: ₦70/km, OT 0.84, LT 4.5d</w:t>
      </w:r>
      <w:r>
        <w:br w:type="textWrapping"/>
      </w:r>
      <w:r>
        <w:t>• Kaduna Brewery ➜ Edo: ₦69/km, OT 0.82, LT 3.5d</w:t>
      </w:r>
      <w:r>
        <w:br w:type="textWrapping"/>
      </w:r>
      <w:r>
        <w:t>• Lagos Brewery ➜ Kano: ₦69/km, OT 0.86, LT 4.2d</w:t>
      </w:r>
      <w:r>
        <w:br w:type="textWrapping"/>
      </w:r>
      <w:r>
        <w:t>• Lagos Brewery ➜ Rivers: ₦68/km, OT 0.86, LT 4.3d</w:t>
      </w:r>
    </w:p>
    <w:p w14:paraId="678E9219"/>
    <w:p w14:paraId="232DE650">
      <w:pPr>
        <w:pStyle w:val="2"/>
      </w:pPr>
      <w:r>
        <w:t>Worst Lanes by Cost-to-Serve</w:t>
      </w:r>
    </w:p>
    <w:p w14:paraId="6CF0A12A">
      <w:r>
        <w:t>The chart below shows the five most expensive logistics lanes (₦ per km).</w:t>
      </w:r>
    </w:p>
    <w:p w14:paraId="59B28A8A">
      <w:r>
        <w:drawing>
          <wp:inline distT="0" distB="0" distL="114300" distR="114300">
            <wp:extent cx="4572000" cy="295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D3EE"/>
    <w:p w14:paraId="759E7D89">
      <w:r>
        <w:t>Worst 5 lanes by Lead Time:</w:t>
      </w:r>
      <w:r>
        <w:br w:type="textWrapping"/>
      </w:r>
      <w:r>
        <w:t>• Kaduna Brewery ➜ Oyo: LT 5.1d, ₦72/km, OT 0.87</w:t>
      </w:r>
      <w:r>
        <w:br w:type="textWrapping"/>
      </w:r>
      <w:r>
        <w:t>• Kaduna Brewery ➜ Plateau: LT 5.0d, ₦61/km, OT 0.82</w:t>
      </w:r>
      <w:r>
        <w:br w:type="textWrapping"/>
      </w:r>
      <w:r>
        <w:t>• Kaduna Brewery ➜ Lagos: LT 4.5d, ₦64/km, OT 0.86</w:t>
      </w:r>
      <w:r>
        <w:br w:type="textWrapping"/>
      </w:r>
      <w:r>
        <w:t>• Kaduna Brewery ➜ Kaduna: LT 4.5d, ₦70/km, OT 0.84</w:t>
      </w:r>
      <w:r>
        <w:br w:type="textWrapping"/>
      </w:r>
      <w:r>
        <w:t>• Lagos Brewery ➜ Abuja: LT 4.4d, ₦66/km, OT 0.82</w:t>
      </w:r>
    </w:p>
    <w:p w14:paraId="176C8EC4">
      <w:r>
        <w:t>Implication: Prioritize route re-optimization and vendor SLAs on these lanes; aim to lift on-time ratio and reduce breakage.</w:t>
      </w:r>
    </w:p>
    <w:p w14:paraId="584BA912">
      <w:pPr>
        <w:pStyle w:val="2"/>
      </w:pPr>
      <w:r>
        <w:t>6) Distributor Risk</w:t>
      </w:r>
    </w:p>
    <w:p w14:paraId="69BBFC14">
      <w:r>
        <w:t>Top 5 at-risk distributors:</w:t>
      </w:r>
      <w:r>
        <w:br w:type="textWrapping"/>
      </w:r>
      <w:r>
        <w:t>• Dist C: Risk 0.77, DSO 38d, Credit 80%, OTIF 0.78</w:t>
      </w:r>
      <w:r>
        <w:br w:type="textWrapping"/>
      </w:r>
      <w:r>
        <w:t>• Dist A: Risk 0.75, DSO 46d, Credit 77%, OTIF 0.83</w:t>
      </w:r>
      <w:r>
        <w:br w:type="textWrapping"/>
      </w:r>
      <w:r>
        <w:t>• Dist B: Risk 0.69, DSO 37d, Credit 77%, OTIF 0.85</w:t>
      </w:r>
      <w:r>
        <w:br w:type="textWrapping"/>
      </w:r>
      <w:r>
        <w:t>• Dist D: Risk 0.62, DSO 36d, Credit 71%, OTIF 0.83</w:t>
      </w:r>
    </w:p>
    <w:p w14:paraId="461DB3BA">
      <w:r>
        <w:t>Signals: High credit utilization (&gt;85%), DSO &gt;45 days, and low OTIF increase churn risk. Tighter credit control + service recovery plans needed for top-risk partners.</w:t>
      </w:r>
    </w:p>
    <w:p w14:paraId="5385E3D2"/>
    <w:p w14:paraId="657E2755">
      <w:pPr>
        <w:pStyle w:val="2"/>
      </w:pPr>
      <w:r>
        <w:t>Distributor Risk – Top 5</w:t>
      </w:r>
    </w:p>
    <w:p w14:paraId="4B4E6069">
      <w:r>
        <w:t>The chart below shows the 5 distributors with highest risk scores, considering credit utilization, DSO, OTIF, and churn risk.</w:t>
      </w:r>
    </w:p>
    <w:p w14:paraId="527AA247">
      <w:r>
        <w:drawing>
          <wp:inline distT="0" distB="0" distL="114300" distR="114300">
            <wp:extent cx="4572000" cy="35071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CFAB">
      <w:r>
        <w:br w:type="page"/>
      </w:r>
    </w:p>
    <w:p w14:paraId="6AFA3633">
      <w:r>
        <w:t>This report was auto-generated to support executive-level decision-making on Nigerian Breweries' sales, logistics, and distributor management.</w:t>
      </w:r>
    </w:p>
    <w:p w14:paraId="331E1F83"/>
    <w:p w14:paraId="044DCBD6">
      <w:pPr>
        <w:pStyle w:val="2"/>
      </w:pPr>
      <w:r>
        <w:t>7) Quality &amp; Counterfeit</w:t>
      </w:r>
    </w:p>
    <w:p w14:paraId="4FF14BBC">
      <w:r>
        <w:t>• Highest returns_rate states: Kano, Enugu, Borno, Edo, Rivers</w:t>
      </w:r>
      <w:r>
        <w:br w:type="textWrapping"/>
      </w:r>
      <w:r>
        <w:t>• Total complaints recorded: 6,990</w:t>
      </w:r>
      <w:r>
        <w:br w:type="textWrapping"/>
      </w:r>
      <w:r>
        <w:t>• Counterfeit cases (sum): 1,387</w:t>
      </w:r>
      <w:r>
        <w:br w:type="textWrapping"/>
      </w:r>
      <w:r>
        <w:t>Action: Intensify market clean-up in high-returns/counterfeit clusters; run QA audits and track “cold chain” issues in hot corridors.</w:t>
      </w:r>
    </w:p>
    <w:p w14:paraId="588298F3">
      <w:pPr>
        <w:pStyle w:val="2"/>
      </w:pPr>
      <w:r>
        <w:t>8) Marketing &amp; Social</w:t>
      </w:r>
    </w:p>
    <w:p w14:paraId="47355654">
      <w:r>
        <w:t>• Lowest average CPM platforms/regions are most efficient (see Media effectiveness table internally).</w:t>
      </w:r>
      <w:r>
        <w:br w:type="textWrapping"/>
      </w:r>
      <w:r>
        <w:t>• Media–Revenue correlation: -0.17 (by region-month)</w:t>
      </w:r>
      <w:r>
        <w:br w:type="textWrapping"/>
      </w:r>
      <w:r>
        <w:t>• Net Sentiment by Platform (desc): Twitter (0.25), TikTok (0.24), Facebook (0.24), Instagram (0.23)</w:t>
      </w:r>
      <w:r>
        <w:br w:type="textWrapping"/>
      </w:r>
      <w:r>
        <w:t>• Net Sentiment by Age Group (desc): 18-25 (0.26), 26-35 (0.24), 36-45 (0.23), 46+ (0.23)</w:t>
      </w:r>
    </w:p>
    <w:p w14:paraId="150FE088">
      <w:pPr>
        <w:pStyle w:val="2"/>
      </w:pPr>
      <w:r>
        <w:t>9) Macro Headwinds (Simple Correlations)</w:t>
      </w:r>
    </w:p>
    <w:p w14:paraId="6D6E926F">
      <w:r>
        <w:t>• Inflation ↔ Units correlation: -0.00</w:t>
      </w:r>
      <w:r>
        <w:br w:type="textWrapping"/>
      </w:r>
      <w:r>
        <w:t>• FX rate ↔ Price correlation: -0.00</w:t>
      </w:r>
      <w:r>
        <w:br w:type="textWrapping"/>
      </w:r>
      <w:r>
        <w:t>Interpretation: Higher inflation/FX typically pressures price and erodes volume; offsets via promo optimization, pack-sizing, and improving availability.</w:t>
      </w:r>
    </w:p>
    <w:p w14:paraId="07A32661">
      <w:pPr>
        <w:pStyle w:val="2"/>
      </w:pPr>
      <w:r>
        <w:t>10) Prioritized Next Steps (90-Day Action Plan)</w:t>
      </w:r>
    </w:p>
    <w:p w14:paraId="720E723C">
      <w:r>
        <w:t>A. Availability &amp; OOS</w:t>
      </w:r>
      <w:r>
        <w:br w:type="textWrapping"/>
      </w:r>
      <w:r>
        <w:t>- Drive -3 to -5pp OOS in top 5 states via weekly S&amp;OP with distributors; allocate buffer to lanes with highest lead time variability.</w:t>
      </w:r>
      <w:r>
        <w:br w:type="textWrapping"/>
      </w:r>
      <w:r>
        <w:t>- Implement store-level OOS alerts (push notifications from dashboard) for Traditional trade.</w:t>
      </w:r>
    </w:p>
    <w:p w14:paraId="5630DE44">
      <w:r>
        <w:t>B. Pricing &amp; Pack</w:t>
      </w:r>
      <w:r>
        <w:br w:type="textWrapping"/>
      </w:r>
      <w:r>
        <w:t>- Maintain premium in strong-sentiment platforms/ages; add smaller, affordable packs in price-sensitive regions to widen entry points.</w:t>
      </w:r>
      <w:r>
        <w:br w:type="textWrapping"/>
      </w:r>
      <w:r>
        <w:t>- Pilot dynamic promo rules: cut ineffective discounts, redeploy toward states with best promo-to-volume response.</w:t>
      </w:r>
    </w:p>
    <w:p w14:paraId="5A9476D5">
      <w:r>
        <w:t>C. Logistics &amp; Cost-to-Serve</w:t>
      </w:r>
      <w:r>
        <w:br w:type="textWrapping"/>
      </w:r>
      <w:r>
        <w:t>- Renegotiate freight on worst-cost lanes; target ≥10% cost_per_km reduction.</w:t>
      </w:r>
      <w:r>
        <w:br w:type="textWrapping"/>
      </w:r>
      <w:r>
        <w:t>- Cold-chain &amp; handling SOPs to cut temp excursions and breakage by ≥20% on red lanes.</w:t>
      </w:r>
    </w:p>
    <w:p w14:paraId="333B92FF">
      <w:r>
        <w:t>D. Distributor Health</w:t>
      </w:r>
      <w:r>
        <w:br w:type="textWrapping"/>
      </w:r>
      <w:r>
        <w:t>- Credit policy with early-warning triggers (DSO&gt;45, credit_util&gt;85%, OTIF&lt;0.9).</w:t>
      </w:r>
      <w:r>
        <w:br w:type="textWrapping"/>
      </w:r>
      <w:r>
        <w:t>- Joint action plans with top 5 risk distributors; align inventory targets to realistic demand.</w:t>
      </w:r>
    </w:p>
    <w:p w14:paraId="2A48BC98">
      <w:r>
        <w:t>E. Quality &amp; Market Clean-up</w:t>
      </w:r>
      <w:r>
        <w:br w:type="textWrapping"/>
      </w:r>
      <w:r>
        <w:t>- Mystery shopping in hotspot states; QR-based authentication on premium SKUs.</w:t>
      </w:r>
      <w:r>
        <w:br w:type="textWrapping"/>
      </w:r>
      <w:r>
        <w:t>- Tighten returns root-cause analysis loop back into manufacturing and logistics.</w:t>
      </w:r>
    </w:p>
    <w:p w14:paraId="6E2CAFBF">
      <w:r>
        <w:t>F. Media &amp; Social</w:t>
      </w:r>
      <w:r>
        <w:br w:type="textWrapping"/>
      </w:r>
      <w:r>
        <w:t>- Shift 10–15% spend toward lowest-CPM/high-sentiment mixes; scale TikTok/Instagram if sentiment &gt; peers.</w:t>
      </w:r>
      <w:r>
        <w:br w:type="textWrapping"/>
      </w:r>
      <w:r>
        <w:t>- Always-on social listening playbook with weekly insights into sales/availability squads.</w:t>
      </w:r>
    </w:p>
    <w:p w14:paraId="0D470545">
      <w:r>
        <w:t>G. Governance &amp; Cadence</w:t>
      </w:r>
      <w:r>
        <w:br w:type="textWrapping"/>
      </w:r>
      <w:r>
        <w:t>- Weekly exec stand-up with KPI tiles from this dashboard; Monthly state/channel deep dives.</w:t>
      </w:r>
      <w:r>
        <w:br w:type="textWrapping"/>
      </w:r>
      <w:r>
        <w:t>- Scenario testing: ±5–10% price, ±10–20pp promo, -5pp OOS to align targets with market realities.</w:t>
      </w:r>
    </w:p>
    <w:p w14:paraId="3BA3EEF6">
      <w:r>
        <w:t>Appendix: Data Coverage</w:t>
      </w:r>
      <w:r>
        <w:br w:type="textWrapping"/>
      </w:r>
      <w:r>
        <w:t>• Months: January 2024 to December 2024</w:t>
      </w:r>
      <w:r>
        <w:br w:type="textWrapping"/>
      </w:r>
      <w:r>
        <w:t>• States in scope: 10</w:t>
      </w:r>
      <w:r>
        <w:br w:type="textWrapping"/>
      </w:r>
      <w:r>
        <w:t>• Channels: E-commerce, Modern, On-Trade, Traditional</w:t>
      </w:r>
      <w:r>
        <w:br w:type="textWrapping"/>
      </w:r>
      <w:r>
        <w:t>• Competitors: Guinness, International Breweries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517A7A"/>
    <w:rsid w:val="26355AA7"/>
    <w:rsid w:val="6455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2025-08-20T13:34:31Z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37E652BA5D864277BD9ABA05F3FD9244_12</vt:lpwstr>
  </property>
</Properties>
</file>