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86BD45">
      <w:pPr>
        <w:pStyle w:val="7"/>
        <w:rPr>
          <w:sz w:val="64"/>
          <w:szCs w:val="64"/>
        </w:rPr>
      </w:pPr>
      <w:r>
        <w:rPr>
          <w:rStyle w:val="8"/>
          <w:rFonts w:hint="default"/>
          <w:sz w:val="64"/>
          <w:szCs w:val="64"/>
          <w:lang w:val="en-US"/>
        </w:rPr>
        <w:t xml:space="preserve">SEVEN (7) MONTH ROYAL PALM </w:t>
      </w:r>
      <w:r>
        <w:rPr>
          <w:rStyle w:val="8"/>
          <w:sz w:val="64"/>
          <w:szCs w:val="64"/>
        </w:rPr>
        <w:t xml:space="preserve">INVESTMENT PORTFOLIO </w:t>
      </w:r>
      <w:r>
        <w:rPr>
          <w:rStyle w:val="8"/>
          <w:rFonts w:hint="default"/>
          <w:sz w:val="64"/>
          <w:szCs w:val="64"/>
          <w:lang w:val="en-US"/>
        </w:rPr>
        <w:t xml:space="preserve">DATA </w:t>
      </w:r>
      <w:r>
        <w:rPr>
          <w:rStyle w:val="8"/>
          <w:sz w:val="64"/>
          <w:szCs w:val="64"/>
        </w:rPr>
        <w:t>ANALY</w:t>
      </w:r>
      <w:r>
        <w:rPr>
          <w:rStyle w:val="8"/>
          <w:rFonts w:hint="default"/>
          <w:sz w:val="64"/>
          <w:szCs w:val="64"/>
          <w:lang w:val="en-US"/>
        </w:rPr>
        <w:t>TIC</w:t>
      </w:r>
      <w:r>
        <w:rPr>
          <w:rStyle w:val="8"/>
          <w:sz w:val="64"/>
          <w:szCs w:val="64"/>
        </w:rPr>
        <w:t>S REPORT</w:t>
      </w:r>
    </w:p>
    <w:p w14:paraId="54912DFA">
      <w:pPr>
        <w:pStyle w:val="7"/>
        <w:rPr>
          <w:sz w:val="36"/>
          <w:szCs w:val="36"/>
        </w:rPr>
      </w:pPr>
      <w:r>
        <w:rPr>
          <w:rStyle w:val="8"/>
          <w:sz w:val="36"/>
          <w:szCs w:val="36"/>
        </w:rPr>
        <w:t>Date:</w:t>
      </w:r>
      <w:r>
        <w:rPr>
          <w:sz w:val="36"/>
          <w:szCs w:val="36"/>
        </w:rPr>
        <w:t xml:space="preserve"> 2</w:t>
      </w:r>
      <w:r>
        <w:rPr>
          <w:rFonts w:hint="default"/>
          <w:sz w:val="36"/>
          <w:szCs w:val="36"/>
          <w:lang w:val="en-US"/>
        </w:rPr>
        <w:t>1st</w:t>
      </w:r>
      <w:r>
        <w:rPr>
          <w:sz w:val="36"/>
          <w:szCs w:val="36"/>
        </w:rPr>
        <w:t xml:space="preserve"> </w:t>
      </w:r>
      <w:r>
        <w:rPr>
          <w:rFonts w:hint="default"/>
          <w:sz w:val="36"/>
          <w:szCs w:val="36"/>
          <w:lang w:val="en-US"/>
        </w:rPr>
        <w:t>March</w:t>
      </w:r>
      <w:r>
        <w:rPr>
          <w:sz w:val="36"/>
          <w:szCs w:val="36"/>
        </w:rPr>
        <w:t xml:space="preserve"> 2025</w:t>
      </w:r>
    </w:p>
    <w:p w14:paraId="70CC131A">
      <w:pPr>
        <w:pStyle w:val="7"/>
        <w:rPr>
          <w:sz w:val="36"/>
          <w:szCs w:val="36"/>
        </w:rPr>
      </w:pPr>
      <w:r>
        <w:rPr>
          <w:rStyle w:val="8"/>
          <w:sz w:val="36"/>
          <w:szCs w:val="36"/>
        </w:rPr>
        <w:t>Prepared By:</w:t>
      </w:r>
      <w:r>
        <w:rPr>
          <w:sz w:val="36"/>
          <w:szCs w:val="36"/>
        </w:rPr>
        <w:t xml:space="preserve"> Kajola Gbenga</w:t>
      </w:r>
    </w:p>
    <w:p w14:paraId="4872A0CC">
      <w:pPr>
        <w:pStyle w:val="7"/>
        <w:rPr>
          <w:sz w:val="36"/>
          <w:szCs w:val="36"/>
        </w:rPr>
      </w:pPr>
      <w:r>
        <w:rPr>
          <w:rStyle w:val="8"/>
          <w:sz w:val="36"/>
          <w:szCs w:val="36"/>
        </w:rPr>
        <w:t>Submitted To:</w:t>
      </w:r>
      <w:r>
        <w:rPr>
          <w:sz w:val="36"/>
          <w:szCs w:val="36"/>
        </w:rPr>
        <w:t xml:space="preserve"> UMéRA Management Team</w:t>
      </w:r>
    </w:p>
    <w:p w14:paraId="04D2C396"/>
    <w:p w14:paraId="321F02D5">
      <w:pPr>
        <w:rPr>
          <w:rFonts w:hint="default" w:asciiTheme="majorAscii" w:hAnsiTheme="majorAscii"/>
          <w:b/>
          <w:bCs/>
          <w:sz w:val="36"/>
          <w:szCs w:val="36"/>
          <w:lang w:val="en-US"/>
        </w:rPr>
      </w:pPr>
      <w:r>
        <w:rPr>
          <w:rFonts w:hint="default" w:asciiTheme="majorAscii" w:hAnsiTheme="majorAscii"/>
          <w:b/>
          <w:bCs/>
          <w:sz w:val="36"/>
          <w:szCs w:val="36"/>
          <w:lang w:val="en-US"/>
        </w:rPr>
        <w:t>CONTENTS</w:t>
      </w:r>
    </w:p>
    <w:p w14:paraId="1C4C2406">
      <w:pPr>
        <w:numPr>
          <w:ilvl w:val="0"/>
          <w:numId w:val="1"/>
        </w:numPr>
        <w:ind w:left="600" w:leftChars="0" w:firstLineChars="0"/>
        <w:rPr>
          <w:rFonts w:hint="default" w:asciiTheme="majorAscii" w:hAnsiTheme="majorAscii"/>
          <w:b w:val="0"/>
          <w:bCs w:val="0"/>
          <w:sz w:val="24"/>
          <w:szCs w:val="24"/>
          <w:lang w:val="en-US"/>
        </w:rPr>
      </w:pPr>
      <w:r>
        <w:rPr>
          <w:rFonts w:hint="default" w:asciiTheme="majorAscii" w:hAnsiTheme="majorAscii"/>
          <w:b w:val="0"/>
          <w:bCs w:val="0"/>
          <w:sz w:val="24"/>
          <w:szCs w:val="24"/>
          <w:lang w:val="en-US"/>
        </w:rPr>
        <w:t>Introduction</w:t>
      </w:r>
    </w:p>
    <w:p w14:paraId="4B0FBCC9">
      <w:pPr>
        <w:numPr>
          <w:ilvl w:val="0"/>
          <w:numId w:val="1"/>
        </w:numPr>
        <w:ind w:left="600" w:leftChars="0" w:firstLineChars="0"/>
        <w:rPr>
          <w:rFonts w:hint="default" w:asciiTheme="majorAscii" w:hAnsiTheme="majorAscii"/>
          <w:b w:val="0"/>
          <w:bCs w:val="0"/>
          <w:sz w:val="24"/>
          <w:szCs w:val="24"/>
          <w:lang w:val="en-US"/>
        </w:rPr>
      </w:pPr>
      <w:r>
        <w:rPr>
          <w:rFonts w:hint="default" w:asciiTheme="majorAscii" w:hAnsiTheme="majorAscii"/>
          <w:b w:val="0"/>
          <w:bCs w:val="0"/>
          <w:sz w:val="24"/>
          <w:szCs w:val="24"/>
          <w:lang w:val="en-US"/>
        </w:rPr>
        <w:t>Key findings &amp; Insights on Investments</w:t>
      </w:r>
    </w:p>
    <w:p w14:paraId="616FC293">
      <w:pPr>
        <w:numPr>
          <w:ilvl w:val="0"/>
          <w:numId w:val="1"/>
        </w:numPr>
        <w:ind w:left="600" w:leftChars="0" w:firstLineChars="0"/>
        <w:rPr>
          <w:rFonts w:hint="default" w:asciiTheme="majorAscii" w:hAnsiTheme="majorAscii"/>
          <w:b w:val="0"/>
          <w:bCs w:val="0"/>
          <w:sz w:val="24"/>
          <w:szCs w:val="24"/>
          <w:lang w:val="en-US"/>
        </w:rPr>
      </w:pPr>
      <w:r>
        <w:rPr>
          <w:rFonts w:hint="default" w:asciiTheme="majorAscii" w:hAnsiTheme="majorAscii"/>
          <w:b w:val="0"/>
          <w:bCs w:val="0"/>
          <w:sz w:val="24"/>
          <w:szCs w:val="24"/>
          <w:lang w:val="en-US"/>
        </w:rPr>
        <w:t>Age Segmentation Analytics</w:t>
      </w:r>
    </w:p>
    <w:p w14:paraId="6635704D">
      <w:pPr>
        <w:numPr>
          <w:ilvl w:val="0"/>
          <w:numId w:val="1"/>
        </w:numPr>
        <w:ind w:left="600" w:leftChars="0" w:firstLineChars="0"/>
        <w:rPr>
          <w:rFonts w:hint="default" w:asciiTheme="majorAscii" w:hAnsiTheme="majorAscii"/>
          <w:b w:val="0"/>
          <w:bCs w:val="0"/>
          <w:sz w:val="24"/>
          <w:szCs w:val="24"/>
          <w:lang w:val="en-US"/>
        </w:rPr>
      </w:pPr>
      <w:r>
        <w:rPr>
          <w:rFonts w:hint="default" w:asciiTheme="majorAscii" w:hAnsiTheme="majorAscii"/>
          <w:b w:val="0"/>
          <w:bCs w:val="0"/>
          <w:sz w:val="24"/>
          <w:szCs w:val="24"/>
          <w:lang w:val="en-US"/>
        </w:rPr>
        <w:t>Affliates Analytics</w:t>
      </w:r>
    </w:p>
    <w:p w14:paraId="4D910C57">
      <w:pPr>
        <w:numPr>
          <w:ilvl w:val="0"/>
          <w:numId w:val="1"/>
        </w:numPr>
        <w:ind w:left="600" w:leftChars="0" w:firstLineChars="0"/>
        <w:rPr>
          <w:rFonts w:hint="default" w:asciiTheme="majorAscii" w:hAnsiTheme="majorAscii"/>
          <w:b w:val="0"/>
          <w:bCs w:val="0"/>
          <w:sz w:val="24"/>
          <w:szCs w:val="24"/>
          <w:lang w:val="en-US"/>
        </w:rPr>
      </w:pPr>
      <w:r>
        <w:rPr>
          <w:rFonts w:hint="default" w:asciiTheme="majorAscii" w:hAnsiTheme="majorAscii"/>
          <w:b w:val="0"/>
          <w:bCs w:val="0"/>
          <w:sz w:val="24"/>
          <w:szCs w:val="24"/>
          <w:lang w:val="en-US"/>
        </w:rPr>
        <w:t>Recommendations</w:t>
      </w:r>
    </w:p>
    <w:p w14:paraId="3839BBB3">
      <w:pPr>
        <w:numPr>
          <w:ilvl w:val="0"/>
          <w:numId w:val="1"/>
        </w:numPr>
        <w:ind w:left="600" w:leftChars="0" w:firstLineChars="0"/>
        <w:rPr>
          <w:b w:val="0"/>
          <w:bCs w:val="0"/>
        </w:rPr>
      </w:pPr>
      <w:r>
        <w:rPr>
          <w:rFonts w:hint="default" w:asciiTheme="majorAscii" w:hAnsiTheme="majorAscii"/>
          <w:b w:val="0"/>
          <w:bCs w:val="0"/>
          <w:sz w:val="24"/>
          <w:szCs w:val="24"/>
          <w:lang w:val="en-US"/>
        </w:rPr>
        <w:t>Conclusion</w:t>
      </w:r>
    </w:p>
    <w:p w14:paraId="5BC12062">
      <w:pPr>
        <w:pStyle w:val="3"/>
        <w:rPr>
          <w:rFonts w:hint="default"/>
          <w:sz w:val="48"/>
          <w:szCs w:val="48"/>
        </w:rPr>
      </w:pPr>
      <w:r>
        <w:rPr>
          <w:rStyle w:val="8"/>
          <w:b/>
          <w:bCs/>
          <w:sz w:val="48"/>
          <w:szCs w:val="48"/>
        </w:rPr>
        <w:t>1. Introduction</w:t>
      </w:r>
    </w:p>
    <w:p w14:paraId="21BD6880">
      <w:pPr>
        <w:pStyle w:val="7"/>
        <w:rPr>
          <w:rFonts w:hint="default"/>
          <w:i/>
          <w:iCs/>
          <w:sz w:val="32"/>
          <w:szCs w:val="32"/>
          <w:lang w:val="en-US"/>
        </w:rPr>
      </w:pPr>
      <w:r>
        <w:rPr>
          <w:i/>
          <w:iCs/>
          <w:sz w:val="32"/>
          <w:szCs w:val="32"/>
        </w:rPr>
        <w:t>This report presents a</w:t>
      </w:r>
      <w:r>
        <w:rPr>
          <w:rFonts w:hint="default"/>
          <w:i/>
          <w:iCs/>
          <w:sz w:val="32"/>
          <w:szCs w:val="32"/>
          <w:lang w:val="en-US"/>
        </w:rPr>
        <w:t xml:space="preserve"> </w:t>
      </w:r>
      <w:r>
        <w:rPr>
          <w:rFonts w:hint="default"/>
          <w:b/>
          <w:bCs/>
          <w:i/>
          <w:iCs/>
          <w:sz w:val="32"/>
          <w:szCs w:val="32"/>
          <w:lang w:val="en-US"/>
        </w:rPr>
        <w:t>seven month</w:t>
      </w:r>
      <w:r>
        <w:rPr>
          <w:rFonts w:hint="default"/>
          <w:i/>
          <w:iCs/>
          <w:sz w:val="32"/>
          <w:szCs w:val="32"/>
          <w:lang w:val="en-US"/>
        </w:rPr>
        <w:t xml:space="preserve"> </w:t>
      </w:r>
      <w:r>
        <w:rPr>
          <w:i/>
          <w:iCs/>
          <w:sz w:val="32"/>
          <w:szCs w:val="32"/>
        </w:rPr>
        <w:t>in-depth analy</w:t>
      </w:r>
      <w:r>
        <w:rPr>
          <w:rFonts w:hint="default"/>
          <w:i/>
          <w:iCs/>
          <w:sz w:val="32"/>
          <w:szCs w:val="32"/>
          <w:lang w:val="en-US"/>
        </w:rPr>
        <w:t>tics</w:t>
      </w:r>
      <w:r>
        <w:rPr>
          <w:i/>
          <w:iCs/>
          <w:sz w:val="32"/>
          <w:szCs w:val="32"/>
        </w:rPr>
        <w:t xml:space="preserve"> of the</w:t>
      </w:r>
      <w:r>
        <w:rPr>
          <w:rFonts w:hint="default"/>
          <w:i/>
          <w:iCs/>
          <w:sz w:val="32"/>
          <w:szCs w:val="32"/>
          <w:lang w:val="en-US"/>
        </w:rPr>
        <w:t xml:space="preserve"> Royal Palm</w:t>
      </w:r>
      <w:r>
        <w:rPr>
          <w:i/>
          <w:iCs/>
          <w:sz w:val="32"/>
          <w:szCs w:val="32"/>
        </w:rPr>
        <w:t xml:space="preserve"> investment portfolio data for the period spanning </w:t>
      </w:r>
      <w:r>
        <w:rPr>
          <w:rFonts w:hint="default"/>
          <w:b/>
          <w:bCs/>
          <w:i/>
          <w:iCs/>
          <w:sz w:val="32"/>
          <w:szCs w:val="32"/>
          <w:lang w:val="en-US"/>
        </w:rPr>
        <w:t>July</w:t>
      </w:r>
      <w:r>
        <w:rPr>
          <w:rStyle w:val="8"/>
          <w:i/>
          <w:iCs/>
          <w:sz w:val="32"/>
          <w:szCs w:val="32"/>
        </w:rPr>
        <w:t xml:space="preserve"> 2024 to January 2025</w:t>
      </w:r>
      <w:r>
        <w:rPr>
          <w:i/>
          <w:iCs/>
          <w:sz w:val="32"/>
          <w:szCs w:val="32"/>
        </w:rPr>
        <w:t>. The objective is to identify trends, investor</w:t>
      </w:r>
      <w:r>
        <w:rPr>
          <w:rFonts w:hint="default"/>
          <w:i/>
          <w:iCs/>
          <w:sz w:val="32"/>
          <w:szCs w:val="32"/>
          <w:lang w:val="en-US"/>
        </w:rPr>
        <w:t>s’</w:t>
      </w:r>
      <w:r>
        <w:rPr>
          <w:i/>
          <w:iCs/>
          <w:sz w:val="32"/>
          <w:szCs w:val="32"/>
        </w:rPr>
        <w:t xml:space="preserve"> behavio</w:t>
      </w:r>
      <w:r>
        <w:rPr>
          <w:rFonts w:hint="default"/>
          <w:i/>
          <w:iCs/>
          <w:sz w:val="32"/>
          <w:szCs w:val="32"/>
          <w:lang w:val="en-US"/>
        </w:rPr>
        <w:t>u</w:t>
      </w:r>
      <w:r>
        <w:rPr>
          <w:i/>
          <w:iCs/>
          <w:sz w:val="32"/>
          <w:szCs w:val="32"/>
        </w:rPr>
        <w:t>r, distribution of investments across different land types and unit types</w:t>
      </w:r>
      <w:r>
        <w:rPr>
          <w:rFonts w:hint="default"/>
          <w:i/>
          <w:iCs/>
          <w:sz w:val="32"/>
          <w:szCs w:val="32"/>
          <w:lang w:val="en-US"/>
        </w:rPr>
        <w:t>, age segmentation and most importantly a robust analytics on the affiliates and their pivotal roles during the seven month period.</w:t>
      </w:r>
    </w:p>
    <w:p w14:paraId="23816AE9">
      <w:pPr>
        <w:pStyle w:val="3"/>
        <w:rPr>
          <w:rFonts w:hint="default"/>
          <w:sz w:val="48"/>
          <w:szCs w:val="48"/>
          <w:lang w:val="en-US"/>
        </w:rPr>
      </w:pPr>
      <w:r>
        <w:rPr>
          <w:rStyle w:val="8"/>
          <w:b/>
          <w:bCs/>
          <w:sz w:val="48"/>
          <w:szCs w:val="48"/>
        </w:rPr>
        <w:t>2. Key Findings and Insights</w:t>
      </w:r>
      <w:r>
        <w:rPr>
          <w:rStyle w:val="8"/>
          <w:rFonts w:hint="default"/>
          <w:b/>
          <w:bCs/>
          <w:sz w:val="48"/>
          <w:szCs w:val="48"/>
          <w:lang w:val="en-US"/>
        </w:rPr>
        <w:t xml:space="preserve"> on Investments from July 2024</w:t>
      </w:r>
    </w:p>
    <w:p w14:paraId="07CD26F3">
      <w:pPr>
        <w:pStyle w:val="4"/>
        <w:rPr>
          <w:rFonts w:hint="default"/>
        </w:rPr>
      </w:pPr>
      <w:r>
        <w:rPr>
          <w:rStyle w:val="8"/>
          <w:b/>
          <w:bCs/>
          <w:sz w:val="32"/>
          <w:szCs w:val="32"/>
        </w:rPr>
        <w:t>2.1</w:t>
      </w:r>
      <w:r>
        <w:rPr>
          <w:rStyle w:val="8"/>
          <w:b/>
          <w:bCs/>
        </w:rPr>
        <w:t xml:space="preserve"> </w:t>
      </w:r>
      <w:r>
        <w:rPr>
          <w:rStyle w:val="8"/>
          <w:b/>
          <w:bCs/>
          <w:sz w:val="36"/>
          <w:szCs w:val="36"/>
        </w:rPr>
        <w:t>Investment Trends Over Time</w:t>
      </w:r>
    </w:p>
    <w:p w14:paraId="77E2F24A">
      <w:pPr>
        <w:numPr>
          <w:ilvl w:val="0"/>
          <w:numId w:val="2"/>
        </w:numPr>
        <w:spacing w:beforeAutospacing="1" w:afterAutospacing="1"/>
        <w:rPr>
          <w:sz w:val="32"/>
          <w:szCs w:val="32"/>
        </w:rPr>
      </w:pPr>
      <w:r>
        <w:rPr>
          <w:sz w:val="32"/>
          <w:szCs w:val="32"/>
        </w:rPr>
        <w:t xml:space="preserve">The highest number of investments were recorded in </w:t>
      </w:r>
      <w:r>
        <w:rPr>
          <w:rFonts w:hint="default"/>
          <w:b/>
          <w:bCs/>
          <w:sz w:val="32"/>
          <w:szCs w:val="32"/>
          <w:lang w:val="en-US"/>
        </w:rPr>
        <w:t>July</w:t>
      </w:r>
      <w:r>
        <w:rPr>
          <w:rStyle w:val="8"/>
          <w:sz w:val="32"/>
          <w:szCs w:val="32"/>
        </w:rPr>
        <w:t xml:space="preserve"> 2024</w:t>
      </w:r>
      <w:r>
        <w:rPr>
          <w:sz w:val="32"/>
          <w:szCs w:val="32"/>
        </w:rPr>
        <w:t xml:space="preserve">, followed closely by </w:t>
      </w:r>
      <w:r>
        <w:rPr>
          <w:rStyle w:val="8"/>
          <w:rFonts w:hint="default"/>
          <w:sz w:val="32"/>
          <w:szCs w:val="32"/>
          <w:lang w:val="en-US"/>
        </w:rPr>
        <w:t>August</w:t>
      </w:r>
      <w:r>
        <w:rPr>
          <w:rStyle w:val="8"/>
          <w:sz w:val="32"/>
          <w:szCs w:val="32"/>
        </w:rPr>
        <w:t xml:space="preserve"> 2024</w:t>
      </w:r>
      <w:r>
        <w:rPr>
          <w:rStyle w:val="8"/>
          <w:rFonts w:hint="default"/>
          <w:sz w:val="32"/>
          <w:szCs w:val="32"/>
          <w:lang w:val="en-US"/>
        </w:rPr>
        <w:t xml:space="preserve"> </w:t>
      </w:r>
      <w:r>
        <w:rPr>
          <w:rStyle w:val="8"/>
          <w:rFonts w:hint="default"/>
          <w:b w:val="0"/>
          <w:bCs w:val="0"/>
          <w:sz w:val="32"/>
          <w:szCs w:val="32"/>
          <w:lang w:val="en-US"/>
        </w:rPr>
        <w:t xml:space="preserve">where a uniform curve was experienced for three months till the end of </w:t>
      </w:r>
      <w:r>
        <w:rPr>
          <w:rStyle w:val="8"/>
          <w:rFonts w:hint="default"/>
          <w:b/>
          <w:bCs/>
          <w:sz w:val="32"/>
          <w:szCs w:val="32"/>
          <w:lang w:val="en-US"/>
        </w:rPr>
        <w:t>October 2024</w:t>
      </w:r>
      <w:r>
        <w:rPr>
          <w:sz w:val="32"/>
          <w:szCs w:val="32"/>
        </w:rPr>
        <w:t>.</w:t>
      </w:r>
    </w:p>
    <w:p w14:paraId="7A019BF4">
      <w:pPr>
        <w:numPr>
          <w:ilvl w:val="0"/>
          <w:numId w:val="2"/>
        </w:numPr>
        <w:spacing w:beforeAutospacing="1" w:afterAutospacing="1"/>
        <w:rPr>
          <w:sz w:val="32"/>
          <w:szCs w:val="32"/>
        </w:rPr>
      </w:pPr>
      <w:r>
        <w:rPr>
          <w:sz w:val="32"/>
          <w:szCs w:val="32"/>
        </w:rPr>
        <w:t xml:space="preserve">A notable </w:t>
      </w:r>
      <w:r>
        <w:rPr>
          <w:rStyle w:val="8"/>
          <w:sz w:val="32"/>
          <w:szCs w:val="32"/>
        </w:rPr>
        <w:t>decline</w:t>
      </w:r>
      <w:r>
        <w:rPr>
          <w:sz w:val="32"/>
          <w:szCs w:val="32"/>
        </w:rPr>
        <w:t xml:space="preserve"> in investments was observed </w:t>
      </w:r>
      <w:r>
        <w:rPr>
          <w:rFonts w:hint="default"/>
          <w:sz w:val="32"/>
          <w:szCs w:val="32"/>
          <w:lang w:val="en-US"/>
        </w:rPr>
        <w:t>from</w:t>
      </w:r>
      <w:r>
        <w:rPr>
          <w:sz w:val="32"/>
          <w:szCs w:val="32"/>
        </w:rPr>
        <w:t xml:space="preserve"> </w:t>
      </w:r>
      <w:r>
        <w:rPr>
          <w:rFonts w:hint="default"/>
          <w:sz w:val="32"/>
          <w:szCs w:val="32"/>
          <w:lang w:val="en-US"/>
        </w:rPr>
        <w:t xml:space="preserve">the beginning of </w:t>
      </w:r>
      <w:r>
        <w:rPr>
          <w:rFonts w:hint="default"/>
          <w:b/>
          <w:bCs/>
          <w:sz w:val="32"/>
          <w:szCs w:val="32"/>
          <w:lang w:val="en-US"/>
        </w:rPr>
        <w:t>August</w:t>
      </w:r>
      <w:r>
        <w:rPr>
          <w:rStyle w:val="8"/>
          <w:sz w:val="32"/>
          <w:szCs w:val="32"/>
        </w:rPr>
        <w:t xml:space="preserve"> 2024</w:t>
      </w:r>
      <w:r>
        <w:rPr>
          <w:sz w:val="32"/>
          <w:szCs w:val="32"/>
        </w:rPr>
        <w:t>, which may indicate seasonal investment behavior or other external factors affecting investor decisions.</w:t>
      </w:r>
    </w:p>
    <w:p w14:paraId="2F596E5F">
      <w:pPr>
        <w:numPr>
          <w:ilvl w:val="0"/>
          <w:numId w:val="2"/>
        </w:numPr>
        <w:spacing w:beforeAutospacing="1" w:afterAutospacing="1"/>
        <w:rPr>
          <w:sz w:val="32"/>
          <w:szCs w:val="32"/>
        </w:rPr>
      </w:pPr>
      <w:r>
        <w:rPr>
          <w:sz w:val="32"/>
          <w:szCs w:val="32"/>
        </w:rPr>
        <w:t xml:space="preserve">A steady </w:t>
      </w:r>
      <w:r>
        <w:rPr>
          <w:rStyle w:val="8"/>
          <w:rFonts w:hint="default"/>
          <w:sz w:val="32"/>
          <w:szCs w:val="32"/>
          <w:lang w:val="en-US"/>
        </w:rPr>
        <w:t>uniform</w:t>
      </w:r>
      <w:r>
        <w:rPr>
          <w:rStyle w:val="8"/>
          <w:sz w:val="32"/>
          <w:szCs w:val="32"/>
        </w:rPr>
        <w:t xml:space="preserve"> trend</w:t>
      </w:r>
      <w:r>
        <w:rPr>
          <w:sz w:val="32"/>
          <w:szCs w:val="32"/>
        </w:rPr>
        <w:t xml:space="preserve"> was observed from</w:t>
      </w:r>
      <w:r>
        <w:rPr>
          <w:rStyle w:val="8"/>
          <w:sz w:val="32"/>
          <w:szCs w:val="32"/>
        </w:rPr>
        <w:t xml:space="preserve"> </w:t>
      </w:r>
      <w:r>
        <w:rPr>
          <w:rStyle w:val="8"/>
          <w:rFonts w:hint="default"/>
          <w:sz w:val="32"/>
          <w:szCs w:val="32"/>
          <w:lang w:val="en-US"/>
        </w:rPr>
        <w:t xml:space="preserve">August 2024 </w:t>
      </w:r>
      <w:r>
        <w:rPr>
          <w:rStyle w:val="8"/>
          <w:b w:val="0"/>
          <w:bCs w:val="0"/>
          <w:sz w:val="32"/>
          <w:szCs w:val="32"/>
        </w:rPr>
        <w:t>to</w:t>
      </w:r>
      <w:r>
        <w:rPr>
          <w:rStyle w:val="8"/>
          <w:sz w:val="32"/>
          <w:szCs w:val="32"/>
        </w:rPr>
        <w:t xml:space="preserve"> </w:t>
      </w:r>
      <w:r>
        <w:rPr>
          <w:rStyle w:val="8"/>
          <w:rFonts w:hint="default"/>
          <w:sz w:val="32"/>
          <w:szCs w:val="32"/>
          <w:lang w:val="en-US"/>
        </w:rPr>
        <w:t>Octo</w:t>
      </w:r>
      <w:r>
        <w:rPr>
          <w:rStyle w:val="8"/>
          <w:sz w:val="32"/>
          <w:szCs w:val="32"/>
        </w:rPr>
        <w:t>ber 2024</w:t>
      </w:r>
      <w:r>
        <w:rPr>
          <w:sz w:val="32"/>
          <w:szCs w:val="32"/>
        </w:rPr>
        <w:t xml:space="preserve">, showing </w:t>
      </w:r>
      <w:r>
        <w:rPr>
          <w:rFonts w:hint="default"/>
          <w:sz w:val="32"/>
          <w:szCs w:val="32"/>
          <w:lang w:val="en-US"/>
        </w:rPr>
        <w:t>a rapid drop of the</w:t>
      </w:r>
      <w:r>
        <w:rPr>
          <w:sz w:val="32"/>
          <w:szCs w:val="32"/>
        </w:rPr>
        <w:t xml:space="preserve"> investor interest </w:t>
      </w:r>
      <w:r>
        <w:rPr>
          <w:rFonts w:hint="default"/>
          <w:sz w:val="32"/>
          <w:szCs w:val="32"/>
          <w:lang w:val="en-US"/>
        </w:rPr>
        <w:t xml:space="preserve">compared to </w:t>
      </w:r>
      <w:r>
        <w:rPr>
          <w:rFonts w:hint="default"/>
          <w:b/>
          <w:bCs/>
          <w:sz w:val="32"/>
          <w:szCs w:val="32"/>
          <w:lang w:val="en-US"/>
        </w:rPr>
        <w:t>July 2024</w:t>
      </w:r>
      <w:r>
        <w:rPr>
          <w:sz w:val="32"/>
          <w:szCs w:val="32"/>
        </w:rPr>
        <w:t>.</w:t>
      </w:r>
    </w:p>
    <w:p w14:paraId="150BEE35">
      <w:pPr>
        <w:tabs>
          <w:tab w:val="left" w:pos="720"/>
        </w:tabs>
        <w:spacing w:beforeAutospacing="1" w:afterAutospacing="1"/>
        <w:rPr>
          <w:rFonts w:hint="default"/>
          <w:lang w:val="en-US"/>
        </w:rPr>
      </w:pPr>
      <w:r>
        <w:rPr>
          <w:rFonts w:hint="default"/>
          <w:lang w:val="en-US"/>
        </w:rPr>
        <w:drawing>
          <wp:inline distT="0" distB="0" distL="114300" distR="114300">
            <wp:extent cx="5266690" cy="3317875"/>
            <wp:effectExtent l="0" t="0" r="6350" b="4445"/>
            <wp:docPr id="1" name="Picture 1" descr="Investment Trend line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vestment Trend line over Time"/>
                    <pic:cNvPicPr>
                      <a:picLocks noChangeAspect="1"/>
                    </pic:cNvPicPr>
                  </pic:nvPicPr>
                  <pic:blipFill>
                    <a:blip r:embed="rId4"/>
                    <a:stretch>
                      <a:fillRect/>
                    </a:stretch>
                  </pic:blipFill>
                  <pic:spPr>
                    <a:xfrm>
                      <a:off x="0" y="0"/>
                      <a:ext cx="5266690" cy="3317875"/>
                    </a:xfrm>
                    <a:prstGeom prst="rect">
                      <a:avLst/>
                    </a:prstGeom>
                  </pic:spPr>
                </pic:pic>
              </a:graphicData>
            </a:graphic>
          </wp:inline>
        </w:drawing>
      </w:r>
    </w:p>
    <w:p w14:paraId="6AD7954D">
      <w:pPr>
        <w:tabs>
          <w:tab w:val="left" w:pos="720"/>
        </w:tabs>
        <w:spacing w:beforeAutospacing="1" w:afterAutospacing="1"/>
      </w:pPr>
    </w:p>
    <w:p w14:paraId="49B4093D">
      <w:pPr>
        <w:tabs>
          <w:tab w:val="left" w:pos="720"/>
        </w:tabs>
        <w:spacing w:beforeAutospacing="1" w:afterAutospacing="1"/>
        <w:rPr>
          <w:sz w:val="40"/>
          <w:szCs w:val="40"/>
        </w:rPr>
      </w:pPr>
    </w:p>
    <w:p w14:paraId="64B8D0C6">
      <w:pPr>
        <w:pStyle w:val="4"/>
        <w:rPr>
          <w:rFonts w:hint="default"/>
          <w:sz w:val="40"/>
          <w:szCs w:val="40"/>
        </w:rPr>
      </w:pPr>
      <w:r>
        <w:rPr>
          <w:rStyle w:val="8"/>
          <w:b w:val="0"/>
          <w:bCs w:val="0"/>
          <w:sz w:val="32"/>
          <w:szCs w:val="32"/>
        </w:rPr>
        <w:t>2.</w:t>
      </w:r>
      <w:r>
        <w:rPr>
          <w:rStyle w:val="8"/>
          <w:rFonts w:hint="default"/>
          <w:b w:val="0"/>
          <w:bCs w:val="0"/>
          <w:sz w:val="32"/>
          <w:szCs w:val="32"/>
          <w:lang w:val="en-US"/>
        </w:rPr>
        <w:t>1</w:t>
      </w:r>
      <w:r>
        <w:rPr>
          <w:rStyle w:val="8"/>
          <w:b/>
          <w:bCs/>
          <w:sz w:val="40"/>
          <w:szCs w:val="40"/>
        </w:rPr>
        <w:t xml:space="preserve"> Investment Distribution by</w:t>
      </w:r>
      <w:r>
        <w:rPr>
          <w:rStyle w:val="8"/>
          <w:rFonts w:hint="default"/>
          <w:b/>
          <w:bCs/>
          <w:sz w:val="40"/>
          <w:szCs w:val="40"/>
          <w:lang w:val="en-US"/>
        </w:rPr>
        <w:t xml:space="preserve"> month and</w:t>
      </w:r>
      <w:r>
        <w:rPr>
          <w:rStyle w:val="8"/>
          <w:b/>
          <w:bCs/>
          <w:sz w:val="40"/>
          <w:szCs w:val="40"/>
        </w:rPr>
        <w:t xml:space="preserve"> Land Type</w:t>
      </w:r>
    </w:p>
    <w:p w14:paraId="06F789C6">
      <w:pPr>
        <w:pStyle w:val="9"/>
        <w:numPr>
          <w:ilvl w:val="0"/>
          <w:numId w:val="3"/>
        </w:numPr>
        <w:spacing w:beforeAutospacing="1" w:afterAutospacing="1"/>
        <w:rPr>
          <w:sz w:val="32"/>
          <w:szCs w:val="32"/>
        </w:rPr>
      </w:pPr>
      <w:r>
        <w:rPr>
          <w:rFonts w:hint="default"/>
          <w:sz w:val="32"/>
          <w:szCs w:val="32"/>
          <w:lang w:val="en-US"/>
        </w:rPr>
        <w:t xml:space="preserve">Based on the first heatmap visualization below coupled with the two bar chart visualizations that accompanied it, </w:t>
      </w:r>
      <w:r>
        <w:rPr>
          <w:rFonts w:hint="default"/>
          <w:b/>
          <w:bCs/>
          <w:sz w:val="32"/>
          <w:szCs w:val="32"/>
          <w:lang w:val="en-US"/>
        </w:rPr>
        <w:t xml:space="preserve">July 2024 </w:t>
      </w:r>
      <w:r>
        <w:rPr>
          <w:rFonts w:hint="default"/>
          <w:sz w:val="32"/>
          <w:szCs w:val="32"/>
          <w:lang w:val="en-US"/>
        </w:rPr>
        <w:t xml:space="preserve">which had the highest number of units bought ushered in a whopping </w:t>
      </w:r>
      <w:r>
        <w:rPr>
          <w:rFonts w:hint="default"/>
          <w:b/>
          <w:bCs/>
          <w:sz w:val="32"/>
          <w:szCs w:val="32"/>
          <w:lang w:val="en-US"/>
        </w:rPr>
        <w:t>70 Million Naira</w:t>
      </w:r>
      <w:r>
        <w:rPr>
          <w:rFonts w:hint="default"/>
          <w:sz w:val="32"/>
          <w:szCs w:val="32"/>
          <w:lang w:val="en-US"/>
        </w:rPr>
        <w:t>.</w:t>
      </w:r>
    </w:p>
    <w:p w14:paraId="54913C6D">
      <w:pPr>
        <w:pStyle w:val="9"/>
        <w:numPr>
          <w:ilvl w:val="0"/>
          <w:numId w:val="3"/>
        </w:numPr>
        <w:spacing w:beforeAutospacing="1" w:afterAutospacing="1"/>
        <w:rPr>
          <w:sz w:val="32"/>
          <w:szCs w:val="32"/>
        </w:rPr>
      </w:pPr>
      <w:r>
        <w:rPr>
          <w:sz w:val="32"/>
          <w:szCs w:val="32"/>
        </w:rPr>
        <w:t>The</w:t>
      </w:r>
      <w:r>
        <w:rPr>
          <w:rFonts w:hint="default"/>
          <w:sz w:val="32"/>
          <w:szCs w:val="32"/>
          <w:lang w:val="en-US"/>
        </w:rPr>
        <w:t xml:space="preserve"> second</w:t>
      </w:r>
      <w:r>
        <w:rPr>
          <w:sz w:val="32"/>
          <w:szCs w:val="32"/>
        </w:rPr>
        <w:t xml:space="preserve"> heatmap </w:t>
      </w:r>
      <w:r>
        <w:rPr>
          <w:rFonts w:hint="default"/>
          <w:sz w:val="32"/>
          <w:szCs w:val="32"/>
          <w:lang w:val="en-US"/>
        </w:rPr>
        <w:t>analytics which is the fourth chart below</w:t>
      </w:r>
      <w:r>
        <w:rPr>
          <w:sz w:val="32"/>
          <w:szCs w:val="32"/>
        </w:rPr>
        <w:t xml:space="preserve"> revealed that some land categories had </w:t>
      </w:r>
      <w:r>
        <w:rPr>
          <w:rStyle w:val="8"/>
          <w:sz w:val="32"/>
          <w:szCs w:val="32"/>
        </w:rPr>
        <w:t>consistent investor engagement</w:t>
      </w:r>
      <w:r>
        <w:rPr>
          <w:sz w:val="32"/>
          <w:szCs w:val="32"/>
        </w:rPr>
        <w:t xml:space="preserve"> across multiple months, while others were sporadic.</w:t>
      </w:r>
    </w:p>
    <w:p w14:paraId="37ABE4C6">
      <w:pPr>
        <w:numPr>
          <w:ilvl w:val="0"/>
          <w:numId w:val="3"/>
        </w:numPr>
        <w:spacing w:beforeAutospacing="1" w:afterAutospacing="1"/>
        <w:rPr>
          <w:sz w:val="32"/>
          <w:szCs w:val="32"/>
        </w:rPr>
      </w:pPr>
      <w:r>
        <w:rPr>
          <w:sz w:val="32"/>
          <w:szCs w:val="32"/>
        </w:rPr>
        <w:t xml:space="preserve">Certain land types witnessed </w:t>
      </w:r>
      <w:r>
        <w:rPr>
          <w:rStyle w:val="8"/>
          <w:sz w:val="32"/>
          <w:szCs w:val="32"/>
        </w:rPr>
        <w:t>higher demand in specific months</w:t>
      </w:r>
      <w:r>
        <w:rPr>
          <w:sz w:val="32"/>
          <w:szCs w:val="32"/>
        </w:rPr>
        <w:t>, which may be due to marketing efforts or seasonal investor preferences.</w:t>
      </w:r>
    </w:p>
    <w:p w14:paraId="16DF7A3C">
      <w:pPr>
        <w:numPr>
          <w:ilvl w:val="0"/>
          <w:numId w:val="3"/>
        </w:numPr>
        <w:spacing w:beforeAutospacing="1" w:afterAutospacing="1"/>
        <w:rPr>
          <w:sz w:val="32"/>
          <w:szCs w:val="32"/>
        </w:rPr>
      </w:pPr>
      <w:r>
        <w:rPr>
          <w:sz w:val="32"/>
          <w:szCs w:val="32"/>
        </w:rPr>
        <w:t xml:space="preserve">Pie chart analysis indicated the summation of the investment distribution by land type bought during the period analyzed with Acre cutting the largest portion of it with a </w:t>
      </w:r>
      <w:r>
        <w:rPr>
          <w:b/>
          <w:bCs/>
          <w:sz w:val="32"/>
          <w:szCs w:val="32"/>
        </w:rPr>
        <w:t>7</w:t>
      </w:r>
      <w:r>
        <w:rPr>
          <w:rFonts w:hint="default"/>
          <w:b/>
          <w:bCs/>
          <w:sz w:val="32"/>
          <w:szCs w:val="32"/>
          <w:lang w:val="en-US"/>
        </w:rPr>
        <w:t>1</w:t>
      </w:r>
      <w:r>
        <w:rPr>
          <w:b/>
          <w:bCs/>
          <w:sz w:val="32"/>
          <w:szCs w:val="32"/>
        </w:rPr>
        <w:t>.</w:t>
      </w:r>
      <w:r>
        <w:rPr>
          <w:rFonts w:hint="default"/>
          <w:b/>
          <w:bCs/>
          <w:sz w:val="32"/>
          <w:szCs w:val="32"/>
          <w:lang w:val="en-US"/>
        </w:rPr>
        <w:t>8</w:t>
      </w:r>
      <w:r>
        <w:rPr>
          <w:b/>
          <w:bCs/>
          <w:sz w:val="32"/>
          <w:szCs w:val="32"/>
        </w:rPr>
        <w:t>%</w:t>
      </w:r>
      <w:r>
        <w:rPr>
          <w:sz w:val="32"/>
          <w:szCs w:val="32"/>
        </w:rPr>
        <w:t xml:space="preserve"> percentage while Plot took </w:t>
      </w:r>
      <w:r>
        <w:rPr>
          <w:rFonts w:hint="default"/>
          <w:b/>
          <w:bCs/>
          <w:sz w:val="32"/>
          <w:szCs w:val="32"/>
          <w:lang w:val="en-US"/>
        </w:rPr>
        <w:t>28.2</w:t>
      </w:r>
      <w:r>
        <w:rPr>
          <w:b/>
          <w:bCs/>
          <w:sz w:val="32"/>
          <w:szCs w:val="32"/>
        </w:rPr>
        <w:t>%</w:t>
      </w:r>
      <w:r>
        <w:rPr>
          <w:sz w:val="32"/>
          <w:szCs w:val="32"/>
        </w:rPr>
        <w:t>.</w:t>
      </w:r>
    </w:p>
    <w:p w14:paraId="4DE64B31">
      <w:pPr>
        <w:numPr>
          <w:ilvl w:val="0"/>
          <w:numId w:val="3"/>
        </w:numPr>
        <w:spacing w:beforeAutospacing="1" w:afterAutospacing="1"/>
        <w:rPr>
          <w:sz w:val="32"/>
          <w:szCs w:val="32"/>
        </w:rPr>
      </w:pPr>
      <w:r>
        <w:rPr>
          <w:sz w:val="32"/>
          <w:szCs w:val="32"/>
        </w:rPr>
        <w:t xml:space="preserve">A clear </w:t>
      </w:r>
      <w:r>
        <w:rPr>
          <w:rStyle w:val="8"/>
          <w:sz w:val="32"/>
          <w:szCs w:val="32"/>
        </w:rPr>
        <w:t>shift in investor preference</w:t>
      </w:r>
      <w:r>
        <w:rPr>
          <w:sz w:val="32"/>
          <w:szCs w:val="32"/>
        </w:rPr>
        <w:t xml:space="preserve"> for multiple number of units was</w:t>
      </w:r>
      <w:r>
        <w:rPr>
          <w:rFonts w:hint="default"/>
          <w:sz w:val="32"/>
          <w:szCs w:val="32"/>
          <w:lang w:val="en-US"/>
        </w:rPr>
        <w:t xml:space="preserve"> overwhelmingly</w:t>
      </w:r>
      <w:r>
        <w:rPr>
          <w:sz w:val="32"/>
          <w:szCs w:val="32"/>
        </w:rPr>
        <w:t xml:space="preserve"> noted in </w:t>
      </w:r>
      <w:r>
        <w:rPr>
          <w:rStyle w:val="8"/>
          <w:rFonts w:hint="default"/>
          <w:sz w:val="32"/>
          <w:szCs w:val="32"/>
          <w:lang w:val="en-US"/>
        </w:rPr>
        <w:t>July</w:t>
      </w:r>
      <w:r>
        <w:rPr>
          <w:rStyle w:val="8"/>
          <w:sz w:val="32"/>
          <w:szCs w:val="32"/>
        </w:rPr>
        <w:t xml:space="preserve"> 2024</w:t>
      </w:r>
      <w:r>
        <w:rPr>
          <w:sz w:val="32"/>
          <w:szCs w:val="32"/>
        </w:rPr>
        <w:t>, possibly due to promotions or new offerings.</w:t>
      </w:r>
    </w:p>
    <w:p w14:paraId="18F7EE88">
      <w:pPr>
        <w:numPr>
          <w:ilvl w:val="0"/>
          <w:numId w:val="3"/>
        </w:numPr>
        <w:spacing w:beforeAutospacing="1" w:afterAutospacing="1"/>
        <w:rPr>
          <w:sz w:val="32"/>
          <w:szCs w:val="32"/>
        </w:rPr>
      </w:pPr>
      <w:r>
        <w:rPr>
          <w:sz w:val="32"/>
          <w:szCs w:val="32"/>
        </w:rPr>
        <w:t>A</w:t>
      </w:r>
      <w:r>
        <w:rPr>
          <w:rFonts w:hint="default"/>
          <w:sz w:val="32"/>
          <w:szCs w:val="32"/>
          <w:lang w:val="en-US"/>
        </w:rPr>
        <w:t xml:space="preserve">lthough the amount of units dropped in </w:t>
      </w:r>
      <w:r>
        <w:rPr>
          <w:rStyle w:val="8"/>
          <w:rFonts w:hint="default"/>
          <w:sz w:val="32"/>
          <w:szCs w:val="32"/>
          <w:lang w:val="en-US"/>
        </w:rPr>
        <w:t>August 2024,</w:t>
      </w:r>
      <w:r>
        <w:rPr>
          <w:sz w:val="32"/>
          <w:szCs w:val="32"/>
        </w:rPr>
        <w:t xml:space="preserve"> </w:t>
      </w:r>
      <w:r>
        <w:rPr>
          <w:rFonts w:hint="default"/>
          <w:sz w:val="32"/>
          <w:szCs w:val="32"/>
          <w:lang w:val="en-US"/>
        </w:rPr>
        <w:t xml:space="preserve">and a steady </w:t>
      </w:r>
      <w:r>
        <w:rPr>
          <w:rStyle w:val="8"/>
          <w:rFonts w:hint="default"/>
          <w:sz w:val="32"/>
          <w:szCs w:val="32"/>
          <w:lang w:val="en-US"/>
        </w:rPr>
        <w:t>uniform</w:t>
      </w:r>
      <w:r>
        <w:rPr>
          <w:rStyle w:val="8"/>
          <w:sz w:val="32"/>
          <w:szCs w:val="32"/>
        </w:rPr>
        <w:t xml:space="preserve"> trend</w:t>
      </w:r>
      <w:r>
        <w:rPr>
          <w:sz w:val="32"/>
          <w:szCs w:val="32"/>
        </w:rPr>
        <w:t xml:space="preserve"> </w:t>
      </w:r>
      <w:r>
        <w:rPr>
          <w:rFonts w:hint="default"/>
          <w:sz w:val="32"/>
          <w:szCs w:val="32"/>
          <w:lang w:val="en-US"/>
        </w:rPr>
        <w:t xml:space="preserve">in the units bought </w:t>
      </w:r>
      <w:r>
        <w:rPr>
          <w:sz w:val="32"/>
          <w:szCs w:val="32"/>
        </w:rPr>
        <w:t>was observed from</w:t>
      </w:r>
      <w:r>
        <w:rPr>
          <w:rStyle w:val="8"/>
          <w:sz w:val="32"/>
          <w:szCs w:val="32"/>
        </w:rPr>
        <w:t xml:space="preserve"> </w:t>
      </w:r>
      <w:r>
        <w:rPr>
          <w:rStyle w:val="8"/>
          <w:rFonts w:hint="default"/>
          <w:sz w:val="32"/>
          <w:szCs w:val="32"/>
          <w:lang w:val="en-US"/>
        </w:rPr>
        <w:t xml:space="preserve">August 2024 </w:t>
      </w:r>
      <w:r>
        <w:rPr>
          <w:rStyle w:val="8"/>
          <w:b w:val="0"/>
          <w:bCs w:val="0"/>
          <w:sz w:val="32"/>
          <w:szCs w:val="32"/>
        </w:rPr>
        <w:t>to</w:t>
      </w:r>
      <w:r>
        <w:rPr>
          <w:rStyle w:val="8"/>
          <w:sz w:val="32"/>
          <w:szCs w:val="32"/>
        </w:rPr>
        <w:t xml:space="preserve"> </w:t>
      </w:r>
      <w:r>
        <w:rPr>
          <w:rStyle w:val="8"/>
          <w:rFonts w:hint="default"/>
          <w:sz w:val="32"/>
          <w:szCs w:val="32"/>
          <w:lang w:val="en-US"/>
        </w:rPr>
        <w:t>Octo</w:t>
      </w:r>
      <w:r>
        <w:rPr>
          <w:rStyle w:val="8"/>
          <w:sz w:val="32"/>
          <w:szCs w:val="32"/>
        </w:rPr>
        <w:t>ber 2024</w:t>
      </w:r>
      <w:r>
        <w:rPr>
          <w:sz w:val="32"/>
          <w:szCs w:val="32"/>
        </w:rPr>
        <w:t xml:space="preserve">, showing </w:t>
      </w:r>
      <w:r>
        <w:rPr>
          <w:rFonts w:hint="default"/>
          <w:sz w:val="32"/>
          <w:szCs w:val="32"/>
          <w:lang w:val="en-US"/>
        </w:rPr>
        <w:t>a consistent run of the</w:t>
      </w:r>
      <w:r>
        <w:rPr>
          <w:sz w:val="32"/>
          <w:szCs w:val="32"/>
        </w:rPr>
        <w:t xml:space="preserve"> investor interest </w:t>
      </w:r>
      <w:r>
        <w:rPr>
          <w:rFonts w:hint="default"/>
          <w:sz w:val="32"/>
          <w:szCs w:val="32"/>
          <w:lang w:val="en-US"/>
        </w:rPr>
        <w:t xml:space="preserve">compared to </w:t>
      </w:r>
      <w:r>
        <w:rPr>
          <w:rFonts w:hint="default"/>
          <w:b/>
          <w:bCs/>
          <w:sz w:val="32"/>
          <w:szCs w:val="32"/>
          <w:lang w:val="en-US"/>
        </w:rPr>
        <w:t>July 2024</w:t>
      </w:r>
      <w:r>
        <w:rPr>
          <w:sz w:val="32"/>
          <w:szCs w:val="32"/>
        </w:rPr>
        <w:t>.</w:t>
      </w:r>
    </w:p>
    <w:p w14:paraId="73205199">
      <w:pPr>
        <w:numPr>
          <w:ilvl w:val="0"/>
          <w:numId w:val="3"/>
        </w:numPr>
        <w:spacing w:beforeAutospacing="1" w:afterAutospacing="1"/>
        <w:rPr>
          <w:sz w:val="32"/>
          <w:szCs w:val="32"/>
        </w:rPr>
      </w:pPr>
      <w:r>
        <w:rPr>
          <w:rFonts w:hint="default"/>
          <w:sz w:val="32"/>
          <w:szCs w:val="32"/>
          <w:lang w:val="en-US"/>
        </w:rPr>
        <w:t xml:space="preserve">A super rapid decline was experienced from </w:t>
      </w:r>
      <w:r>
        <w:rPr>
          <w:rFonts w:hint="default"/>
          <w:b/>
          <w:bCs/>
          <w:sz w:val="32"/>
          <w:szCs w:val="32"/>
          <w:lang w:val="en-US"/>
        </w:rPr>
        <w:t>November 2024</w:t>
      </w:r>
      <w:r>
        <w:rPr>
          <w:rFonts w:hint="default"/>
          <w:sz w:val="32"/>
          <w:szCs w:val="32"/>
          <w:lang w:val="en-US"/>
        </w:rPr>
        <w:t xml:space="preserve"> till </w:t>
      </w:r>
      <w:r>
        <w:rPr>
          <w:rFonts w:hint="default"/>
          <w:b/>
          <w:bCs/>
          <w:sz w:val="32"/>
          <w:szCs w:val="32"/>
          <w:lang w:val="en-US"/>
        </w:rPr>
        <w:t>January 2025</w:t>
      </w:r>
      <w:r>
        <w:rPr>
          <w:rFonts w:hint="default"/>
          <w:sz w:val="32"/>
          <w:szCs w:val="32"/>
          <w:lang w:val="en-US"/>
        </w:rPr>
        <w:t xml:space="preserve"> although in between </w:t>
      </w:r>
      <w:r>
        <w:rPr>
          <w:rFonts w:hint="default"/>
          <w:b/>
          <w:bCs/>
          <w:sz w:val="32"/>
          <w:szCs w:val="32"/>
          <w:lang w:val="en-US"/>
        </w:rPr>
        <w:t>December 2024</w:t>
      </w:r>
      <w:r>
        <w:rPr>
          <w:rFonts w:hint="default"/>
          <w:sz w:val="32"/>
          <w:szCs w:val="32"/>
          <w:lang w:val="en-US"/>
        </w:rPr>
        <w:t xml:space="preserve"> showed a slight increase in the total number of units bought which could be as result of some promotions cause more Acres were bought unlike the preceding month where the sales performance was below par.</w:t>
      </w:r>
    </w:p>
    <w:p w14:paraId="272C2091">
      <w:pPr>
        <w:numPr>
          <w:ilvl w:val="0"/>
          <w:numId w:val="3"/>
        </w:numPr>
        <w:spacing w:beforeAutospacing="1" w:afterAutospacing="1"/>
        <w:rPr>
          <w:rFonts w:hint="default"/>
          <w:sz w:val="32"/>
          <w:szCs w:val="32"/>
          <w:lang w:val="en-US"/>
        </w:rPr>
      </w:pPr>
      <w:r>
        <w:rPr>
          <w:sz w:val="32"/>
          <w:szCs w:val="32"/>
        </w:rPr>
        <w:t xml:space="preserve">Similar to land type trends, </w:t>
      </w:r>
      <w:r>
        <w:rPr>
          <w:rFonts w:hint="default"/>
          <w:sz w:val="32"/>
          <w:szCs w:val="32"/>
          <w:lang w:val="en-US"/>
        </w:rPr>
        <w:t>Acre land type</w:t>
      </w:r>
      <w:r>
        <w:rPr>
          <w:rStyle w:val="8"/>
          <w:sz w:val="32"/>
          <w:szCs w:val="32"/>
        </w:rPr>
        <w:t xml:space="preserve"> experienced higher demand</w:t>
      </w:r>
      <w:r>
        <w:rPr>
          <w:sz w:val="32"/>
          <w:szCs w:val="32"/>
        </w:rPr>
        <w:t xml:space="preserve">, while </w:t>
      </w:r>
      <w:r>
        <w:rPr>
          <w:rFonts w:hint="default"/>
          <w:sz w:val="32"/>
          <w:szCs w:val="32"/>
          <w:lang w:val="en-US"/>
        </w:rPr>
        <w:t>the Plot land plot</w:t>
      </w:r>
      <w:r>
        <w:rPr>
          <w:sz w:val="32"/>
          <w:szCs w:val="32"/>
        </w:rPr>
        <w:t xml:space="preserve"> had minimal investor participation</w:t>
      </w:r>
      <w:r>
        <w:rPr>
          <w:rFonts w:hint="default"/>
          <w:sz w:val="32"/>
          <w:szCs w:val="32"/>
          <w:lang w:val="en-US"/>
        </w:rPr>
        <w:t xml:space="preserve"> although had some substantial sales trajectory just in </w:t>
      </w:r>
      <w:r>
        <w:rPr>
          <w:rFonts w:hint="default"/>
          <w:b/>
          <w:bCs/>
          <w:sz w:val="32"/>
          <w:szCs w:val="32"/>
          <w:lang w:val="en-US"/>
        </w:rPr>
        <w:t>August 2024</w:t>
      </w:r>
      <w:r>
        <w:rPr>
          <w:rFonts w:hint="default"/>
          <w:sz w:val="32"/>
          <w:szCs w:val="32"/>
          <w:lang w:val="en-US"/>
        </w:rPr>
        <w:t xml:space="preserve"> &amp; </w:t>
      </w:r>
      <w:r>
        <w:rPr>
          <w:rFonts w:hint="default"/>
          <w:b/>
          <w:bCs/>
          <w:sz w:val="32"/>
          <w:szCs w:val="32"/>
          <w:lang w:val="en-US"/>
        </w:rPr>
        <w:t>September 2024</w:t>
      </w:r>
      <w:r>
        <w:rPr>
          <w:b/>
          <w:bCs/>
          <w:sz w:val="32"/>
          <w:szCs w:val="32"/>
        </w:rPr>
        <w:t>.</w:t>
      </w:r>
    </w:p>
    <w:p w14:paraId="48358BEC">
      <w:pPr>
        <w:numPr>
          <w:ilvl w:val="0"/>
          <w:numId w:val="3"/>
        </w:numPr>
        <w:spacing w:beforeAutospacing="1" w:afterAutospacing="1"/>
        <w:rPr>
          <w:rFonts w:hint="default"/>
          <w:sz w:val="32"/>
          <w:szCs w:val="32"/>
          <w:lang w:val="en-US"/>
        </w:rPr>
      </w:pPr>
      <w:r>
        <w:rPr>
          <w:rStyle w:val="8"/>
          <w:sz w:val="32"/>
          <w:szCs w:val="32"/>
        </w:rPr>
        <w:t>January 2025 recorded another significant drop</w:t>
      </w:r>
      <w:r>
        <w:rPr>
          <w:sz w:val="32"/>
          <w:szCs w:val="32"/>
        </w:rPr>
        <w:t xml:space="preserve">, common analytical reports suggest it could be as a result of it being the beginning of the year, and most investors </w:t>
      </w:r>
      <w:r>
        <w:rPr>
          <w:rFonts w:hint="default"/>
          <w:sz w:val="32"/>
          <w:szCs w:val="32"/>
          <w:lang w:val="en-US"/>
        </w:rPr>
        <w:t>might</w:t>
      </w:r>
      <w:r>
        <w:rPr>
          <w:sz w:val="32"/>
          <w:szCs w:val="32"/>
        </w:rPr>
        <w:t xml:space="preserve"> be conscious of the investment they want to invest in and also other reasons pertaining to sorting out the bills for the month of January which is mostly regarded as the planning month of the year.</w:t>
      </w:r>
    </w:p>
    <w:p w14:paraId="52B6E8EF">
      <w:pPr>
        <w:numPr>
          <w:ilvl w:val="0"/>
          <w:numId w:val="0"/>
        </w:numPr>
        <w:tabs>
          <w:tab w:val="left" w:pos="720"/>
        </w:tabs>
        <w:spacing w:beforeAutospacing="1" w:afterAutospacing="1"/>
        <w:rPr>
          <w:rFonts w:hint="default"/>
          <w:sz w:val="32"/>
          <w:szCs w:val="32"/>
          <w:lang w:val="en-US"/>
        </w:rPr>
      </w:pPr>
      <w:r>
        <w:rPr>
          <w:rFonts w:hint="default"/>
          <w:sz w:val="32"/>
          <w:szCs w:val="32"/>
          <w:lang w:val="en-US"/>
        </w:rPr>
        <w:drawing>
          <wp:inline distT="0" distB="0" distL="114300" distR="114300">
            <wp:extent cx="5271770" cy="3023235"/>
            <wp:effectExtent l="0" t="0" r="1270" b="9525"/>
            <wp:docPr id="7" name="Picture 7" descr="Total Amount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otal Amount Generated"/>
                    <pic:cNvPicPr>
                      <a:picLocks noChangeAspect="1"/>
                    </pic:cNvPicPr>
                  </pic:nvPicPr>
                  <pic:blipFill>
                    <a:blip r:embed="rId5"/>
                    <a:stretch>
                      <a:fillRect/>
                    </a:stretch>
                  </pic:blipFill>
                  <pic:spPr>
                    <a:xfrm>
                      <a:off x="0" y="0"/>
                      <a:ext cx="5271770" cy="3023235"/>
                    </a:xfrm>
                    <a:prstGeom prst="rect">
                      <a:avLst/>
                    </a:prstGeom>
                  </pic:spPr>
                </pic:pic>
              </a:graphicData>
            </a:graphic>
          </wp:inline>
        </w:drawing>
      </w:r>
    </w:p>
    <w:p w14:paraId="428979DF">
      <w:pPr>
        <w:numPr>
          <w:ilvl w:val="0"/>
          <w:numId w:val="0"/>
        </w:numPr>
        <w:tabs>
          <w:tab w:val="left" w:pos="720"/>
        </w:tabs>
        <w:spacing w:beforeAutospacing="1" w:afterAutospacing="1"/>
        <w:rPr>
          <w:rFonts w:hint="default"/>
          <w:sz w:val="32"/>
          <w:szCs w:val="32"/>
          <w:lang w:val="en-US"/>
        </w:rPr>
      </w:pPr>
      <w:r>
        <w:rPr>
          <w:rFonts w:hint="default"/>
          <w:sz w:val="32"/>
          <w:szCs w:val="32"/>
          <w:lang w:val="en-US"/>
        </w:rPr>
        <w:drawing>
          <wp:inline distT="0" distB="0" distL="114300" distR="114300">
            <wp:extent cx="5270500" cy="2972435"/>
            <wp:effectExtent l="0" t="0" r="2540" b="14605"/>
            <wp:docPr id="9" name="Picture 9" descr="Based on the total units Bar Chart in respect with the total Amount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sed on the total units Bar Chart in respect with the total Amount Generated "/>
                    <pic:cNvPicPr>
                      <a:picLocks noChangeAspect="1"/>
                    </pic:cNvPicPr>
                  </pic:nvPicPr>
                  <pic:blipFill>
                    <a:blip r:embed="rId6"/>
                    <a:stretch>
                      <a:fillRect/>
                    </a:stretch>
                  </pic:blipFill>
                  <pic:spPr>
                    <a:xfrm>
                      <a:off x="0" y="0"/>
                      <a:ext cx="5270500" cy="2972435"/>
                    </a:xfrm>
                    <a:prstGeom prst="rect">
                      <a:avLst/>
                    </a:prstGeom>
                  </pic:spPr>
                </pic:pic>
              </a:graphicData>
            </a:graphic>
          </wp:inline>
        </w:drawing>
      </w:r>
    </w:p>
    <w:p w14:paraId="451433F7">
      <w:pPr>
        <w:numPr>
          <w:ilvl w:val="0"/>
          <w:numId w:val="0"/>
        </w:numPr>
        <w:tabs>
          <w:tab w:val="left" w:pos="720"/>
        </w:tabs>
        <w:spacing w:beforeAutospacing="1" w:afterAutospacing="1"/>
        <w:rPr>
          <w:rFonts w:hint="default"/>
          <w:sz w:val="32"/>
          <w:szCs w:val="32"/>
          <w:lang w:val="en-US"/>
        </w:rPr>
      </w:pPr>
      <w:r>
        <w:rPr>
          <w:rFonts w:hint="default"/>
          <w:sz w:val="32"/>
          <w:szCs w:val="32"/>
          <w:lang w:val="en-US"/>
        </w:rPr>
        <w:drawing>
          <wp:inline distT="0" distB="0" distL="114300" distR="114300">
            <wp:extent cx="5268595" cy="3002280"/>
            <wp:effectExtent l="0" t="0" r="4445" b="0"/>
            <wp:docPr id="8" name="Picture 8" descr="Total Amount Generated by l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otal Amount Generated by land type"/>
                    <pic:cNvPicPr>
                      <a:picLocks noChangeAspect="1"/>
                    </pic:cNvPicPr>
                  </pic:nvPicPr>
                  <pic:blipFill>
                    <a:blip r:embed="rId7"/>
                    <a:stretch>
                      <a:fillRect/>
                    </a:stretch>
                  </pic:blipFill>
                  <pic:spPr>
                    <a:xfrm>
                      <a:off x="0" y="0"/>
                      <a:ext cx="5268595" cy="3002280"/>
                    </a:xfrm>
                    <a:prstGeom prst="rect">
                      <a:avLst/>
                    </a:prstGeom>
                  </pic:spPr>
                </pic:pic>
              </a:graphicData>
            </a:graphic>
          </wp:inline>
        </w:drawing>
      </w:r>
    </w:p>
    <w:p w14:paraId="781DFFF0">
      <w:pPr>
        <w:numPr>
          <w:ilvl w:val="0"/>
          <w:numId w:val="0"/>
        </w:numPr>
        <w:tabs>
          <w:tab w:val="left" w:pos="720"/>
        </w:tabs>
        <w:spacing w:beforeAutospacing="1" w:afterAutospacing="1"/>
        <w:rPr>
          <w:rFonts w:hint="default"/>
          <w:sz w:val="32"/>
          <w:szCs w:val="32"/>
          <w:lang w:val="en-US"/>
        </w:rPr>
      </w:pPr>
    </w:p>
    <w:p w14:paraId="013E7C72">
      <w:pPr>
        <w:tabs>
          <w:tab w:val="left" w:pos="720"/>
        </w:tabs>
        <w:spacing w:beforeAutospacing="1" w:afterAutospacing="1"/>
        <w:ind w:left="720"/>
        <w:rPr>
          <w:rFonts w:hint="default"/>
          <w:lang w:val="en-US"/>
        </w:rPr>
      </w:pPr>
      <w:r>
        <w:rPr>
          <w:rFonts w:hint="default"/>
          <w:lang w:val="en-US"/>
        </w:rPr>
        <w:drawing>
          <wp:inline distT="0" distB="0" distL="114300" distR="114300">
            <wp:extent cx="5266690" cy="3442970"/>
            <wp:effectExtent l="0" t="0" r="6350" b="1270"/>
            <wp:docPr id="2" name="Picture 2" descr="Heatmap Investment Month vs L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eatmap Investment Month vs Land Type"/>
                    <pic:cNvPicPr>
                      <a:picLocks noChangeAspect="1"/>
                    </pic:cNvPicPr>
                  </pic:nvPicPr>
                  <pic:blipFill>
                    <a:blip r:embed="rId8"/>
                    <a:stretch>
                      <a:fillRect/>
                    </a:stretch>
                  </pic:blipFill>
                  <pic:spPr>
                    <a:xfrm>
                      <a:off x="0" y="0"/>
                      <a:ext cx="5266690" cy="3442970"/>
                    </a:xfrm>
                    <a:prstGeom prst="rect">
                      <a:avLst/>
                    </a:prstGeom>
                  </pic:spPr>
                </pic:pic>
              </a:graphicData>
            </a:graphic>
          </wp:inline>
        </w:drawing>
      </w:r>
    </w:p>
    <w:p w14:paraId="14A1E78E">
      <w:pPr>
        <w:tabs>
          <w:tab w:val="left" w:pos="720"/>
        </w:tabs>
        <w:spacing w:beforeAutospacing="1" w:afterAutospacing="1"/>
        <w:ind w:left="720"/>
        <w:rPr>
          <w:rFonts w:hint="default"/>
          <w:lang w:val="en-US"/>
        </w:rPr>
      </w:pPr>
    </w:p>
    <w:p w14:paraId="57DBFAA4">
      <w:pPr>
        <w:tabs>
          <w:tab w:val="left" w:pos="720"/>
        </w:tabs>
        <w:spacing w:beforeAutospacing="1" w:afterAutospacing="1"/>
        <w:ind w:left="720"/>
        <w:rPr>
          <w:rFonts w:hint="default"/>
          <w:lang w:val="en-US"/>
        </w:rPr>
      </w:pPr>
      <w:r>
        <w:rPr>
          <w:rFonts w:hint="default"/>
          <w:lang w:val="en-US"/>
        </w:rPr>
        <w:drawing>
          <wp:inline distT="0" distB="0" distL="114300" distR="114300">
            <wp:extent cx="5268595" cy="2908935"/>
            <wp:effectExtent l="0" t="0" r="4445" b="1905"/>
            <wp:docPr id="4" name="Picture 4" descr="Investment by L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vestment by Land Type"/>
                    <pic:cNvPicPr>
                      <a:picLocks noChangeAspect="1"/>
                    </pic:cNvPicPr>
                  </pic:nvPicPr>
                  <pic:blipFill>
                    <a:blip r:embed="rId9"/>
                    <a:stretch>
                      <a:fillRect/>
                    </a:stretch>
                  </pic:blipFill>
                  <pic:spPr>
                    <a:xfrm>
                      <a:off x="0" y="0"/>
                      <a:ext cx="5268595" cy="2908935"/>
                    </a:xfrm>
                    <a:prstGeom prst="rect">
                      <a:avLst/>
                    </a:prstGeom>
                  </pic:spPr>
                </pic:pic>
              </a:graphicData>
            </a:graphic>
          </wp:inline>
        </w:drawing>
      </w:r>
    </w:p>
    <w:p w14:paraId="7290D67C">
      <w:pPr>
        <w:tabs>
          <w:tab w:val="left" w:pos="720"/>
        </w:tabs>
        <w:spacing w:beforeAutospacing="1" w:afterAutospacing="1"/>
        <w:ind w:left="720"/>
      </w:pPr>
    </w:p>
    <w:p w14:paraId="2DEDA984">
      <w:pPr>
        <w:tabs>
          <w:tab w:val="left" w:pos="720"/>
        </w:tabs>
        <w:spacing w:beforeAutospacing="1" w:afterAutospacing="1"/>
        <w:ind w:left="720"/>
        <w:rPr>
          <w:rFonts w:hint="default"/>
          <w:lang w:val="en-US"/>
        </w:rPr>
      </w:pPr>
      <w:r>
        <w:rPr>
          <w:rFonts w:hint="default"/>
          <w:lang w:val="en-US"/>
        </w:rPr>
        <w:drawing>
          <wp:inline distT="0" distB="0" distL="114300" distR="114300">
            <wp:extent cx="5271770" cy="2949575"/>
            <wp:effectExtent l="0" t="0" r="1270" b="6985"/>
            <wp:docPr id="5" name="Picture 5" descr="Investments by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vestments by Units"/>
                    <pic:cNvPicPr>
                      <a:picLocks noChangeAspect="1"/>
                    </pic:cNvPicPr>
                  </pic:nvPicPr>
                  <pic:blipFill>
                    <a:blip r:embed="rId10"/>
                    <a:stretch>
                      <a:fillRect/>
                    </a:stretch>
                  </pic:blipFill>
                  <pic:spPr>
                    <a:xfrm>
                      <a:off x="0" y="0"/>
                      <a:ext cx="5271770" cy="2949575"/>
                    </a:xfrm>
                    <a:prstGeom prst="rect">
                      <a:avLst/>
                    </a:prstGeom>
                  </pic:spPr>
                </pic:pic>
              </a:graphicData>
            </a:graphic>
          </wp:inline>
        </w:drawing>
      </w:r>
    </w:p>
    <w:p w14:paraId="58A10B3A">
      <w:pPr>
        <w:tabs>
          <w:tab w:val="left" w:pos="720"/>
        </w:tabs>
        <w:spacing w:beforeAutospacing="1" w:afterAutospacing="1"/>
        <w:ind w:left="720"/>
        <w:rPr>
          <w:rFonts w:hint="default"/>
          <w:lang w:val="en-US"/>
        </w:rPr>
      </w:pPr>
      <w:r>
        <w:rPr>
          <w:rFonts w:hint="default"/>
          <w:lang w:val="en-US"/>
        </w:rPr>
        <w:drawing>
          <wp:inline distT="0" distB="0" distL="114300" distR="114300">
            <wp:extent cx="5268595" cy="5459730"/>
            <wp:effectExtent l="0" t="0" r="4445" b="11430"/>
            <wp:docPr id="6" name="Picture 6" descr="Pie Chart Investment Distribution by L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e Chart Investment Distribution by Land Type"/>
                    <pic:cNvPicPr>
                      <a:picLocks noChangeAspect="1"/>
                    </pic:cNvPicPr>
                  </pic:nvPicPr>
                  <pic:blipFill>
                    <a:blip r:embed="rId11"/>
                    <a:stretch>
                      <a:fillRect/>
                    </a:stretch>
                  </pic:blipFill>
                  <pic:spPr>
                    <a:xfrm>
                      <a:off x="0" y="0"/>
                      <a:ext cx="5268595" cy="5459730"/>
                    </a:xfrm>
                    <a:prstGeom prst="rect">
                      <a:avLst/>
                    </a:prstGeom>
                  </pic:spPr>
                </pic:pic>
              </a:graphicData>
            </a:graphic>
          </wp:inline>
        </w:drawing>
      </w:r>
    </w:p>
    <w:p w14:paraId="2B059D2E">
      <w:pPr>
        <w:tabs>
          <w:tab w:val="left" w:pos="720"/>
        </w:tabs>
        <w:spacing w:beforeAutospacing="1" w:afterAutospacing="1"/>
      </w:pPr>
    </w:p>
    <w:p w14:paraId="3EE056CD">
      <w:pPr>
        <w:pStyle w:val="3"/>
        <w:rPr>
          <w:rFonts w:hint="default"/>
          <w:sz w:val="48"/>
          <w:szCs w:val="48"/>
          <w:lang w:val="en-US"/>
        </w:rPr>
      </w:pPr>
      <w:r>
        <w:rPr>
          <w:rStyle w:val="8"/>
          <w:rFonts w:hint="default"/>
          <w:b/>
          <w:bCs/>
          <w:sz w:val="48"/>
          <w:szCs w:val="48"/>
          <w:lang w:val="en-US"/>
        </w:rPr>
        <w:t>3</w:t>
      </w:r>
      <w:r>
        <w:rPr>
          <w:rStyle w:val="8"/>
          <w:b/>
          <w:bCs/>
          <w:sz w:val="48"/>
          <w:szCs w:val="48"/>
        </w:rPr>
        <w:t xml:space="preserve">. </w:t>
      </w:r>
      <w:r>
        <w:rPr>
          <w:rStyle w:val="8"/>
          <w:rFonts w:hint="default"/>
          <w:b/>
          <w:bCs/>
          <w:sz w:val="48"/>
          <w:szCs w:val="48"/>
          <w:lang w:val="en-US"/>
        </w:rPr>
        <w:t xml:space="preserve">Salient </w:t>
      </w:r>
      <w:r>
        <w:rPr>
          <w:rStyle w:val="8"/>
          <w:b/>
          <w:bCs/>
          <w:sz w:val="48"/>
          <w:szCs w:val="48"/>
        </w:rPr>
        <w:t>Insights</w:t>
      </w:r>
      <w:r>
        <w:rPr>
          <w:rStyle w:val="8"/>
          <w:rFonts w:hint="default"/>
          <w:b/>
          <w:bCs/>
          <w:sz w:val="48"/>
          <w:szCs w:val="48"/>
          <w:lang w:val="en-US"/>
        </w:rPr>
        <w:t xml:space="preserve"> from the Age Segmentation on Investments from July 2024</w:t>
      </w:r>
    </w:p>
    <w:p w14:paraId="3CB53BD1">
      <w:pPr>
        <w:pStyle w:val="4"/>
        <w:rPr>
          <w:rFonts w:hint="default"/>
          <w:lang w:val="en-US"/>
        </w:rPr>
      </w:pPr>
      <w:r>
        <w:rPr>
          <w:rStyle w:val="8"/>
          <w:rFonts w:hint="default"/>
          <w:b/>
          <w:bCs/>
          <w:sz w:val="32"/>
          <w:szCs w:val="32"/>
          <w:lang w:val="en-US"/>
        </w:rPr>
        <w:t>3</w:t>
      </w:r>
      <w:r>
        <w:rPr>
          <w:rStyle w:val="8"/>
          <w:b/>
          <w:bCs/>
          <w:sz w:val="32"/>
          <w:szCs w:val="32"/>
        </w:rPr>
        <w:t>.1</w:t>
      </w:r>
      <w:r>
        <w:rPr>
          <w:rStyle w:val="8"/>
          <w:b/>
          <w:bCs/>
        </w:rPr>
        <w:t xml:space="preserve"> </w:t>
      </w:r>
      <w:r>
        <w:rPr>
          <w:rStyle w:val="8"/>
          <w:b/>
          <w:bCs/>
          <w:sz w:val="36"/>
          <w:szCs w:val="36"/>
        </w:rPr>
        <w:t xml:space="preserve">Investment </w:t>
      </w:r>
      <w:r>
        <w:rPr>
          <w:rStyle w:val="8"/>
          <w:rFonts w:hint="default"/>
          <w:b/>
          <w:bCs/>
          <w:sz w:val="36"/>
          <w:szCs w:val="36"/>
          <w:lang w:val="en-US"/>
        </w:rPr>
        <w:t>A</w:t>
      </w:r>
      <w:r>
        <w:rPr>
          <w:rStyle w:val="8"/>
          <w:b/>
          <w:bCs/>
          <w:sz w:val="36"/>
          <w:szCs w:val="36"/>
        </w:rPr>
        <w:t>m</w:t>
      </w:r>
      <w:r>
        <w:rPr>
          <w:rStyle w:val="8"/>
          <w:rFonts w:hint="default"/>
          <w:b/>
          <w:bCs/>
          <w:sz w:val="36"/>
          <w:szCs w:val="36"/>
          <w:lang w:val="en-US"/>
        </w:rPr>
        <w:t>ount by Age Group &amp; Month</w:t>
      </w:r>
    </w:p>
    <w:p w14:paraId="695AC1EC">
      <w:pPr>
        <w:numPr>
          <w:ilvl w:val="0"/>
          <w:numId w:val="2"/>
        </w:numPr>
        <w:spacing w:beforeAutospacing="1" w:afterAutospacing="1"/>
        <w:rPr>
          <w:sz w:val="32"/>
          <w:szCs w:val="32"/>
        </w:rPr>
      </w:pPr>
      <w:r>
        <w:rPr>
          <w:sz w:val="32"/>
          <w:szCs w:val="32"/>
        </w:rPr>
        <w:t xml:space="preserve">The </w:t>
      </w:r>
      <w:r>
        <w:rPr>
          <w:rFonts w:hint="default"/>
          <w:sz w:val="32"/>
          <w:szCs w:val="32"/>
          <w:lang w:val="en-US"/>
        </w:rPr>
        <w:t xml:space="preserve">most dominant Age group is </w:t>
      </w:r>
      <w:r>
        <w:rPr>
          <w:rFonts w:hint="default"/>
          <w:b/>
          <w:bCs/>
          <w:sz w:val="32"/>
          <w:szCs w:val="32"/>
          <w:lang w:val="en-US"/>
        </w:rPr>
        <w:t>40-49</w:t>
      </w:r>
      <w:r>
        <w:rPr>
          <w:sz w:val="32"/>
          <w:szCs w:val="32"/>
        </w:rPr>
        <w:t xml:space="preserve"> w</w:t>
      </w:r>
      <w:r>
        <w:rPr>
          <w:rFonts w:hint="default"/>
          <w:sz w:val="32"/>
          <w:szCs w:val="32"/>
          <w:lang w:val="en-US"/>
        </w:rPr>
        <w:t>h</w:t>
      </w:r>
      <w:r>
        <w:rPr>
          <w:sz w:val="32"/>
          <w:szCs w:val="32"/>
        </w:rPr>
        <w:t xml:space="preserve">ere </w:t>
      </w:r>
      <w:r>
        <w:rPr>
          <w:rFonts w:hint="default"/>
          <w:sz w:val="32"/>
          <w:szCs w:val="32"/>
          <w:lang w:val="en-US"/>
        </w:rPr>
        <w:t>there was consistent patronize from</w:t>
      </w:r>
      <w:r>
        <w:rPr>
          <w:sz w:val="32"/>
          <w:szCs w:val="32"/>
        </w:rPr>
        <w:t xml:space="preserve"> </w:t>
      </w:r>
      <w:r>
        <w:rPr>
          <w:rFonts w:hint="default"/>
          <w:sz w:val="32"/>
          <w:szCs w:val="32"/>
          <w:lang w:val="en-US"/>
        </w:rPr>
        <w:t>the inception which is</w:t>
      </w:r>
      <w:r>
        <w:rPr>
          <w:sz w:val="32"/>
          <w:szCs w:val="32"/>
        </w:rPr>
        <w:t xml:space="preserve"> </w:t>
      </w:r>
      <w:r>
        <w:rPr>
          <w:rFonts w:hint="default"/>
          <w:b/>
          <w:bCs/>
          <w:sz w:val="32"/>
          <w:szCs w:val="32"/>
          <w:lang w:val="en-US"/>
        </w:rPr>
        <w:t>July</w:t>
      </w:r>
      <w:r>
        <w:rPr>
          <w:rStyle w:val="8"/>
          <w:sz w:val="32"/>
          <w:szCs w:val="32"/>
        </w:rPr>
        <w:t xml:space="preserve"> 2024</w:t>
      </w:r>
      <w:r>
        <w:rPr>
          <w:sz w:val="32"/>
          <w:szCs w:val="32"/>
        </w:rPr>
        <w:t xml:space="preserve">, </w:t>
      </w:r>
      <w:r>
        <w:rPr>
          <w:rFonts w:hint="default"/>
          <w:sz w:val="32"/>
          <w:szCs w:val="32"/>
          <w:lang w:val="en-US"/>
        </w:rPr>
        <w:t>all the way till</w:t>
      </w:r>
      <w:r>
        <w:rPr>
          <w:sz w:val="32"/>
          <w:szCs w:val="32"/>
        </w:rPr>
        <w:t xml:space="preserve"> </w:t>
      </w:r>
      <w:r>
        <w:rPr>
          <w:rStyle w:val="8"/>
          <w:rFonts w:hint="default"/>
          <w:sz w:val="32"/>
          <w:szCs w:val="32"/>
          <w:lang w:val="en-US"/>
        </w:rPr>
        <w:t xml:space="preserve">January </w:t>
      </w:r>
      <w:r>
        <w:rPr>
          <w:rStyle w:val="8"/>
          <w:sz w:val="32"/>
          <w:szCs w:val="32"/>
        </w:rPr>
        <w:t>202</w:t>
      </w:r>
      <w:r>
        <w:rPr>
          <w:rStyle w:val="8"/>
          <w:rFonts w:hint="default"/>
          <w:sz w:val="32"/>
          <w:szCs w:val="32"/>
          <w:lang w:val="en-US"/>
        </w:rPr>
        <w:t>5.</w:t>
      </w:r>
    </w:p>
    <w:p w14:paraId="47AAF4AB">
      <w:pPr>
        <w:numPr>
          <w:ilvl w:val="0"/>
          <w:numId w:val="2"/>
        </w:numPr>
        <w:spacing w:beforeAutospacing="1" w:afterAutospacing="1"/>
        <w:rPr>
          <w:sz w:val="32"/>
          <w:szCs w:val="32"/>
        </w:rPr>
      </w:pPr>
      <w:r>
        <w:rPr>
          <w:sz w:val="32"/>
          <w:szCs w:val="32"/>
        </w:rPr>
        <w:t xml:space="preserve">A </w:t>
      </w:r>
      <w:r>
        <w:rPr>
          <w:rFonts w:hint="default"/>
          <w:sz w:val="32"/>
          <w:szCs w:val="32"/>
          <w:lang w:val="en-US"/>
        </w:rPr>
        <w:t xml:space="preserve">whopping </w:t>
      </w:r>
      <w:r>
        <w:rPr>
          <w:rFonts w:hint="default"/>
          <w:b/>
          <w:bCs/>
          <w:sz w:val="32"/>
          <w:szCs w:val="32"/>
          <w:lang w:val="en-US"/>
        </w:rPr>
        <w:t>61.8 Million Naira</w:t>
      </w:r>
      <w:r>
        <w:rPr>
          <w:rFonts w:hint="default"/>
          <w:sz w:val="32"/>
          <w:szCs w:val="32"/>
          <w:lang w:val="en-US"/>
        </w:rPr>
        <w:t xml:space="preserve"> was made by the </w:t>
      </w:r>
      <w:r>
        <w:rPr>
          <w:rFonts w:hint="default"/>
          <w:b/>
          <w:bCs/>
          <w:sz w:val="32"/>
          <w:szCs w:val="32"/>
          <w:lang w:val="en-US"/>
        </w:rPr>
        <w:t>50-59 Age group</w:t>
      </w:r>
      <w:r>
        <w:rPr>
          <w:rFonts w:hint="default"/>
          <w:sz w:val="32"/>
          <w:szCs w:val="32"/>
          <w:lang w:val="en-US"/>
        </w:rPr>
        <w:t xml:space="preserve"> showing that more amounts was</w:t>
      </w:r>
      <w:r>
        <w:rPr>
          <w:sz w:val="32"/>
          <w:szCs w:val="32"/>
        </w:rPr>
        <w:t xml:space="preserve"> inves</w:t>
      </w:r>
      <w:r>
        <w:rPr>
          <w:rFonts w:hint="default"/>
          <w:sz w:val="32"/>
          <w:szCs w:val="32"/>
          <w:lang w:val="en-US"/>
        </w:rPr>
        <w:t>ted</w:t>
      </w:r>
      <w:r>
        <w:rPr>
          <w:sz w:val="32"/>
          <w:szCs w:val="32"/>
        </w:rPr>
        <w:t xml:space="preserve"> </w:t>
      </w:r>
      <w:r>
        <w:rPr>
          <w:rFonts w:hint="default"/>
          <w:sz w:val="32"/>
          <w:szCs w:val="32"/>
          <w:lang w:val="en-US"/>
        </w:rPr>
        <w:t>by this Age group although a rapid three month decline was</w:t>
      </w:r>
      <w:r>
        <w:rPr>
          <w:sz w:val="32"/>
          <w:szCs w:val="32"/>
        </w:rPr>
        <w:t xml:space="preserve"> observed </w:t>
      </w:r>
      <w:r>
        <w:rPr>
          <w:rFonts w:hint="default"/>
          <w:sz w:val="32"/>
          <w:szCs w:val="32"/>
          <w:lang w:val="en-US"/>
        </w:rPr>
        <w:t xml:space="preserve">after the end of </w:t>
      </w:r>
      <w:r>
        <w:rPr>
          <w:rFonts w:hint="default"/>
          <w:b/>
          <w:bCs/>
          <w:sz w:val="32"/>
          <w:szCs w:val="32"/>
          <w:lang w:val="en-US"/>
        </w:rPr>
        <w:t>October</w:t>
      </w:r>
      <w:r>
        <w:rPr>
          <w:rStyle w:val="8"/>
          <w:sz w:val="32"/>
          <w:szCs w:val="32"/>
        </w:rPr>
        <w:t xml:space="preserve"> 2024</w:t>
      </w:r>
      <w:r>
        <w:rPr>
          <w:sz w:val="32"/>
          <w:szCs w:val="32"/>
        </w:rPr>
        <w:t xml:space="preserve">, </w:t>
      </w:r>
      <w:r>
        <w:rPr>
          <w:rFonts w:hint="default"/>
          <w:sz w:val="32"/>
          <w:szCs w:val="32"/>
          <w:lang w:val="en-US"/>
        </w:rPr>
        <w:t>whereby there wa</w:t>
      </w:r>
      <w:r>
        <w:rPr>
          <w:sz w:val="32"/>
          <w:szCs w:val="32"/>
        </w:rPr>
        <w:t>s</w:t>
      </w:r>
      <w:r>
        <w:rPr>
          <w:rFonts w:hint="default"/>
          <w:sz w:val="32"/>
          <w:szCs w:val="32"/>
          <w:lang w:val="en-US"/>
        </w:rPr>
        <w:t xml:space="preserve"> no single patronize during the three investment hiatus</w:t>
      </w:r>
      <w:r>
        <w:rPr>
          <w:sz w:val="32"/>
          <w:szCs w:val="32"/>
        </w:rPr>
        <w:t>.</w:t>
      </w:r>
    </w:p>
    <w:p w14:paraId="483D6232">
      <w:pPr>
        <w:numPr>
          <w:ilvl w:val="0"/>
          <w:numId w:val="3"/>
        </w:numPr>
        <w:spacing w:beforeAutospacing="1" w:afterAutospacing="1"/>
        <w:rPr>
          <w:sz w:val="32"/>
          <w:szCs w:val="32"/>
        </w:rPr>
      </w:pPr>
      <w:r>
        <w:rPr>
          <w:sz w:val="32"/>
          <w:szCs w:val="32"/>
        </w:rPr>
        <w:t xml:space="preserve">Pie chart analysis indicated the summation of the </w:t>
      </w:r>
      <w:r>
        <w:rPr>
          <w:rFonts w:hint="default"/>
          <w:sz w:val="32"/>
          <w:szCs w:val="32"/>
          <w:lang w:val="en-US"/>
        </w:rPr>
        <w:t xml:space="preserve">total </w:t>
      </w:r>
      <w:r>
        <w:rPr>
          <w:sz w:val="32"/>
          <w:szCs w:val="32"/>
        </w:rPr>
        <w:t xml:space="preserve">investment distribution by </w:t>
      </w:r>
      <w:r>
        <w:rPr>
          <w:rFonts w:hint="default"/>
          <w:sz w:val="32"/>
          <w:szCs w:val="32"/>
          <w:lang w:val="en-US"/>
        </w:rPr>
        <w:t>age group</w:t>
      </w:r>
      <w:r>
        <w:rPr>
          <w:sz w:val="32"/>
          <w:szCs w:val="32"/>
        </w:rPr>
        <w:t xml:space="preserve"> bought during the period analyzed with </w:t>
      </w:r>
      <w:r>
        <w:rPr>
          <w:rFonts w:hint="default"/>
          <w:b/>
          <w:bCs/>
          <w:sz w:val="32"/>
          <w:szCs w:val="32"/>
          <w:lang w:val="en-US"/>
        </w:rPr>
        <w:t>50-59 Age Group</w:t>
      </w:r>
      <w:r>
        <w:rPr>
          <w:sz w:val="32"/>
          <w:szCs w:val="32"/>
        </w:rPr>
        <w:t xml:space="preserve"> cutting the largest portion of it with a </w:t>
      </w:r>
      <w:r>
        <w:rPr>
          <w:rFonts w:hint="default"/>
          <w:b/>
          <w:bCs/>
          <w:sz w:val="32"/>
          <w:szCs w:val="32"/>
          <w:lang w:val="en-US"/>
        </w:rPr>
        <w:t>53.2</w:t>
      </w:r>
      <w:r>
        <w:rPr>
          <w:b/>
          <w:bCs/>
          <w:sz w:val="32"/>
          <w:szCs w:val="32"/>
        </w:rPr>
        <w:t>%</w:t>
      </w:r>
      <w:r>
        <w:rPr>
          <w:sz w:val="32"/>
          <w:szCs w:val="32"/>
        </w:rPr>
        <w:t xml:space="preserve"> percentage while </w:t>
      </w:r>
      <w:r>
        <w:rPr>
          <w:rFonts w:hint="default"/>
          <w:b/>
          <w:bCs/>
          <w:sz w:val="32"/>
          <w:szCs w:val="32"/>
          <w:lang w:val="en-US"/>
        </w:rPr>
        <w:t>40-49 Age Group</w:t>
      </w:r>
      <w:r>
        <w:rPr>
          <w:sz w:val="32"/>
          <w:szCs w:val="32"/>
        </w:rPr>
        <w:t xml:space="preserve"> took </w:t>
      </w:r>
      <w:r>
        <w:rPr>
          <w:rFonts w:hint="default"/>
          <w:b/>
          <w:bCs/>
          <w:sz w:val="32"/>
          <w:szCs w:val="32"/>
          <w:lang w:val="en-US"/>
        </w:rPr>
        <w:t>32.5</w:t>
      </w:r>
      <w:r>
        <w:rPr>
          <w:b/>
          <w:bCs/>
          <w:sz w:val="32"/>
          <w:szCs w:val="32"/>
        </w:rPr>
        <w:t>%</w:t>
      </w:r>
      <w:r>
        <w:rPr>
          <w:sz w:val="32"/>
          <w:szCs w:val="32"/>
        </w:rPr>
        <w:t>.</w:t>
      </w:r>
    </w:p>
    <w:p w14:paraId="642EF98C">
      <w:pPr>
        <w:numPr>
          <w:ilvl w:val="0"/>
          <w:numId w:val="3"/>
        </w:numPr>
        <w:spacing w:beforeAutospacing="1" w:afterAutospacing="1"/>
        <w:rPr>
          <w:sz w:val="32"/>
          <w:szCs w:val="32"/>
        </w:rPr>
      </w:pPr>
      <w:r>
        <w:rPr>
          <w:rFonts w:hint="default"/>
          <w:sz w:val="32"/>
          <w:szCs w:val="32"/>
          <w:lang w:val="en-US"/>
        </w:rPr>
        <w:t xml:space="preserve">More amount was invested in </w:t>
      </w:r>
      <w:r>
        <w:rPr>
          <w:rFonts w:hint="default"/>
          <w:b/>
          <w:bCs/>
          <w:sz w:val="32"/>
          <w:szCs w:val="32"/>
          <w:lang w:val="en-US"/>
        </w:rPr>
        <w:t xml:space="preserve">October 2024 </w:t>
      </w:r>
      <w:r>
        <w:rPr>
          <w:rFonts w:hint="default"/>
          <w:b w:val="0"/>
          <w:bCs w:val="0"/>
          <w:sz w:val="32"/>
          <w:szCs w:val="32"/>
          <w:lang w:val="en-US"/>
        </w:rPr>
        <w:t xml:space="preserve">with the </w:t>
      </w:r>
      <w:r>
        <w:rPr>
          <w:rFonts w:hint="default"/>
          <w:b/>
          <w:bCs/>
          <w:sz w:val="32"/>
          <w:szCs w:val="32"/>
          <w:lang w:val="en-US"/>
        </w:rPr>
        <w:t>50-59 Age Group</w:t>
      </w:r>
      <w:r>
        <w:rPr>
          <w:rFonts w:hint="default"/>
          <w:b w:val="0"/>
          <w:bCs w:val="0"/>
          <w:sz w:val="32"/>
          <w:szCs w:val="32"/>
          <w:lang w:val="en-US"/>
        </w:rPr>
        <w:t xml:space="preserve"> the only set that invested in that particular month</w:t>
      </w:r>
      <w:r>
        <w:rPr>
          <w:rFonts w:hint="default"/>
          <w:sz w:val="32"/>
          <w:szCs w:val="32"/>
          <w:lang w:val="en-US"/>
        </w:rPr>
        <w:t xml:space="preserve">, and closely followed by </w:t>
      </w:r>
      <w:r>
        <w:rPr>
          <w:rFonts w:hint="default"/>
          <w:b/>
          <w:bCs/>
          <w:sz w:val="32"/>
          <w:szCs w:val="32"/>
          <w:lang w:val="en-US"/>
        </w:rPr>
        <w:t xml:space="preserve">July 2024 </w:t>
      </w:r>
      <w:r>
        <w:rPr>
          <w:rFonts w:hint="default"/>
          <w:b w:val="0"/>
          <w:bCs w:val="0"/>
          <w:sz w:val="32"/>
          <w:szCs w:val="32"/>
          <w:lang w:val="en-US"/>
        </w:rPr>
        <w:t xml:space="preserve">where </w:t>
      </w:r>
      <w:r>
        <w:rPr>
          <w:rFonts w:hint="default"/>
          <w:b/>
          <w:bCs/>
          <w:sz w:val="32"/>
          <w:szCs w:val="32"/>
          <w:lang w:val="en-US"/>
        </w:rPr>
        <w:t>40-49</w:t>
      </w:r>
      <w:r>
        <w:rPr>
          <w:rFonts w:hint="default"/>
          <w:b w:val="0"/>
          <w:bCs w:val="0"/>
          <w:sz w:val="32"/>
          <w:szCs w:val="32"/>
          <w:lang w:val="en-US"/>
        </w:rPr>
        <w:t xml:space="preserve">, </w:t>
      </w:r>
      <w:r>
        <w:rPr>
          <w:rFonts w:hint="default"/>
          <w:b/>
          <w:bCs/>
          <w:sz w:val="32"/>
          <w:szCs w:val="32"/>
          <w:lang w:val="en-US"/>
        </w:rPr>
        <w:t>50-59</w:t>
      </w:r>
      <w:r>
        <w:rPr>
          <w:rFonts w:hint="default"/>
          <w:b w:val="0"/>
          <w:bCs w:val="0"/>
          <w:sz w:val="32"/>
          <w:szCs w:val="32"/>
          <w:lang w:val="en-US"/>
        </w:rPr>
        <w:t xml:space="preserve"> &amp; </w:t>
      </w:r>
      <w:r>
        <w:rPr>
          <w:rFonts w:hint="default"/>
          <w:b/>
          <w:bCs/>
          <w:sz w:val="32"/>
          <w:szCs w:val="32"/>
          <w:lang w:val="en-US"/>
        </w:rPr>
        <w:t>60-69 Age Groups</w:t>
      </w:r>
      <w:r>
        <w:rPr>
          <w:rFonts w:hint="default"/>
          <w:b w:val="0"/>
          <w:bCs w:val="0"/>
          <w:sz w:val="32"/>
          <w:szCs w:val="32"/>
          <w:lang w:val="en-US"/>
        </w:rPr>
        <w:t xml:space="preserve"> were the only three sets that invested in that particular month.</w:t>
      </w:r>
    </w:p>
    <w:p w14:paraId="26174DC7">
      <w:pPr>
        <w:numPr>
          <w:ilvl w:val="0"/>
          <w:numId w:val="2"/>
        </w:numPr>
        <w:spacing w:beforeAutospacing="1" w:afterAutospacing="1"/>
        <w:rPr>
          <w:sz w:val="32"/>
          <w:szCs w:val="32"/>
        </w:rPr>
      </w:pPr>
      <w:r>
        <w:rPr>
          <w:rFonts w:hint="default"/>
          <w:sz w:val="32"/>
          <w:szCs w:val="32"/>
          <w:lang w:val="en-US"/>
        </w:rPr>
        <w:t xml:space="preserve">Based on the analytics of the age groups with respect to the land types bought, </w:t>
      </w:r>
      <w:r>
        <w:rPr>
          <w:rFonts w:hint="default"/>
          <w:b/>
          <w:bCs/>
          <w:sz w:val="32"/>
          <w:szCs w:val="32"/>
          <w:lang w:val="en-US"/>
        </w:rPr>
        <w:t>40-49 Age Group</w:t>
      </w:r>
      <w:r>
        <w:rPr>
          <w:rFonts w:hint="default"/>
          <w:sz w:val="32"/>
          <w:szCs w:val="32"/>
          <w:lang w:val="en-US"/>
        </w:rPr>
        <w:t xml:space="preserve"> bought more Acres than plots, </w:t>
      </w:r>
      <w:r>
        <w:rPr>
          <w:rFonts w:hint="default"/>
          <w:b/>
          <w:bCs/>
          <w:sz w:val="32"/>
          <w:szCs w:val="32"/>
          <w:lang w:val="en-US"/>
        </w:rPr>
        <w:t>50-59 Age Group</w:t>
      </w:r>
      <w:r>
        <w:rPr>
          <w:rFonts w:hint="default"/>
          <w:sz w:val="32"/>
          <w:szCs w:val="32"/>
          <w:lang w:val="en-US"/>
        </w:rPr>
        <w:t xml:space="preserve"> which has the highest percentage bought more plots than acres, </w:t>
      </w:r>
      <w:r>
        <w:rPr>
          <w:rFonts w:hint="default"/>
          <w:b/>
          <w:bCs/>
          <w:sz w:val="32"/>
          <w:szCs w:val="32"/>
          <w:lang w:val="en-US"/>
        </w:rPr>
        <w:t>18-29 Age Group</w:t>
      </w:r>
      <w:r>
        <w:rPr>
          <w:rFonts w:hint="default"/>
          <w:sz w:val="32"/>
          <w:szCs w:val="32"/>
          <w:lang w:val="en-US"/>
        </w:rPr>
        <w:t xml:space="preserve"> was tied with the equal amount of acre and plot, same with </w:t>
      </w:r>
      <w:r>
        <w:rPr>
          <w:rFonts w:hint="default"/>
          <w:b/>
          <w:bCs/>
          <w:sz w:val="32"/>
          <w:szCs w:val="32"/>
          <w:lang w:val="en-US"/>
        </w:rPr>
        <w:t>30-39 Age Group</w:t>
      </w:r>
      <w:r>
        <w:rPr>
          <w:rFonts w:hint="default"/>
          <w:sz w:val="32"/>
          <w:szCs w:val="32"/>
          <w:lang w:val="en-US"/>
        </w:rPr>
        <w:t xml:space="preserve"> which was tied same with the 18-29 Age Group, while the </w:t>
      </w:r>
      <w:r>
        <w:rPr>
          <w:rFonts w:hint="default"/>
          <w:b/>
          <w:bCs/>
          <w:sz w:val="32"/>
          <w:szCs w:val="32"/>
          <w:lang w:val="en-US"/>
        </w:rPr>
        <w:t>60-69 Age Group</w:t>
      </w:r>
      <w:r>
        <w:rPr>
          <w:rFonts w:hint="default"/>
          <w:sz w:val="32"/>
          <w:szCs w:val="32"/>
          <w:lang w:val="en-US"/>
        </w:rPr>
        <w:t xml:space="preserve"> performed poorly with just a single Acre bought during the seven month.</w:t>
      </w:r>
    </w:p>
    <w:p w14:paraId="109A9B0E">
      <w:pPr>
        <w:tabs>
          <w:tab w:val="left" w:pos="720"/>
        </w:tabs>
        <w:spacing w:beforeAutospacing="1" w:afterAutospacing="1"/>
        <w:rPr>
          <w:rFonts w:hint="default"/>
          <w:lang w:val="en-US"/>
        </w:rPr>
      </w:pPr>
      <w:r>
        <w:rPr>
          <w:rFonts w:hint="default"/>
          <w:lang w:val="en-US"/>
        </w:rPr>
        <w:drawing>
          <wp:inline distT="0" distB="0" distL="114300" distR="114300">
            <wp:extent cx="5269865" cy="3411220"/>
            <wp:effectExtent l="0" t="0" r="3175" b="2540"/>
            <wp:docPr id="3" name="Picture 3" descr="Investment amount by age group and a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vestment amount by age group and amount"/>
                    <pic:cNvPicPr>
                      <a:picLocks noChangeAspect="1"/>
                    </pic:cNvPicPr>
                  </pic:nvPicPr>
                  <pic:blipFill>
                    <a:blip r:embed="rId12"/>
                    <a:stretch>
                      <a:fillRect/>
                    </a:stretch>
                  </pic:blipFill>
                  <pic:spPr>
                    <a:xfrm>
                      <a:off x="0" y="0"/>
                      <a:ext cx="5269865" cy="3411220"/>
                    </a:xfrm>
                    <a:prstGeom prst="rect">
                      <a:avLst/>
                    </a:prstGeom>
                  </pic:spPr>
                </pic:pic>
              </a:graphicData>
            </a:graphic>
          </wp:inline>
        </w:drawing>
      </w:r>
    </w:p>
    <w:p w14:paraId="76801F41">
      <w:pPr>
        <w:tabs>
          <w:tab w:val="left" w:pos="720"/>
        </w:tabs>
        <w:spacing w:beforeAutospacing="1" w:afterAutospacing="1"/>
        <w:rPr>
          <w:rFonts w:hint="default"/>
          <w:lang w:val="en-US"/>
        </w:rPr>
      </w:pPr>
      <w:r>
        <w:rPr>
          <w:rFonts w:hint="default"/>
          <w:lang w:val="en-US"/>
        </w:rPr>
        <w:drawing>
          <wp:inline distT="0" distB="0" distL="114300" distR="114300">
            <wp:extent cx="5271135" cy="3945255"/>
            <wp:effectExtent l="0" t="0" r="1905" b="1905"/>
            <wp:docPr id="11" name="Picture 11" descr="Total Amount made on Investment by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otal Amount made on Investment by Age Group"/>
                    <pic:cNvPicPr>
                      <a:picLocks noChangeAspect="1"/>
                    </pic:cNvPicPr>
                  </pic:nvPicPr>
                  <pic:blipFill>
                    <a:blip r:embed="rId13"/>
                    <a:stretch>
                      <a:fillRect/>
                    </a:stretch>
                  </pic:blipFill>
                  <pic:spPr>
                    <a:xfrm>
                      <a:off x="0" y="0"/>
                      <a:ext cx="5271135" cy="3945255"/>
                    </a:xfrm>
                    <a:prstGeom prst="rect">
                      <a:avLst/>
                    </a:prstGeom>
                  </pic:spPr>
                </pic:pic>
              </a:graphicData>
            </a:graphic>
          </wp:inline>
        </w:drawing>
      </w:r>
    </w:p>
    <w:p w14:paraId="6E7D9879">
      <w:pPr>
        <w:tabs>
          <w:tab w:val="left" w:pos="720"/>
        </w:tabs>
        <w:spacing w:beforeAutospacing="1" w:afterAutospacing="1"/>
        <w:rPr>
          <w:rFonts w:hint="default"/>
          <w:lang w:val="en-US"/>
        </w:rPr>
      </w:pPr>
      <w:r>
        <w:rPr>
          <w:rFonts w:hint="default"/>
          <w:lang w:val="en-US"/>
        </w:rPr>
        <w:drawing>
          <wp:inline distT="0" distB="0" distL="114300" distR="114300">
            <wp:extent cx="5269230" cy="3519170"/>
            <wp:effectExtent l="0" t="0" r="3810" b="1270"/>
            <wp:docPr id="17" name="Picture 17" descr="Total units purchased by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otal units purchased by Age Group"/>
                    <pic:cNvPicPr>
                      <a:picLocks noChangeAspect="1"/>
                    </pic:cNvPicPr>
                  </pic:nvPicPr>
                  <pic:blipFill>
                    <a:blip r:embed="rId14"/>
                    <a:stretch>
                      <a:fillRect/>
                    </a:stretch>
                  </pic:blipFill>
                  <pic:spPr>
                    <a:xfrm>
                      <a:off x="0" y="0"/>
                      <a:ext cx="5269230" cy="3519170"/>
                    </a:xfrm>
                    <a:prstGeom prst="rect">
                      <a:avLst/>
                    </a:prstGeom>
                  </pic:spPr>
                </pic:pic>
              </a:graphicData>
            </a:graphic>
          </wp:inline>
        </w:drawing>
      </w:r>
    </w:p>
    <w:p w14:paraId="25F97288">
      <w:pPr>
        <w:tabs>
          <w:tab w:val="left" w:pos="720"/>
        </w:tabs>
        <w:spacing w:beforeAutospacing="1" w:afterAutospacing="1"/>
        <w:rPr>
          <w:rFonts w:hint="default"/>
          <w:lang w:val="en-US"/>
        </w:rPr>
      </w:pPr>
      <w:r>
        <w:rPr>
          <w:rFonts w:hint="default"/>
          <w:lang w:val="en-US"/>
        </w:rPr>
        <w:drawing>
          <wp:inline distT="0" distB="0" distL="114300" distR="114300">
            <wp:extent cx="5269865" cy="3411220"/>
            <wp:effectExtent l="0" t="0" r="3175" b="2540"/>
            <wp:docPr id="12" name="Picture 12" descr="Investment Distribution Across Months and Ag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vestment Distribution Across Months and Age Groups"/>
                    <pic:cNvPicPr>
                      <a:picLocks noChangeAspect="1"/>
                    </pic:cNvPicPr>
                  </pic:nvPicPr>
                  <pic:blipFill>
                    <a:blip r:embed="rId15"/>
                    <a:stretch>
                      <a:fillRect/>
                    </a:stretch>
                  </pic:blipFill>
                  <pic:spPr>
                    <a:xfrm>
                      <a:off x="0" y="0"/>
                      <a:ext cx="5269865" cy="3411220"/>
                    </a:xfrm>
                    <a:prstGeom prst="rect">
                      <a:avLst/>
                    </a:prstGeom>
                  </pic:spPr>
                </pic:pic>
              </a:graphicData>
            </a:graphic>
          </wp:inline>
        </w:drawing>
      </w:r>
    </w:p>
    <w:p w14:paraId="34775AAA">
      <w:pPr>
        <w:tabs>
          <w:tab w:val="left" w:pos="720"/>
        </w:tabs>
        <w:spacing w:beforeAutospacing="1" w:afterAutospacing="1"/>
        <w:rPr>
          <w:rFonts w:hint="default"/>
          <w:lang w:val="en-US"/>
        </w:rPr>
      </w:pPr>
      <w:r>
        <w:rPr>
          <w:rFonts w:hint="default"/>
          <w:lang w:val="en-US"/>
        </w:rPr>
        <w:drawing>
          <wp:inline distT="0" distB="0" distL="114300" distR="114300">
            <wp:extent cx="5271135" cy="3613150"/>
            <wp:effectExtent l="0" t="0" r="1905" b="13970"/>
            <wp:docPr id="15" name="Picture 15" descr="Total Investments by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otal Investments by Age Group"/>
                    <pic:cNvPicPr>
                      <a:picLocks noChangeAspect="1"/>
                    </pic:cNvPicPr>
                  </pic:nvPicPr>
                  <pic:blipFill>
                    <a:blip r:embed="rId16"/>
                    <a:stretch>
                      <a:fillRect/>
                    </a:stretch>
                  </pic:blipFill>
                  <pic:spPr>
                    <a:xfrm>
                      <a:off x="0" y="0"/>
                      <a:ext cx="5271135" cy="3613150"/>
                    </a:xfrm>
                    <a:prstGeom prst="rect">
                      <a:avLst/>
                    </a:prstGeom>
                  </pic:spPr>
                </pic:pic>
              </a:graphicData>
            </a:graphic>
          </wp:inline>
        </w:drawing>
      </w:r>
    </w:p>
    <w:p w14:paraId="0D025C7E">
      <w:pPr>
        <w:pStyle w:val="3"/>
        <w:rPr>
          <w:rStyle w:val="8"/>
          <w:rFonts w:hint="default"/>
          <w:b/>
          <w:bCs/>
          <w:sz w:val="48"/>
          <w:szCs w:val="48"/>
          <w:lang w:val="en-US"/>
        </w:rPr>
      </w:pPr>
      <w:r>
        <w:rPr>
          <w:rStyle w:val="8"/>
          <w:rFonts w:hint="default"/>
          <w:b/>
          <w:bCs/>
          <w:sz w:val="48"/>
          <w:szCs w:val="48"/>
          <w:lang w:val="en-US"/>
        </w:rPr>
        <w:drawing>
          <wp:inline distT="0" distB="0" distL="114300" distR="114300">
            <wp:extent cx="5268595" cy="5450840"/>
            <wp:effectExtent l="0" t="0" r="4445" b="5080"/>
            <wp:docPr id="13" name="Picture 13" descr="Pie Chart Proportion of Investments by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e Chart Proportion of Investments by Age Group"/>
                    <pic:cNvPicPr>
                      <a:picLocks noChangeAspect="1"/>
                    </pic:cNvPicPr>
                  </pic:nvPicPr>
                  <pic:blipFill>
                    <a:blip r:embed="rId17"/>
                    <a:stretch>
                      <a:fillRect/>
                    </a:stretch>
                  </pic:blipFill>
                  <pic:spPr>
                    <a:xfrm>
                      <a:off x="0" y="0"/>
                      <a:ext cx="5268595" cy="5450840"/>
                    </a:xfrm>
                    <a:prstGeom prst="rect">
                      <a:avLst/>
                    </a:prstGeom>
                  </pic:spPr>
                </pic:pic>
              </a:graphicData>
            </a:graphic>
          </wp:inline>
        </w:drawing>
      </w:r>
    </w:p>
    <w:p w14:paraId="3F87CCE6">
      <w:pPr>
        <w:pStyle w:val="3"/>
        <w:numPr>
          <w:numId w:val="0"/>
        </w:numPr>
        <w:rPr>
          <w:rFonts w:hint="default"/>
          <w:lang w:val="en-US"/>
        </w:rPr>
      </w:pPr>
      <w:r>
        <w:rPr>
          <w:rStyle w:val="8"/>
          <w:rFonts w:hint="default"/>
          <w:b/>
          <w:bCs/>
          <w:sz w:val="48"/>
          <w:szCs w:val="48"/>
          <w:lang w:val="en-US"/>
        </w:rPr>
        <w:t xml:space="preserve">4. Salient </w:t>
      </w:r>
      <w:r>
        <w:rPr>
          <w:rStyle w:val="8"/>
          <w:b/>
          <w:bCs/>
          <w:sz w:val="48"/>
          <w:szCs w:val="48"/>
        </w:rPr>
        <w:t>Insights</w:t>
      </w:r>
      <w:r>
        <w:rPr>
          <w:rStyle w:val="8"/>
          <w:rFonts w:hint="default"/>
          <w:b/>
          <w:bCs/>
          <w:sz w:val="48"/>
          <w:szCs w:val="48"/>
          <w:lang w:val="en-US"/>
        </w:rPr>
        <w:t xml:space="preserve"> from the affiliates analytics on the Investments made through from July 2024</w:t>
      </w:r>
    </w:p>
    <w:p w14:paraId="731438A7">
      <w:pPr>
        <w:numPr>
          <w:ilvl w:val="0"/>
          <w:numId w:val="2"/>
        </w:numPr>
        <w:spacing w:beforeAutospacing="1" w:afterAutospacing="1"/>
        <w:rPr>
          <w:rStyle w:val="8"/>
          <w:rFonts w:hint="default"/>
          <w:b/>
          <w:bCs/>
          <w:sz w:val="48"/>
          <w:szCs w:val="48"/>
          <w:lang w:val="en-US"/>
        </w:rPr>
      </w:pPr>
      <w:r>
        <w:rPr>
          <w:rFonts w:hint="default"/>
          <w:sz w:val="32"/>
          <w:szCs w:val="32"/>
          <w:lang w:val="en-US"/>
        </w:rPr>
        <w:t xml:space="preserve">More Investors were massively recorded in </w:t>
      </w:r>
      <w:r>
        <w:rPr>
          <w:rFonts w:hint="default"/>
          <w:b/>
          <w:bCs/>
          <w:sz w:val="32"/>
          <w:szCs w:val="32"/>
          <w:lang w:val="en-US"/>
        </w:rPr>
        <w:t>July</w:t>
      </w:r>
      <w:r>
        <w:rPr>
          <w:rStyle w:val="8"/>
          <w:sz w:val="32"/>
          <w:szCs w:val="32"/>
        </w:rPr>
        <w:t xml:space="preserve"> 2024</w:t>
      </w:r>
      <w:r>
        <w:rPr>
          <w:sz w:val="32"/>
          <w:szCs w:val="32"/>
        </w:rPr>
        <w:t xml:space="preserve">, </w:t>
      </w:r>
      <w:r>
        <w:rPr>
          <w:rFonts w:hint="default"/>
          <w:sz w:val="32"/>
          <w:szCs w:val="32"/>
          <w:lang w:val="en-US"/>
        </w:rPr>
        <w:t xml:space="preserve">and closely trailed by </w:t>
      </w:r>
      <w:r>
        <w:rPr>
          <w:rFonts w:hint="default"/>
          <w:b/>
          <w:bCs/>
          <w:sz w:val="32"/>
          <w:szCs w:val="32"/>
          <w:lang w:val="en-US"/>
        </w:rPr>
        <w:t xml:space="preserve">August 2024 </w:t>
      </w:r>
      <w:r>
        <w:rPr>
          <w:rFonts w:hint="default"/>
          <w:sz w:val="32"/>
          <w:szCs w:val="32"/>
          <w:lang w:val="en-US"/>
        </w:rPr>
        <w:t xml:space="preserve">where three investors came via affiliates, then no investor was recorded during the remaining five month except in </w:t>
      </w:r>
      <w:r>
        <w:rPr>
          <w:rFonts w:hint="default"/>
          <w:b/>
          <w:bCs/>
          <w:sz w:val="32"/>
          <w:szCs w:val="32"/>
          <w:lang w:val="en-US"/>
        </w:rPr>
        <w:t>October 2024</w:t>
      </w:r>
      <w:r>
        <w:rPr>
          <w:rFonts w:hint="default"/>
          <w:sz w:val="32"/>
          <w:szCs w:val="32"/>
          <w:lang w:val="en-US"/>
        </w:rPr>
        <w:t xml:space="preserve"> where just one investor was recorded via affiliates.</w:t>
      </w:r>
    </w:p>
    <w:p w14:paraId="0B9103DE">
      <w:pPr>
        <w:numPr>
          <w:ilvl w:val="0"/>
          <w:numId w:val="2"/>
        </w:numPr>
        <w:spacing w:beforeAutospacing="1" w:afterAutospacing="1"/>
        <w:rPr>
          <w:rStyle w:val="8"/>
          <w:rFonts w:hint="default"/>
          <w:b/>
          <w:bCs/>
          <w:sz w:val="48"/>
          <w:szCs w:val="48"/>
          <w:lang w:val="en-US"/>
        </w:rPr>
      </w:pPr>
      <w:r>
        <w:rPr>
          <w:rFonts w:hint="default"/>
          <w:b w:val="0"/>
          <w:bCs w:val="0"/>
          <w:sz w:val="32"/>
          <w:szCs w:val="32"/>
          <w:lang w:val="en-US"/>
        </w:rPr>
        <w:t xml:space="preserve">Out of the seven month period where the analytics was carried out on, investors came via affiliates in just three months which were in </w:t>
      </w:r>
      <w:r>
        <w:rPr>
          <w:rFonts w:hint="default"/>
          <w:b/>
          <w:bCs/>
          <w:sz w:val="32"/>
          <w:szCs w:val="32"/>
          <w:lang w:val="en-US"/>
        </w:rPr>
        <w:t>July 2024</w:t>
      </w:r>
      <w:r>
        <w:rPr>
          <w:rFonts w:hint="default"/>
          <w:b w:val="0"/>
          <w:bCs w:val="0"/>
          <w:sz w:val="32"/>
          <w:szCs w:val="32"/>
          <w:lang w:val="en-US"/>
        </w:rPr>
        <w:t xml:space="preserve">, </w:t>
      </w:r>
      <w:r>
        <w:rPr>
          <w:rFonts w:hint="default"/>
          <w:b/>
          <w:bCs/>
          <w:sz w:val="32"/>
          <w:szCs w:val="32"/>
          <w:lang w:val="en-US"/>
        </w:rPr>
        <w:t>August 2024</w:t>
      </w:r>
      <w:r>
        <w:rPr>
          <w:rFonts w:hint="default"/>
          <w:b w:val="0"/>
          <w:bCs w:val="0"/>
          <w:sz w:val="32"/>
          <w:szCs w:val="32"/>
          <w:lang w:val="en-US"/>
        </w:rPr>
        <w:t xml:space="preserve"> and </w:t>
      </w:r>
      <w:r>
        <w:rPr>
          <w:rFonts w:hint="default"/>
          <w:b/>
          <w:bCs/>
          <w:sz w:val="32"/>
          <w:szCs w:val="32"/>
          <w:lang w:val="en-US"/>
        </w:rPr>
        <w:t>October 2024</w:t>
      </w:r>
      <w:r>
        <w:rPr>
          <w:rFonts w:hint="default"/>
          <w:b w:val="0"/>
          <w:bCs w:val="0"/>
          <w:sz w:val="32"/>
          <w:szCs w:val="32"/>
          <w:lang w:val="en-US"/>
        </w:rPr>
        <w:t>.</w:t>
      </w:r>
    </w:p>
    <w:p w14:paraId="08F259EF">
      <w:pPr>
        <w:numPr>
          <w:ilvl w:val="0"/>
          <w:numId w:val="3"/>
        </w:numPr>
        <w:spacing w:beforeAutospacing="1" w:afterAutospacing="1"/>
        <w:rPr>
          <w:sz w:val="32"/>
          <w:szCs w:val="32"/>
        </w:rPr>
      </w:pPr>
      <w:r>
        <w:rPr>
          <w:rFonts w:hint="default"/>
          <w:sz w:val="32"/>
          <w:szCs w:val="32"/>
          <w:lang w:val="en-US"/>
        </w:rPr>
        <w:t>Based on the Doughnut</w:t>
      </w:r>
      <w:r>
        <w:rPr>
          <w:sz w:val="32"/>
          <w:szCs w:val="32"/>
        </w:rPr>
        <w:t xml:space="preserve"> chart analysis indicated </w:t>
      </w:r>
      <w:r>
        <w:rPr>
          <w:rFonts w:hint="default"/>
          <w:sz w:val="32"/>
          <w:szCs w:val="32"/>
          <w:lang w:val="en-US"/>
        </w:rPr>
        <w:t>below in the third image below, customers that came via affiliates were lower accruing a lower</w:t>
      </w:r>
      <w:r>
        <w:rPr>
          <w:sz w:val="32"/>
          <w:szCs w:val="32"/>
        </w:rPr>
        <w:t xml:space="preserve"> </w:t>
      </w:r>
      <w:r>
        <w:rPr>
          <w:rFonts w:hint="default"/>
          <w:b/>
          <w:bCs/>
          <w:sz w:val="32"/>
          <w:szCs w:val="32"/>
          <w:lang w:val="en-US"/>
        </w:rPr>
        <w:t>30</w:t>
      </w:r>
      <w:r>
        <w:rPr>
          <w:b/>
          <w:bCs/>
          <w:sz w:val="32"/>
          <w:szCs w:val="32"/>
        </w:rPr>
        <w:t>.</w:t>
      </w:r>
      <w:r>
        <w:rPr>
          <w:rFonts w:hint="default"/>
          <w:b/>
          <w:bCs/>
          <w:sz w:val="32"/>
          <w:szCs w:val="32"/>
          <w:lang w:val="en-US"/>
        </w:rPr>
        <w:t>8</w:t>
      </w:r>
      <w:r>
        <w:rPr>
          <w:b/>
          <w:bCs/>
          <w:sz w:val="32"/>
          <w:szCs w:val="32"/>
        </w:rPr>
        <w:t>%</w:t>
      </w:r>
      <w:r>
        <w:rPr>
          <w:sz w:val="32"/>
          <w:szCs w:val="32"/>
        </w:rPr>
        <w:t xml:space="preserve"> percentage </w:t>
      </w:r>
      <w:r>
        <w:rPr>
          <w:rFonts w:hint="default"/>
          <w:sz w:val="32"/>
          <w:szCs w:val="32"/>
          <w:lang w:val="en-US"/>
        </w:rPr>
        <w:t xml:space="preserve">compared to the customers that didn’t come through affiliates which had a massive </w:t>
      </w:r>
      <w:r>
        <w:rPr>
          <w:rFonts w:hint="default"/>
          <w:b/>
          <w:bCs/>
          <w:sz w:val="32"/>
          <w:szCs w:val="32"/>
          <w:lang w:val="en-US"/>
        </w:rPr>
        <w:t>69.2</w:t>
      </w:r>
      <w:r>
        <w:rPr>
          <w:b/>
          <w:bCs/>
          <w:sz w:val="32"/>
          <w:szCs w:val="32"/>
        </w:rPr>
        <w:t>%</w:t>
      </w:r>
      <w:r>
        <w:rPr>
          <w:sz w:val="32"/>
          <w:szCs w:val="32"/>
        </w:rPr>
        <w:t>.</w:t>
      </w:r>
    </w:p>
    <w:p w14:paraId="00D523E2">
      <w:pPr>
        <w:numPr>
          <w:ilvl w:val="0"/>
          <w:numId w:val="2"/>
        </w:numPr>
        <w:spacing w:beforeAutospacing="1" w:afterAutospacing="1"/>
        <w:rPr>
          <w:rStyle w:val="8"/>
          <w:rFonts w:hint="default"/>
          <w:b/>
          <w:bCs/>
          <w:sz w:val="48"/>
          <w:szCs w:val="48"/>
          <w:lang w:val="en-US"/>
        </w:rPr>
      </w:pPr>
      <w:r>
        <w:rPr>
          <w:rStyle w:val="8"/>
          <w:rFonts w:hint="default"/>
          <w:b w:val="0"/>
          <w:bCs w:val="0"/>
          <w:sz w:val="32"/>
          <w:szCs w:val="32"/>
          <w:lang w:val="en-US"/>
        </w:rPr>
        <w:t>Mr. Kiki Michael brought in a whopping Six(6) investors which is the highest and unmatched by the other two affiliates that trailed him by one(1) each; who are Ms. Ajagun Jesuseuntitun and Mr. Emiko Okome.</w:t>
      </w:r>
    </w:p>
    <w:p w14:paraId="378A221E">
      <w:pPr>
        <w:pStyle w:val="3"/>
        <w:rPr>
          <w:rStyle w:val="8"/>
          <w:rFonts w:hint="default"/>
          <w:b/>
          <w:bCs/>
          <w:sz w:val="48"/>
          <w:szCs w:val="48"/>
          <w:lang w:val="en-US"/>
        </w:rPr>
      </w:pPr>
      <w:r>
        <w:rPr>
          <w:rStyle w:val="8"/>
          <w:rFonts w:hint="default"/>
          <w:b/>
          <w:bCs/>
          <w:sz w:val="48"/>
          <w:szCs w:val="48"/>
          <w:lang w:val="en-US"/>
        </w:rPr>
        <w:drawing>
          <wp:inline distT="0" distB="0" distL="114300" distR="114300">
            <wp:extent cx="5272405" cy="3466465"/>
            <wp:effectExtent l="0" t="0" r="635" b="8255"/>
            <wp:docPr id="18" name="Picture 18" descr="Heatmap of Affiliate vs Non-Affliate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eatmap of Affiliate vs Non-Affliate Customers"/>
                    <pic:cNvPicPr>
                      <a:picLocks noChangeAspect="1"/>
                    </pic:cNvPicPr>
                  </pic:nvPicPr>
                  <pic:blipFill>
                    <a:blip r:embed="rId18"/>
                    <a:stretch>
                      <a:fillRect/>
                    </a:stretch>
                  </pic:blipFill>
                  <pic:spPr>
                    <a:xfrm>
                      <a:off x="0" y="0"/>
                      <a:ext cx="5272405" cy="3466465"/>
                    </a:xfrm>
                    <a:prstGeom prst="rect">
                      <a:avLst/>
                    </a:prstGeom>
                  </pic:spPr>
                </pic:pic>
              </a:graphicData>
            </a:graphic>
          </wp:inline>
        </w:drawing>
      </w:r>
    </w:p>
    <w:p w14:paraId="4C7650ED">
      <w:pPr>
        <w:pStyle w:val="3"/>
        <w:rPr>
          <w:rStyle w:val="8"/>
          <w:rFonts w:hint="default"/>
          <w:b/>
          <w:bCs/>
          <w:sz w:val="48"/>
          <w:szCs w:val="48"/>
          <w:lang w:val="en-US"/>
        </w:rPr>
      </w:pPr>
      <w:r>
        <w:rPr>
          <w:rStyle w:val="8"/>
          <w:rFonts w:hint="default"/>
          <w:b/>
          <w:bCs/>
          <w:sz w:val="48"/>
          <w:szCs w:val="48"/>
          <w:lang w:val="en-US"/>
        </w:rPr>
        <w:drawing>
          <wp:inline distT="0" distB="0" distL="114300" distR="114300">
            <wp:extent cx="5266690" cy="2915920"/>
            <wp:effectExtent l="0" t="0" r="6350" b="10160"/>
            <wp:docPr id="19" name="Picture 19" descr="Growth Trend of Affl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owth Trend of Affliates"/>
                    <pic:cNvPicPr>
                      <a:picLocks noChangeAspect="1"/>
                    </pic:cNvPicPr>
                  </pic:nvPicPr>
                  <pic:blipFill>
                    <a:blip r:embed="rId19"/>
                    <a:stretch>
                      <a:fillRect/>
                    </a:stretch>
                  </pic:blipFill>
                  <pic:spPr>
                    <a:xfrm>
                      <a:off x="0" y="0"/>
                      <a:ext cx="5266690" cy="2915920"/>
                    </a:xfrm>
                    <a:prstGeom prst="rect">
                      <a:avLst/>
                    </a:prstGeom>
                  </pic:spPr>
                </pic:pic>
              </a:graphicData>
            </a:graphic>
          </wp:inline>
        </w:drawing>
      </w:r>
    </w:p>
    <w:p w14:paraId="2CF2E3D8">
      <w:pPr>
        <w:pStyle w:val="3"/>
        <w:rPr>
          <w:rStyle w:val="8"/>
          <w:rFonts w:hint="default"/>
          <w:b/>
          <w:bCs/>
          <w:sz w:val="48"/>
          <w:szCs w:val="48"/>
          <w:lang w:val="en-US"/>
        </w:rPr>
      </w:pPr>
      <w:r>
        <w:rPr>
          <w:rStyle w:val="8"/>
          <w:rFonts w:hint="default"/>
          <w:b/>
          <w:bCs/>
          <w:sz w:val="48"/>
          <w:szCs w:val="48"/>
          <w:lang w:val="en-US"/>
        </w:rPr>
        <w:drawing>
          <wp:inline distT="0" distB="0" distL="114300" distR="114300">
            <wp:extent cx="4398010" cy="4608830"/>
            <wp:effectExtent l="0" t="0" r="6350" b="8890"/>
            <wp:docPr id="21" name="Picture 21" descr="Doughnut Chart Affiliate vs. Non-Affiliate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oughnut Chart Affiliate vs. Non-Affiliate Customers"/>
                    <pic:cNvPicPr>
                      <a:picLocks noChangeAspect="1"/>
                    </pic:cNvPicPr>
                  </pic:nvPicPr>
                  <pic:blipFill>
                    <a:blip r:embed="rId20"/>
                    <a:stretch>
                      <a:fillRect/>
                    </a:stretch>
                  </pic:blipFill>
                  <pic:spPr>
                    <a:xfrm>
                      <a:off x="0" y="0"/>
                      <a:ext cx="4398010" cy="4608830"/>
                    </a:xfrm>
                    <a:prstGeom prst="rect">
                      <a:avLst/>
                    </a:prstGeom>
                  </pic:spPr>
                </pic:pic>
              </a:graphicData>
            </a:graphic>
          </wp:inline>
        </w:drawing>
      </w:r>
    </w:p>
    <w:p w14:paraId="0A0BD5A5">
      <w:pPr>
        <w:pStyle w:val="3"/>
        <w:rPr>
          <w:rStyle w:val="8"/>
          <w:rFonts w:hint="default"/>
          <w:b/>
          <w:bCs/>
          <w:sz w:val="48"/>
          <w:szCs w:val="48"/>
          <w:lang w:val="en-US"/>
        </w:rPr>
      </w:pPr>
      <w:r>
        <w:rPr>
          <w:rStyle w:val="8"/>
          <w:rFonts w:hint="default"/>
          <w:b/>
          <w:bCs/>
          <w:sz w:val="48"/>
          <w:szCs w:val="48"/>
          <w:lang w:val="en-US"/>
        </w:rPr>
        <w:drawing>
          <wp:inline distT="0" distB="0" distL="114300" distR="114300">
            <wp:extent cx="5266690" cy="3283585"/>
            <wp:effectExtent l="0" t="0" r="6350" b="8255"/>
            <wp:docPr id="23" name="Picture 23" descr="Number of Customers Through Affiliates Per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umber of Customers Through Affiliates Per Month"/>
                    <pic:cNvPicPr>
                      <a:picLocks noChangeAspect="1"/>
                    </pic:cNvPicPr>
                  </pic:nvPicPr>
                  <pic:blipFill>
                    <a:blip r:embed="rId21"/>
                    <a:stretch>
                      <a:fillRect/>
                    </a:stretch>
                  </pic:blipFill>
                  <pic:spPr>
                    <a:xfrm>
                      <a:off x="0" y="0"/>
                      <a:ext cx="5266690" cy="3283585"/>
                    </a:xfrm>
                    <a:prstGeom prst="rect">
                      <a:avLst/>
                    </a:prstGeom>
                  </pic:spPr>
                </pic:pic>
              </a:graphicData>
            </a:graphic>
          </wp:inline>
        </w:drawing>
      </w:r>
    </w:p>
    <w:p w14:paraId="71A32E55">
      <w:pPr>
        <w:pStyle w:val="3"/>
        <w:rPr>
          <w:rStyle w:val="8"/>
          <w:rFonts w:hint="default"/>
          <w:b/>
          <w:bCs/>
          <w:sz w:val="48"/>
          <w:szCs w:val="48"/>
          <w:lang w:val="en-US"/>
        </w:rPr>
      </w:pPr>
      <w:r>
        <w:rPr>
          <w:rStyle w:val="8"/>
          <w:rFonts w:hint="default"/>
          <w:b/>
          <w:bCs/>
          <w:sz w:val="48"/>
          <w:szCs w:val="48"/>
          <w:lang w:val="en-US"/>
        </w:rPr>
        <w:drawing>
          <wp:inline distT="0" distB="0" distL="114300" distR="114300">
            <wp:extent cx="5266690" cy="2915920"/>
            <wp:effectExtent l="0" t="0" r="6350" b="10160"/>
            <wp:docPr id="24" name="Picture 24" descr="Stacked Area Chart Trend of Affiliate vs. Non-Affiliate Customer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acked Area Chart Trend of Affiliate vs. Non-Affiliate Customers Over Time"/>
                    <pic:cNvPicPr>
                      <a:picLocks noChangeAspect="1"/>
                    </pic:cNvPicPr>
                  </pic:nvPicPr>
                  <pic:blipFill>
                    <a:blip r:embed="rId22"/>
                    <a:stretch>
                      <a:fillRect/>
                    </a:stretch>
                  </pic:blipFill>
                  <pic:spPr>
                    <a:xfrm>
                      <a:off x="0" y="0"/>
                      <a:ext cx="5266690" cy="2915920"/>
                    </a:xfrm>
                    <a:prstGeom prst="rect">
                      <a:avLst/>
                    </a:prstGeom>
                  </pic:spPr>
                </pic:pic>
              </a:graphicData>
            </a:graphic>
          </wp:inline>
        </w:drawing>
      </w:r>
    </w:p>
    <w:p w14:paraId="2F3BEC56">
      <w:pPr>
        <w:rPr>
          <w:rFonts w:hint="default"/>
          <w:lang w:val="en-US"/>
        </w:rPr>
      </w:pPr>
      <w:r>
        <w:rPr>
          <w:rFonts w:hint="default"/>
          <w:lang w:val="en-US"/>
        </w:rPr>
        <w:drawing>
          <wp:inline distT="0" distB="0" distL="114300" distR="114300">
            <wp:extent cx="5266690" cy="4253230"/>
            <wp:effectExtent l="0" t="0" r="6350" b="13970"/>
            <wp:docPr id="27" name="Picture 27" descr="Bubble Chart of Top Affil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ubble Chart of Top Affiliates"/>
                    <pic:cNvPicPr>
                      <a:picLocks noChangeAspect="1"/>
                    </pic:cNvPicPr>
                  </pic:nvPicPr>
                  <pic:blipFill>
                    <a:blip r:embed="rId23"/>
                    <a:stretch>
                      <a:fillRect/>
                    </a:stretch>
                  </pic:blipFill>
                  <pic:spPr>
                    <a:xfrm>
                      <a:off x="0" y="0"/>
                      <a:ext cx="5266690" cy="4253230"/>
                    </a:xfrm>
                    <a:prstGeom prst="rect">
                      <a:avLst/>
                    </a:prstGeom>
                  </pic:spPr>
                </pic:pic>
              </a:graphicData>
            </a:graphic>
          </wp:inline>
        </w:drawing>
      </w:r>
    </w:p>
    <w:p w14:paraId="3D1810AD">
      <w:pPr>
        <w:rPr>
          <w:rFonts w:hint="default"/>
          <w:lang w:val="en-US"/>
        </w:rPr>
      </w:pPr>
      <w:r>
        <w:rPr>
          <w:rFonts w:hint="default"/>
          <w:lang w:val="en-US"/>
        </w:rPr>
        <w:drawing>
          <wp:inline distT="0" distB="0" distL="114300" distR="114300">
            <wp:extent cx="5273040" cy="2850515"/>
            <wp:effectExtent l="0" t="0" r="0" b="14605"/>
            <wp:docPr id="25" name="Picture 25" descr="Top Affiliates Word Clou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op Affiliates Word Cloud 2"/>
                    <pic:cNvPicPr>
                      <a:picLocks noChangeAspect="1"/>
                    </pic:cNvPicPr>
                  </pic:nvPicPr>
                  <pic:blipFill>
                    <a:blip r:embed="rId24"/>
                    <a:stretch>
                      <a:fillRect/>
                    </a:stretch>
                  </pic:blipFill>
                  <pic:spPr>
                    <a:xfrm>
                      <a:off x="0" y="0"/>
                      <a:ext cx="5273040" cy="2850515"/>
                    </a:xfrm>
                    <a:prstGeom prst="rect">
                      <a:avLst/>
                    </a:prstGeom>
                  </pic:spPr>
                </pic:pic>
              </a:graphicData>
            </a:graphic>
          </wp:inline>
        </w:drawing>
      </w:r>
    </w:p>
    <w:p w14:paraId="0AA294AC">
      <w:pPr>
        <w:pStyle w:val="3"/>
        <w:rPr>
          <w:rStyle w:val="8"/>
          <w:rFonts w:hint="default"/>
          <w:b/>
          <w:bCs/>
          <w:sz w:val="48"/>
          <w:szCs w:val="48"/>
          <w:lang w:val="en-US"/>
        </w:rPr>
      </w:pPr>
    </w:p>
    <w:p w14:paraId="0469A13A">
      <w:pPr>
        <w:pStyle w:val="3"/>
        <w:rPr>
          <w:rFonts w:hint="default"/>
          <w:sz w:val="48"/>
          <w:szCs w:val="48"/>
        </w:rPr>
      </w:pPr>
      <w:r>
        <w:rPr>
          <w:rStyle w:val="8"/>
          <w:rFonts w:hint="default"/>
          <w:b/>
          <w:bCs/>
          <w:sz w:val="48"/>
          <w:szCs w:val="48"/>
          <w:lang w:val="en-US"/>
        </w:rPr>
        <w:t>5</w:t>
      </w:r>
      <w:r>
        <w:rPr>
          <w:rStyle w:val="8"/>
          <w:b/>
          <w:bCs/>
          <w:sz w:val="48"/>
          <w:szCs w:val="48"/>
        </w:rPr>
        <w:t>. Recommendations</w:t>
      </w:r>
    </w:p>
    <w:p w14:paraId="16C86617">
      <w:pPr>
        <w:pStyle w:val="7"/>
        <w:rPr>
          <w:i/>
          <w:iCs/>
          <w:sz w:val="28"/>
          <w:szCs w:val="28"/>
        </w:rPr>
      </w:pPr>
      <w:r>
        <w:rPr>
          <w:i/>
          <w:iCs/>
          <w:sz w:val="28"/>
          <w:szCs w:val="28"/>
        </w:rPr>
        <w:t>Based on the insights derived from this analysis, the following recommendations are proposed:</w:t>
      </w:r>
    </w:p>
    <w:p w14:paraId="43568EA3">
      <w:pPr>
        <w:numPr>
          <w:ilvl w:val="1"/>
          <w:numId w:val="4"/>
        </w:numPr>
        <w:spacing w:beforeAutospacing="1" w:afterAutospacing="1"/>
        <w:rPr>
          <w:sz w:val="32"/>
          <w:szCs w:val="32"/>
        </w:rPr>
      </w:pPr>
      <w:r>
        <w:rPr>
          <w:sz w:val="32"/>
          <w:szCs w:val="32"/>
        </w:rPr>
        <w:t xml:space="preserve">Enhance marketing efforts in months that show strong investor activity (e.g </w:t>
      </w:r>
      <w:r>
        <w:rPr>
          <w:rStyle w:val="8"/>
          <w:rFonts w:hint="default"/>
          <w:sz w:val="32"/>
          <w:szCs w:val="32"/>
          <w:lang w:val="en-US"/>
        </w:rPr>
        <w:t>July</w:t>
      </w:r>
      <w:r>
        <w:rPr>
          <w:sz w:val="32"/>
          <w:szCs w:val="32"/>
        </w:rPr>
        <w:t>).</w:t>
      </w:r>
    </w:p>
    <w:p w14:paraId="077DA175">
      <w:pPr>
        <w:numPr>
          <w:ilvl w:val="1"/>
          <w:numId w:val="4"/>
        </w:numPr>
        <w:spacing w:beforeAutospacing="1" w:afterAutospacing="1"/>
        <w:rPr>
          <w:sz w:val="32"/>
          <w:szCs w:val="32"/>
        </w:rPr>
      </w:pPr>
      <w:r>
        <w:rPr>
          <w:sz w:val="32"/>
          <w:szCs w:val="32"/>
        </w:rPr>
        <w:t xml:space="preserve">Introduce more </w:t>
      </w:r>
      <w:r>
        <w:rPr>
          <w:rStyle w:val="8"/>
          <w:sz w:val="32"/>
          <w:szCs w:val="32"/>
        </w:rPr>
        <w:t>incentives or promotional offers</w:t>
      </w:r>
      <w:r>
        <w:rPr>
          <w:sz w:val="32"/>
          <w:szCs w:val="32"/>
        </w:rPr>
        <w:t xml:space="preserve"> in months where investments decline (e.g </w:t>
      </w:r>
      <w:r>
        <w:rPr>
          <w:rStyle w:val="8"/>
          <w:rFonts w:hint="default"/>
          <w:sz w:val="32"/>
          <w:szCs w:val="32"/>
          <w:lang w:val="en-US"/>
        </w:rPr>
        <w:t>November 2024 to J</w:t>
      </w:r>
      <w:r>
        <w:rPr>
          <w:rStyle w:val="8"/>
          <w:sz w:val="32"/>
          <w:szCs w:val="32"/>
        </w:rPr>
        <w:t>anuary</w:t>
      </w:r>
      <w:r>
        <w:rPr>
          <w:rStyle w:val="8"/>
          <w:rFonts w:hint="default"/>
          <w:sz w:val="32"/>
          <w:szCs w:val="32"/>
          <w:lang w:val="en-US"/>
        </w:rPr>
        <w:t xml:space="preserve"> 2025</w:t>
      </w:r>
      <w:r>
        <w:rPr>
          <w:sz w:val="32"/>
          <w:szCs w:val="32"/>
        </w:rPr>
        <w:t>).</w:t>
      </w:r>
    </w:p>
    <w:p w14:paraId="1277BF69">
      <w:pPr>
        <w:numPr>
          <w:ilvl w:val="1"/>
          <w:numId w:val="4"/>
        </w:numPr>
        <w:spacing w:beforeAutospacing="1" w:afterAutospacing="1"/>
        <w:rPr>
          <w:sz w:val="32"/>
          <w:szCs w:val="32"/>
        </w:rPr>
      </w:pPr>
      <w:r>
        <w:rPr>
          <w:rFonts w:hint="default"/>
          <w:sz w:val="32"/>
          <w:szCs w:val="32"/>
          <w:lang w:val="en-US"/>
        </w:rPr>
        <w:t xml:space="preserve">Since more money was invested in </w:t>
      </w:r>
      <w:r>
        <w:rPr>
          <w:rFonts w:hint="default"/>
          <w:b/>
          <w:bCs/>
          <w:sz w:val="32"/>
          <w:szCs w:val="32"/>
          <w:lang w:val="en-US"/>
        </w:rPr>
        <w:t xml:space="preserve">October 2024 </w:t>
      </w:r>
      <w:r>
        <w:rPr>
          <w:rFonts w:hint="default"/>
          <w:b w:val="0"/>
          <w:bCs w:val="0"/>
          <w:sz w:val="32"/>
          <w:szCs w:val="32"/>
          <w:lang w:val="en-US"/>
        </w:rPr>
        <w:t xml:space="preserve"> </w:t>
      </w:r>
      <w:r>
        <w:rPr>
          <w:rFonts w:hint="default"/>
          <w:sz w:val="32"/>
          <w:szCs w:val="32"/>
          <w:lang w:val="en-US"/>
        </w:rPr>
        <w:t xml:space="preserve">and closely followed by </w:t>
      </w:r>
      <w:r>
        <w:rPr>
          <w:rFonts w:hint="default"/>
          <w:b/>
          <w:bCs/>
          <w:sz w:val="32"/>
          <w:szCs w:val="32"/>
          <w:lang w:val="en-US"/>
        </w:rPr>
        <w:t>July 2024</w:t>
      </w:r>
      <w:r>
        <w:rPr>
          <w:rFonts w:hint="default"/>
          <w:b w:val="0"/>
          <w:bCs w:val="0"/>
          <w:sz w:val="32"/>
          <w:szCs w:val="32"/>
          <w:lang w:val="en-US"/>
        </w:rPr>
        <w:t>, so more attentions on sales increase should be placed on those two months as well as intense marketing should be placed on the other five months where the sales recorded was substantially lower.</w:t>
      </w:r>
    </w:p>
    <w:p w14:paraId="0EDAF825">
      <w:pPr>
        <w:numPr>
          <w:ilvl w:val="1"/>
          <w:numId w:val="4"/>
        </w:numPr>
        <w:spacing w:beforeAutospacing="1" w:afterAutospacing="1"/>
        <w:rPr>
          <w:sz w:val="32"/>
          <w:szCs w:val="32"/>
        </w:rPr>
      </w:pPr>
      <w:r>
        <w:rPr>
          <w:rFonts w:hint="default"/>
          <w:b w:val="0"/>
          <w:bCs w:val="0"/>
          <w:sz w:val="32"/>
          <w:szCs w:val="32"/>
          <w:lang w:val="en-US"/>
        </w:rPr>
        <w:t>While checking the 3D affiliates chart which is the third image below, where more investors came via affiliates in just three months so ways should be to get more affiliates on board with packages and benefits to entice them.</w:t>
      </w:r>
    </w:p>
    <w:p w14:paraId="7C84B3F7">
      <w:pPr>
        <w:tabs>
          <w:tab w:val="left" w:pos="720"/>
        </w:tabs>
        <w:spacing w:beforeAutospacing="1" w:afterAutospacing="1"/>
        <w:rPr>
          <w:rFonts w:hint="default"/>
          <w:b/>
          <w:bCs/>
          <w:lang w:val="en-US"/>
        </w:rPr>
      </w:pPr>
      <w:r>
        <w:rPr>
          <w:rFonts w:hint="default"/>
          <w:b/>
          <w:bCs/>
          <w:lang w:val="en-US"/>
        </w:rPr>
        <w:drawing>
          <wp:inline distT="0" distB="0" distL="114300" distR="114300">
            <wp:extent cx="5266690" cy="3317875"/>
            <wp:effectExtent l="0" t="0" r="6350" b="4445"/>
            <wp:docPr id="10" name="Picture 10" descr="Monthly Investment Sales Bar Char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nthly Investment Sales Bar Chart Visualization"/>
                    <pic:cNvPicPr>
                      <a:picLocks noChangeAspect="1"/>
                    </pic:cNvPicPr>
                  </pic:nvPicPr>
                  <pic:blipFill>
                    <a:blip r:embed="rId25"/>
                    <a:stretch>
                      <a:fillRect/>
                    </a:stretch>
                  </pic:blipFill>
                  <pic:spPr>
                    <a:xfrm>
                      <a:off x="0" y="0"/>
                      <a:ext cx="5266690" cy="3317875"/>
                    </a:xfrm>
                    <a:prstGeom prst="rect">
                      <a:avLst/>
                    </a:prstGeom>
                  </pic:spPr>
                </pic:pic>
              </a:graphicData>
            </a:graphic>
          </wp:inline>
        </w:drawing>
      </w:r>
    </w:p>
    <w:p w14:paraId="61B7B255">
      <w:pPr>
        <w:tabs>
          <w:tab w:val="left" w:pos="720"/>
        </w:tabs>
        <w:spacing w:beforeAutospacing="1" w:afterAutospacing="1"/>
        <w:rPr>
          <w:rFonts w:hint="default"/>
          <w:b/>
          <w:bCs/>
          <w:lang w:val="en-US"/>
        </w:rPr>
      </w:pPr>
      <w:r>
        <w:rPr>
          <w:rFonts w:hint="default"/>
          <w:b/>
          <w:bCs/>
          <w:lang w:val="en-US"/>
        </w:rPr>
        <w:drawing>
          <wp:inline distT="0" distB="0" distL="114300" distR="114300">
            <wp:extent cx="5271135" cy="3613150"/>
            <wp:effectExtent l="0" t="0" r="1905" b="13970"/>
            <wp:docPr id="14" name="Picture 14" descr="Distribution of Land Type Purchased by Ag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stribution of Land Type Purchased by Age Group"/>
                    <pic:cNvPicPr>
                      <a:picLocks noChangeAspect="1"/>
                    </pic:cNvPicPr>
                  </pic:nvPicPr>
                  <pic:blipFill>
                    <a:blip r:embed="rId26"/>
                    <a:stretch>
                      <a:fillRect/>
                    </a:stretch>
                  </pic:blipFill>
                  <pic:spPr>
                    <a:xfrm>
                      <a:off x="0" y="0"/>
                      <a:ext cx="5271135" cy="3613150"/>
                    </a:xfrm>
                    <a:prstGeom prst="rect">
                      <a:avLst/>
                    </a:prstGeom>
                  </pic:spPr>
                </pic:pic>
              </a:graphicData>
            </a:graphic>
          </wp:inline>
        </w:drawing>
      </w:r>
    </w:p>
    <w:p w14:paraId="16478CD0">
      <w:pPr>
        <w:tabs>
          <w:tab w:val="left" w:pos="720"/>
        </w:tabs>
        <w:spacing w:beforeAutospacing="1" w:afterAutospacing="1"/>
        <w:rPr>
          <w:rFonts w:hint="default"/>
          <w:b/>
          <w:bCs/>
          <w:lang w:val="en-US"/>
        </w:rPr>
      </w:pPr>
      <w:r>
        <w:rPr>
          <w:rFonts w:hint="default"/>
          <w:b/>
          <w:bCs/>
          <w:lang w:val="en-US"/>
        </w:rPr>
        <w:drawing>
          <wp:inline distT="0" distB="0" distL="114300" distR="114300">
            <wp:extent cx="5264150" cy="2119630"/>
            <wp:effectExtent l="0" t="0" r="8890" b="13970"/>
            <wp:docPr id="20" name="Picture 20" descr="3D Bar Chart of Affiliate vs. Non-Affiliate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D Bar Chart of Affiliate vs. Non-Affiliate Customers"/>
                    <pic:cNvPicPr>
                      <a:picLocks noChangeAspect="1"/>
                    </pic:cNvPicPr>
                  </pic:nvPicPr>
                  <pic:blipFill>
                    <a:blip r:embed="rId27"/>
                    <a:stretch>
                      <a:fillRect/>
                    </a:stretch>
                  </pic:blipFill>
                  <pic:spPr>
                    <a:xfrm>
                      <a:off x="0" y="0"/>
                      <a:ext cx="5264150" cy="2119630"/>
                    </a:xfrm>
                    <a:prstGeom prst="rect">
                      <a:avLst/>
                    </a:prstGeom>
                  </pic:spPr>
                </pic:pic>
              </a:graphicData>
            </a:graphic>
          </wp:inline>
        </w:drawing>
      </w:r>
    </w:p>
    <w:p w14:paraId="31436B62">
      <w:pPr>
        <w:tabs>
          <w:tab w:val="left" w:pos="720"/>
        </w:tabs>
        <w:spacing w:beforeAutospacing="1" w:afterAutospacing="1"/>
        <w:rPr>
          <w:rFonts w:hint="default"/>
          <w:b/>
          <w:bCs/>
          <w:lang w:val="en-US"/>
        </w:rPr>
      </w:pPr>
      <w:r>
        <w:rPr>
          <w:rFonts w:hint="default"/>
          <w:b/>
          <w:bCs/>
          <w:lang w:val="en-US"/>
        </w:rPr>
        <w:drawing>
          <wp:inline distT="0" distB="0" distL="114300" distR="114300">
            <wp:extent cx="5269230" cy="4382770"/>
            <wp:effectExtent l="0" t="0" r="3810" b="6350"/>
            <wp:docPr id="22" name="Picture 22" descr="Pie Chart Percentage of Customers Through Affiliates vs. Non-Affil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e Chart Percentage of Customers Through Affiliates vs. Non-Affiliates"/>
                    <pic:cNvPicPr>
                      <a:picLocks noChangeAspect="1"/>
                    </pic:cNvPicPr>
                  </pic:nvPicPr>
                  <pic:blipFill>
                    <a:blip r:embed="rId28"/>
                    <a:stretch>
                      <a:fillRect/>
                    </a:stretch>
                  </pic:blipFill>
                  <pic:spPr>
                    <a:xfrm>
                      <a:off x="0" y="0"/>
                      <a:ext cx="5269230" cy="4382770"/>
                    </a:xfrm>
                    <a:prstGeom prst="rect">
                      <a:avLst/>
                    </a:prstGeom>
                  </pic:spPr>
                </pic:pic>
              </a:graphicData>
            </a:graphic>
          </wp:inline>
        </w:drawing>
      </w:r>
    </w:p>
    <w:p w14:paraId="27DE4981">
      <w:pPr>
        <w:tabs>
          <w:tab w:val="left" w:pos="720"/>
        </w:tabs>
        <w:spacing w:beforeAutospacing="1" w:afterAutospacing="1"/>
        <w:rPr>
          <w:rFonts w:hint="default"/>
          <w:b/>
          <w:bCs/>
          <w:lang w:val="en-US"/>
        </w:rPr>
      </w:pPr>
      <w:r>
        <w:rPr>
          <w:rFonts w:hint="default"/>
          <w:b/>
          <w:bCs/>
          <w:lang w:val="en-US"/>
        </w:rPr>
        <w:drawing>
          <wp:inline distT="0" distB="0" distL="114300" distR="114300">
            <wp:extent cx="5271770" cy="3170555"/>
            <wp:effectExtent l="0" t="0" r="1270" b="14605"/>
            <wp:docPr id="16" name="Picture 16" descr="Investment Trend by Age Group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vestment Trend by Age Group over Time"/>
                    <pic:cNvPicPr>
                      <a:picLocks noChangeAspect="1"/>
                    </pic:cNvPicPr>
                  </pic:nvPicPr>
                  <pic:blipFill>
                    <a:blip r:embed="rId29"/>
                    <a:stretch>
                      <a:fillRect/>
                    </a:stretch>
                  </pic:blipFill>
                  <pic:spPr>
                    <a:xfrm>
                      <a:off x="0" y="0"/>
                      <a:ext cx="5271770" cy="3170555"/>
                    </a:xfrm>
                    <a:prstGeom prst="rect">
                      <a:avLst/>
                    </a:prstGeom>
                  </pic:spPr>
                </pic:pic>
              </a:graphicData>
            </a:graphic>
          </wp:inline>
        </w:drawing>
      </w:r>
    </w:p>
    <w:p w14:paraId="1FC444BC">
      <w:pPr>
        <w:pStyle w:val="7"/>
        <w:ind w:left="720"/>
        <w:rPr>
          <w:rStyle w:val="8"/>
          <w:rFonts w:hint="default"/>
          <w:sz w:val="32"/>
          <w:szCs w:val="32"/>
          <w:lang w:val="en-US"/>
        </w:rPr>
      </w:pPr>
      <w:r>
        <w:rPr>
          <w:rStyle w:val="8"/>
          <w:rFonts w:hint="default"/>
          <w:sz w:val="32"/>
          <w:szCs w:val="32"/>
          <w:lang w:val="en-US"/>
        </w:rPr>
        <w:drawing>
          <wp:inline distT="0" distB="0" distL="114300" distR="114300">
            <wp:extent cx="5274310" cy="3541395"/>
            <wp:effectExtent l="0" t="0" r="13970" b="9525"/>
            <wp:docPr id="26" name="Picture 26" descr="Customers Through Affiliates vs. Non-Affil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tomers Through Affiliates vs. Non-Affiliates"/>
                    <pic:cNvPicPr>
                      <a:picLocks noChangeAspect="1"/>
                    </pic:cNvPicPr>
                  </pic:nvPicPr>
                  <pic:blipFill>
                    <a:blip r:embed="rId30"/>
                    <a:stretch>
                      <a:fillRect/>
                    </a:stretch>
                  </pic:blipFill>
                  <pic:spPr>
                    <a:xfrm>
                      <a:off x="0" y="0"/>
                      <a:ext cx="5274310" cy="3541395"/>
                    </a:xfrm>
                    <a:prstGeom prst="rect">
                      <a:avLst/>
                    </a:prstGeom>
                  </pic:spPr>
                </pic:pic>
              </a:graphicData>
            </a:graphic>
          </wp:inline>
        </w:drawing>
      </w:r>
    </w:p>
    <w:p w14:paraId="700E8BF3">
      <w:pPr>
        <w:pStyle w:val="7"/>
        <w:ind w:left="720"/>
        <w:rPr>
          <w:rStyle w:val="8"/>
          <w:rFonts w:hint="default"/>
          <w:sz w:val="32"/>
          <w:szCs w:val="32"/>
          <w:lang w:val="en-US"/>
        </w:rPr>
      </w:pPr>
      <w:r>
        <w:rPr>
          <w:rStyle w:val="8"/>
          <w:rFonts w:hint="default"/>
          <w:sz w:val="32"/>
          <w:szCs w:val="32"/>
          <w:lang w:val="en-US"/>
        </w:rPr>
        <w:drawing>
          <wp:inline distT="0" distB="0" distL="114300" distR="114300">
            <wp:extent cx="5269230" cy="3332480"/>
            <wp:effectExtent l="0" t="0" r="3810" b="5080"/>
            <wp:docPr id="28" name="Picture 28" descr="Treemap of Top Affil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of Top Affiliates"/>
                    <pic:cNvPicPr>
                      <a:picLocks noChangeAspect="1"/>
                    </pic:cNvPicPr>
                  </pic:nvPicPr>
                  <pic:blipFill>
                    <a:blip r:embed="rId31"/>
                    <a:stretch>
                      <a:fillRect/>
                    </a:stretch>
                  </pic:blipFill>
                  <pic:spPr>
                    <a:xfrm>
                      <a:off x="0" y="0"/>
                      <a:ext cx="5269230" cy="3332480"/>
                    </a:xfrm>
                    <a:prstGeom prst="rect">
                      <a:avLst/>
                    </a:prstGeom>
                  </pic:spPr>
                </pic:pic>
              </a:graphicData>
            </a:graphic>
          </wp:inline>
        </w:drawing>
      </w:r>
    </w:p>
    <w:p w14:paraId="4CC861C3">
      <w:pPr>
        <w:pStyle w:val="7"/>
        <w:ind w:left="720"/>
        <w:rPr>
          <w:sz w:val="32"/>
          <w:szCs w:val="32"/>
        </w:rPr>
      </w:pPr>
      <w:r>
        <w:rPr>
          <w:rStyle w:val="8"/>
          <w:sz w:val="32"/>
          <w:szCs w:val="32"/>
        </w:rPr>
        <w:t>Strategic Planning for Seasonal Trends</w:t>
      </w:r>
    </w:p>
    <w:p w14:paraId="7E084BEA">
      <w:pPr>
        <w:numPr>
          <w:ilvl w:val="1"/>
          <w:numId w:val="5"/>
        </w:numPr>
        <w:tabs>
          <w:tab w:val="left" w:pos="1440"/>
        </w:tabs>
        <w:spacing w:beforeAutospacing="1" w:afterAutospacing="1"/>
        <w:rPr>
          <w:sz w:val="32"/>
          <w:szCs w:val="32"/>
        </w:rPr>
      </w:pPr>
      <w:r>
        <w:rPr>
          <w:sz w:val="32"/>
          <w:szCs w:val="32"/>
        </w:rPr>
        <w:t xml:space="preserve">Prepare for </w:t>
      </w:r>
      <w:r>
        <w:rPr>
          <w:rStyle w:val="8"/>
          <w:sz w:val="32"/>
          <w:szCs w:val="32"/>
        </w:rPr>
        <w:t>investment surges</w:t>
      </w:r>
      <w:r>
        <w:rPr>
          <w:sz w:val="32"/>
          <w:szCs w:val="32"/>
        </w:rPr>
        <w:t xml:space="preserve"> in peak months by ensuring adequate resources and streamlined processes.</w:t>
      </w:r>
    </w:p>
    <w:p w14:paraId="7AC61BF5">
      <w:pPr>
        <w:numPr>
          <w:ilvl w:val="1"/>
          <w:numId w:val="5"/>
        </w:numPr>
        <w:tabs>
          <w:tab w:val="left" w:pos="1440"/>
        </w:tabs>
        <w:spacing w:beforeAutospacing="1" w:afterAutospacing="1"/>
        <w:rPr>
          <w:sz w:val="32"/>
          <w:szCs w:val="32"/>
        </w:rPr>
      </w:pPr>
      <w:r>
        <w:rPr>
          <w:sz w:val="32"/>
          <w:szCs w:val="32"/>
        </w:rPr>
        <w:t xml:space="preserve">Conduct surveys or interviews with investors to understand </w:t>
      </w:r>
      <w:r>
        <w:rPr>
          <w:rFonts w:hint="default"/>
          <w:sz w:val="32"/>
          <w:szCs w:val="32"/>
          <w:lang w:val="en-US"/>
        </w:rPr>
        <w:t>the rapid three month</w:t>
      </w:r>
      <w:r>
        <w:rPr>
          <w:rStyle w:val="8"/>
          <w:sz w:val="32"/>
          <w:szCs w:val="32"/>
        </w:rPr>
        <w:t xml:space="preserve"> investment drop-off</w:t>
      </w:r>
      <w:r>
        <w:rPr>
          <w:sz w:val="32"/>
          <w:szCs w:val="32"/>
        </w:rPr>
        <w:t xml:space="preserve"> and address potential concerns.</w:t>
      </w:r>
    </w:p>
    <w:p w14:paraId="0CA283EF">
      <w:pPr>
        <w:numPr>
          <w:ilvl w:val="1"/>
          <w:numId w:val="5"/>
        </w:numPr>
        <w:tabs>
          <w:tab w:val="left" w:pos="1440"/>
        </w:tabs>
        <w:spacing w:beforeAutospacing="1" w:afterAutospacing="1"/>
        <w:rPr>
          <w:sz w:val="32"/>
          <w:szCs w:val="32"/>
        </w:rPr>
      </w:pPr>
      <w:r>
        <w:rPr>
          <w:sz w:val="32"/>
          <w:szCs w:val="32"/>
        </w:rPr>
        <w:t xml:space="preserve">Implement </w:t>
      </w:r>
      <w:r>
        <w:rPr>
          <w:rStyle w:val="8"/>
          <w:sz w:val="32"/>
          <w:szCs w:val="32"/>
        </w:rPr>
        <w:t>targeted investment strategies</w:t>
      </w:r>
      <w:r>
        <w:rPr>
          <w:sz w:val="32"/>
          <w:szCs w:val="32"/>
        </w:rPr>
        <w:t xml:space="preserve"> during</w:t>
      </w:r>
      <w:r>
        <w:rPr>
          <w:rFonts w:hint="default"/>
          <w:sz w:val="32"/>
          <w:szCs w:val="32"/>
          <w:lang w:val="en-US"/>
        </w:rPr>
        <w:t xml:space="preserve"> the</w:t>
      </w:r>
      <w:r>
        <w:rPr>
          <w:sz w:val="32"/>
          <w:szCs w:val="32"/>
        </w:rPr>
        <w:t xml:space="preserve"> low-performing months to maintain consistency.</w:t>
      </w:r>
    </w:p>
    <w:p w14:paraId="1C08421B">
      <w:pPr>
        <w:numPr>
          <w:ilvl w:val="1"/>
          <w:numId w:val="5"/>
        </w:numPr>
        <w:tabs>
          <w:tab w:val="left" w:pos="1440"/>
        </w:tabs>
        <w:spacing w:beforeAutospacing="1" w:afterAutospacing="1"/>
        <w:rPr>
          <w:sz w:val="32"/>
          <w:szCs w:val="32"/>
        </w:rPr>
      </w:pPr>
      <w:r>
        <w:rPr>
          <w:sz w:val="32"/>
          <w:szCs w:val="32"/>
        </w:rPr>
        <w:t>Analyze external factors (e.g. economic conditions, policy changes) that influence investment seasonality.</w:t>
      </w:r>
    </w:p>
    <w:p w14:paraId="5A19B03D">
      <w:pPr>
        <w:pStyle w:val="7"/>
        <w:ind w:left="720"/>
        <w:rPr>
          <w:sz w:val="32"/>
          <w:szCs w:val="32"/>
        </w:rPr>
      </w:pPr>
      <w:r>
        <w:rPr>
          <w:rStyle w:val="8"/>
          <w:sz w:val="32"/>
          <w:szCs w:val="32"/>
        </w:rPr>
        <w:t>Data-Driven Decision Making</w:t>
      </w:r>
    </w:p>
    <w:p w14:paraId="096B8166">
      <w:pPr>
        <w:numPr>
          <w:ilvl w:val="1"/>
          <w:numId w:val="6"/>
        </w:numPr>
        <w:tabs>
          <w:tab w:val="left" w:pos="1440"/>
        </w:tabs>
        <w:spacing w:beforeAutospacing="1" w:afterAutospacing="1"/>
        <w:rPr>
          <w:sz w:val="32"/>
          <w:szCs w:val="32"/>
        </w:rPr>
      </w:pPr>
      <w:r>
        <w:rPr>
          <w:sz w:val="32"/>
          <w:szCs w:val="32"/>
        </w:rPr>
        <w:t xml:space="preserve">Continuously monitor investment trends to </w:t>
      </w:r>
      <w:r>
        <w:rPr>
          <w:rStyle w:val="8"/>
          <w:sz w:val="32"/>
          <w:szCs w:val="32"/>
        </w:rPr>
        <w:t>adapt strategies proactively</w:t>
      </w:r>
      <w:r>
        <w:rPr>
          <w:sz w:val="32"/>
          <w:szCs w:val="32"/>
        </w:rPr>
        <w:t>.</w:t>
      </w:r>
    </w:p>
    <w:p w14:paraId="6FB6244A">
      <w:pPr>
        <w:numPr>
          <w:ilvl w:val="1"/>
          <w:numId w:val="6"/>
        </w:numPr>
        <w:tabs>
          <w:tab w:val="left" w:pos="1440"/>
        </w:tabs>
        <w:spacing w:beforeAutospacing="1" w:afterAutospacing="1"/>
        <w:rPr>
          <w:rStyle w:val="8"/>
          <w:b/>
          <w:bCs/>
          <w:sz w:val="48"/>
          <w:szCs w:val="48"/>
        </w:rPr>
      </w:pPr>
      <w:r>
        <w:rPr>
          <w:sz w:val="32"/>
          <w:szCs w:val="32"/>
        </w:rPr>
        <w:t xml:space="preserve">Use historical data to forecast </w:t>
      </w:r>
      <w:r>
        <w:rPr>
          <w:rStyle w:val="8"/>
          <w:sz w:val="32"/>
          <w:szCs w:val="32"/>
        </w:rPr>
        <w:t>future investment behavior</w:t>
      </w:r>
      <w:r>
        <w:rPr>
          <w:sz w:val="32"/>
          <w:szCs w:val="32"/>
        </w:rPr>
        <w:t xml:space="preserve"> and optimize portfolio offerings.</w:t>
      </w:r>
    </w:p>
    <w:p w14:paraId="6B02000C">
      <w:pPr>
        <w:numPr>
          <w:numId w:val="0"/>
        </w:numPr>
        <w:spacing w:beforeAutospacing="1" w:afterAutospacing="1"/>
        <w:ind w:leftChars="0"/>
        <w:rPr>
          <w:rStyle w:val="8"/>
          <w:b/>
          <w:bCs/>
          <w:sz w:val="48"/>
          <w:szCs w:val="48"/>
        </w:rPr>
      </w:pPr>
      <w:r>
        <w:rPr>
          <w:rStyle w:val="8"/>
          <w:rFonts w:hint="default"/>
          <w:b/>
          <w:bCs/>
          <w:sz w:val="48"/>
          <w:szCs w:val="48"/>
          <w:lang w:val="en-US"/>
        </w:rPr>
        <w:t xml:space="preserve">6.  </w:t>
      </w:r>
      <w:r>
        <w:rPr>
          <w:rStyle w:val="8"/>
          <w:b/>
          <w:bCs/>
          <w:sz w:val="48"/>
          <w:szCs w:val="48"/>
        </w:rPr>
        <w:t>Conclusion</w:t>
      </w:r>
    </w:p>
    <w:p w14:paraId="0C94BA46">
      <w:pPr>
        <w:pStyle w:val="3"/>
        <w:numPr>
          <w:numId w:val="0"/>
        </w:numPr>
        <w:ind w:leftChars="0"/>
        <w:rPr>
          <w:rFonts w:hint="default"/>
          <w:i/>
          <w:iCs/>
          <w:sz w:val="32"/>
          <w:szCs w:val="32"/>
          <w:lang w:val="en-US"/>
        </w:rPr>
      </w:pPr>
      <w:r>
        <w:rPr>
          <w:rFonts w:hint="default"/>
          <w:i/>
          <w:iCs/>
          <w:sz w:val="32"/>
          <w:szCs w:val="32"/>
          <w:lang w:val="en-US"/>
        </w:rPr>
        <w:t xml:space="preserve">   </w:t>
      </w:r>
      <w:r>
        <w:rPr>
          <w:rFonts w:hint="default"/>
          <w:b w:val="0"/>
          <w:bCs w:val="0"/>
          <w:i/>
          <w:iCs/>
          <w:sz w:val="32"/>
          <w:szCs w:val="32"/>
          <w:lang w:val="en-US"/>
        </w:rPr>
        <w:t>This detailed analytics meticulously highlights significant investments trends, the investors patterns of investments, the affiliates and their roles in the investments made, and most importantly the key areas of focus to enhance investors’ engagements. By leveraging the above data-driven insights,</w:t>
      </w:r>
      <w:r>
        <w:rPr>
          <w:rFonts w:hint="default"/>
          <w:i/>
          <w:iCs/>
          <w:sz w:val="32"/>
          <w:szCs w:val="32"/>
          <w:lang w:val="en-US"/>
        </w:rPr>
        <w:t xml:space="preserve"> </w:t>
      </w:r>
      <w:r>
        <w:rPr>
          <w:rFonts w:hint="default"/>
          <w:b/>
          <w:bCs/>
          <w:i/>
          <w:iCs/>
          <w:sz w:val="32"/>
          <w:szCs w:val="32"/>
          <w:lang w:val="en-US"/>
        </w:rPr>
        <w:t xml:space="preserve">UMéRA </w:t>
      </w:r>
      <w:r>
        <w:rPr>
          <w:rFonts w:hint="default"/>
          <w:b w:val="0"/>
          <w:bCs w:val="0"/>
          <w:i/>
          <w:iCs/>
          <w:sz w:val="32"/>
          <w:szCs w:val="32"/>
          <w:lang w:val="en-US"/>
        </w:rPr>
        <w:t>can make informed strategic decisions that maximize investment potential and align offerings with market demand.</w:t>
      </w:r>
      <w:r>
        <w:rPr>
          <w:rFonts w:hint="default"/>
          <w:i/>
          <w:iCs/>
          <w:sz w:val="32"/>
          <w:szCs w:val="32"/>
          <w:lang w:val="en-US"/>
        </w:rPr>
        <w:t xml:space="preserve">                 </w:t>
      </w:r>
      <w:bookmarkStart w:id="0" w:name="_GoBack"/>
      <w:bookmarkEnd w:id="0"/>
      <w:r>
        <w:rPr>
          <w:rFonts w:hint="default"/>
          <w:i/>
          <w:iCs/>
          <w:sz w:val="32"/>
          <w:szCs w:val="32"/>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4BCD8F"/>
    <w:multiLevelType w:val="multilevel"/>
    <w:tmpl w:val="C84BCD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29B0676B"/>
    <w:multiLevelType w:val="singleLevel"/>
    <w:tmpl w:val="29B0676B"/>
    <w:lvl w:ilvl="0" w:tentative="0">
      <w:start w:val="1"/>
      <w:numFmt w:val="decimal"/>
      <w:suff w:val="space"/>
      <w:lvlText w:val="%1."/>
      <w:lvlJc w:val="left"/>
      <w:pPr>
        <w:ind w:left="600"/>
      </w:pPr>
    </w:lvl>
  </w:abstractNum>
  <w:abstractNum w:abstractNumId="2">
    <w:nsid w:val="3D830619"/>
    <w:multiLevelType w:val="multilevel"/>
    <w:tmpl w:val="3D8306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65CD1372"/>
    <w:multiLevelType w:val="multilevel"/>
    <w:tmpl w:val="65CD13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EAE"/>
    <w:rsid w:val="001972A4"/>
    <w:rsid w:val="002718CB"/>
    <w:rsid w:val="004A2C30"/>
    <w:rsid w:val="006241AF"/>
    <w:rsid w:val="00636B41"/>
    <w:rsid w:val="00894829"/>
    <w:rsid w:val="009522B5"/>
    <w:rsid w:val="00BD4207"/>
    <w:rsid w:val="00D17EAE"/>
    <w:rsid w:val="00D62D9E"/>
    <w:rsid w:val="00F30EB3"/>
    <w:rsid w:val="027A5DD6"/>
    <w:rsid w:val="0B2B2A6B"/>
    <w:rsid w:val="14DC29CA"/>
    <w:rsid w:val="173C0982"/>
    <w:rsid w:val="2490799F"/>
    <w:rsid w:val="32A3559F"/>
    <w:rsid w:val="46DE4A55"/>
    <w:rsid w:val="4AEB4B8F"/>
    <w:rsid w:val="4DB828FC"/>
    <w:rsid w:val="58507212"/>
    <w:rsid w:val="5E1A58C8"/>
    <w:rsid w:val="644B199A"/>
    <w:rsid w:val="653B0C29"/>
    <w:rsid w:val="66B61DFF"/>
    <w:rsid w:val="7092523D"/>
    <w:rsid w:val="75982E37"/>
    <w:rsid w:val="771C0F57"/>
    <w:rsid w:val="77D558AA"/>
    <w:rsid w:val="7BE13AE0"/>
    <w:rsid w:val="7CD0524A"/>
    <w:rsid w:val="7F490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4">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8">
    <w:name w:val="Strong"/>
    <w:basedOn w:val="5"/>
    <w:qFormat/>
    <w:uiPriority w:val="0"/>
    <w:rPr>
      <w:b/>
      <w:bCs/>
    </w:rPr>
  </w:style>
  <w:style w:type="paragraph" w:styleId="9">
    <w:name w:val="List Paragraph"/>
    <w:basedOn w:val="1"/>
    <w:unhideWhenUsed/>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586</Words>
  <Characters>3344</Characters>
  <Lines>27</Lines>
  <Paragraphs>7</Paragraphs>
  <TotalTime>33</TotalTime>
  <ScaleCrop>false</ScaleCrop>
  <LinksUpToDate>false</LinksUpToDate>
  <CharactersWithSpaces>3923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2025-02-25T14:35:00Z</dcterms:created>
  <dc:creator>DELL 5520</dc:creator>
  <cp:lastModifiedBy>DELL 5520</cp:lastModifiedBy>
  <dcterms:modified xsi:type="dcterms:W3CDTF">2025-03-21T13:37:43Z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829C6AD276634095B5E22E3D90F7CA1E_12</vt:lpwstr>
  </property>
</Properties>
</file>