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F15" w:rsidRDefault="00A01F15" w:rsidP="00A01F15">
      <w:pPr>
        <w:rPr>
          <w:rFonts w:ascii="Century Gothic" w:hAnsi="Century Gothic"/>
        </w:rPr>
      </w:pPr>
      <w:r>
        <w:rPr>
          <w:rFonts w:ascii="Century Gothic" w:hAnsi="Century Gothic"/>
        </w:rPr>
        <w:t>Buenas tardes, colegas</w:t>
      </w:r>
      <w:proofErr w:type="gramStart"/>
      <w:r>
        <w:rPr>
          <w:rFonts w:ascii="Century Gothic" w:hAnsi="Century Gothic"/>
        </w:rPr>
        <w:t>!</w:t>
      </w:r>
      <w:proofErr w:type="gramEnd"/>
      <w:r>
        <w:rPr>
          <w:rFonts w:ascii="Century Gothic" w:hAnsi="Century Gothic"/>
        </w:rPr>
        <w:t xml:space="preserve"> Reciban un cordial saludo. Al valorar el estado de situación en la formulación de los planeamientos, en las semanas que restan del 2019 y las primeras del 2020, durante la reunión de ayer, llegamos a ciertos acuerdos</w:t>
      </w:r>
      <w:proofErr w:type="gramStart"/>
      <w:r>
        <w:rPr>
          <w:rFonts w:ascii="Century Gothic" w:hAnsi="Century Gothic"/>
        </w:rPr>
        <w:t>::</w:t>
      </w:r>
      <w:proofErr w:type="gramEnd"/>
    </w:p>
    <w:p w:rsidR="00A01F15" w:rsidRDefault="00A01F15" w:rsidP="00A01F15">
      <w:pPr>
        <w:rPr>
          <w:rFonts w:ascii="Century Gothic" w:hAnsi="Century Gothic"/>
        </w:rPr>
      </w:pPr>
    </w:p>
    <w:p w:rsidR="00A01F15" w:rsidRDefault="00A01F15" w:rsidP="00A01F15">
      <w:pPr>
        <w:numPr>
          <w:ilvl w:val="0"/>
          <w:numId w:val="1"/>
        </w:numPr>
        <w:rPr>
          <w:rFonts w:ascii="Century Gothic" w:eastAsia="Times New Roman" w:hAnsi="Century Gothic"/>
        </w:rPr>
      </w:pPr>
      <w:r>
        <w:rPr>
          <w:rFonts w:ascii="Century Gothic" w:eastAsia="Times New Roman" w:hAnsi="Century Gothic"/>
        </w:rPr>
        <w:t>Establecimiento de una estricta programación de elaboración, entrega, revisión y corrección de los productos por parte de los correspondientes departamentos de la Dirección de Desarrollo Curricular (DDC).</w:t>
      </w:r>
    </w:p>
    <w:p w:rsidR="00A01F15" w:rsidRDefault="00A01F15" w:rsidP="00A01F15">
      <w:pPr>
        <w:numPr>
          <w:ilvl w:val="0"/>
          <w:numId w:val="1"/>
        </w:numPr>
        <w:rPr>
          <w:rFonts w:ascii="Century Gothic" w:eastAsia="Times New Roman" w:hAnsi="Century Gothic"/>
        </w:rPr>
      </w:pPr>
      <w:r>
        <w:rPr>
          <w:rFonts w:ascii="Century Gothic" w:eastAsia="Times New Roman" w:hAnsi="Century Gothic"/>
        </w:rPr>
        <w:t>Dosificar tales entregas, para mantener un flujo constante de materiales hacia GESPRO de la Dirección de Recursos Tecnológicos en Educación (DRTE). Para ello, se establecieron tres fechas de entrega desde la DDC:</w:t>
      </w:r>
    </w:p>
    <w:p w:rsidR="00A01F15" w:rsidRDefault="00A01F15" w:rsidP="00A01F15">
      <w:pPr>
        <w:numPr>
          <w:ilvl w:val="1"/>
          <w:numId w:val="1"/>
        </w:numPr>
        <w:rPr>
          <w:rFonts w:ascii="Century Gothic" w:eastAsia="Times New Roman" w:hAnsi="Century Gothic"/>
        </w:rPr>
      </w:pPr>
      <w:r>
        <w:rPr>
          <w:rFonts w:ascii="Century Gothic" w:eastAsia="Times New Roman" w:hAnsi="Century Gothic"/>
        </w:rPr>
        <w:t>22 de noviembre</w:t>
      </w:r>
    </w:p>
    <w:p w:rsidR="00A01F15" w:rsidRDefault="00A01F15" w:rsidP="00A01F15">
      <w:pPr>
        <w:numPr>
          <w:ilvl w:val="1"/>
          <w:numId w:val="1"/>
        </w:numPr>
        <w:rPr>
          <w:rFonts w:ascii="Century Gothic" w:eastAsia="Times New Roman" w:hAnsi="Century Gothic"/>
        </w:rPr>
      </w:pPr>
      <w:r>
        <w:rPr>
          <w:rFonts w:ascii="Century Gothic" w:eastAsia="Times New Roman" w:hAnsi="Century Gothic"/>
        </w:rPr>
        <w:t>6 de diciembre</w:t>
      </w:r>
    </w:p>
    <w:p w:rsidR="00A01F15" w:rsidRDefault="00A01F15" w:rsidP="00A01F15">
      <w:pPr>
        <w:numPr>
          <w:ilvl w:val="1"/>
          <w:numId w:val="1"/>
        </w:numPr>
        <w:rPr>
          <w:rFonts w:ascii="Century Gothic" w:eastAsia="Times New Roman" w:hAnsi="Century Gothic"/>
        </w:rPr>
      </w:pPr>
      <w:r>
        <w:rPr>
          <w:rFonts w:ascii="Century Gothic" w:eastAsia="Times New Roman" w:hAnsi="Century Gothic"/>
        </w:rPr>
        <w:t>16 de diciembre</w:t>
      </w:r>
    </w:p>
    <w:p w:rsidR="00A01F15" w:rsidRDefault="00A01F15" w:rsidP="00A01F15">
      <w:pPr>
        <w:numPr>
          <w:ilvl w:val="0"/>
          <w:numId w:val="1"/>
        </w:numPr>
        <w:rPr>
          <w:rFonts w:ascii="Century Gothic" w:eastAsia="Times New Roman" w:hAnsi="Century Gothic"/>
        </w:rPr>
      </w:pPr>
      <w:r>
        <w:rPr>
          <w:rFonts w:ascii="Century Gothic" w:eastAsia="Times New Roman" w:hAnsi="Century Gothic"/>
        </w:rPr>
        <w:t>GESPRO trabajará en los requerimientos de organización de la estructura de la Caja de Herramientas, en dos momentos:</w:t>
      </w:r>
    </w:p>
    <w:p w:rsidR="00A01F15" w:rsidRDefault="00A01F15" w:rsidP="00A01F15">
      <w:pPr>
        <w:numPr>
          <w:ilvl w:val="1"/>
          <w:numId w:val="1"/>
        </w:numPr>
        <w:rPr>
          <w:rFonts w:ascii="Century Gothic" w:eastAsia="Times New Roman" w:hAnsi="Century Gothic"/>
        </w:rPr>
      </w:pPr>
      <w:r>
        <w:rPr>
          <w:rFonts w:ascii="Century Gothic" w:eastAsia="Times New Roman" w:hAnsi="Century Gothic"/>
        </w:rPr>
        <w:t>Primera entrega de ajustes por la DDC: 22 de noviembre</w:t>
      </w:r>
    </w:p>
    <w:p w:rsidR="00A01F15" w:rsidRDefault="00A01F15" w:rsidP="00A01F15">
      <w:pPr>
        <w:numPr>
          <w:ilvl w:val="1"/>
          <w:numId w:val="1"/>
        </w:numPr>
        <w:rPr>
          <w:rFonts w:ascii="Century Gothic" w:eastAsia="Times New Roman" w:hAnsi="Century Gothic"/>
        </w:rPr>
      </w:pPr>
      <w:r>
        <w:rPr>
          <w:rFonts w:ascii="Century Gothic" w:eastAsia="Times New Roman" w:hAnsi="Century Gothic"/>
        </w:rPr>
        <w:t>Segunda entrega de ajustes por la DDC: 6 de noviembre</w:t>
      </w:r>
    </w:p>
    <w:p w:rsidR="00A01F15" w:rsidRDefault="00A01F15" w:rsidP="00A01F15">
      <w:pPr>
        <w:numPr>
          <w:ilvl w:val="0"/>
          <w:numId w:val="1"/>
        </w:numPr>
        <w:rPr>
          <w:rFonts w:ascii="Century Gothic" w:eastAsia="Times New Roman" w:hAnsi="Century Gothic"/>
        </w:rPr>
      </w:pPr>
      <w:r>
        <w:rPr>
          <w:rFonts w:ascii="Century Gothic" w:eastAsia="Times New Roman" w:hAnsi="Century Gothic"/>
        </w:rPr>
        <w:t xml:space="preserve">Seguimiento cercano por parte de cada Jefatura del cumplimiento de la programación. </w:t>
      </w:r>
    </w:p>
    <w:p w:rsidR="00A01F15" w:rsidRDefault="00A01F15" w:rsidP="00A01F15">
      <w:pPr>
        <w:numPr>
          <w:ilvl w:val="0"/>
          <w:numId w:val="1"/>
        </w:numPr>
        <w:rPr>
          <w:rFonts w:ascii="Century Gothic" w:eastAsia="Times New Roman" w:hAnsi="Century Gothic"/>
        </w:rPr>
      </w:pPr>
      <w:r>
        <w:rPr>
          <w:rFonts w:ascii="Century Gothic" w:eastAsia="Times New Roman" w:hAnsi="Century Gothic"/>
        </w:rPr>
        <w:t>Priorización de actividades por parte de la DDC y DRTE, brindando el espacio correspondiente a la producción y ensamblaje de la Caja de Herramientas.</w:t>
      </w:r>
    </w:p>
    <w:p w:rsidR="00A01F15" w:rsidRDefault="00A01F15" w:rsidP="00A01F15">
      <w:pPr>
        <w:numPr>
          <w:ilvl w:val="0"/>
          <w:numId w:val="1"/>
        </w:numPr>
        <w:rPr>
          <w:rFonts w:ascii="Century Gothic" w:eastAsia="Times New Roman" w:hAnsi="Century Gothic"/>
        </w:rPr>
      </w:pPr>
      <w:r>
        <w:rPr>
          <w:rFonts w:ascii="Century Gothic" w:eastAsia="Times New Roman" w:hAnsi="Century Gothic"/>
        </w:rPr>
        <w:t xml:space="preserve">Tomar en cuenta las solicitudes de vacaciones que naturalmente se generarán por el momento del año, en la gestión de tareas asociadas con la construcción de la Caja. </w:t>
      </w:r>
    </w:p>
    <w:p w:rsidR="00A01F15" w:rsidRDefault="00A01F15" w:rsidP="00A01F15">
      <w:pPr>
        <w:numPr>
          <w:ilvl w:val="0"/>
          <w:numId w:val="1"/>
        </w:numPr>
        <w:rPr>
          <w:rFonts w:ascii="Century Gothic" w:eastAsia="Times New Roman" w:hAnsi="Century Gothic"/>
        </w:rPr>
      </w:pPr>
      <w:r>
        <w:rPr>
          <w:rFonts w:ascii="Century Gothic" w:eastAsia="Times New Roman" w:hAnsi="Century Gothic"/>
        </w:rPr>
        <w:t>D. María Alexandra y D. Gabriela emitirán una nota conjunta dirigida al Despacho Académico, en la que se sintetizará los requerimientos para acometer una tarea tan compleja.</w:t>
      </w:r>
    </w:p>
    <w:p w:rsidR="00A01F15" w:rsidRDefault="00A01F15" w:rsidP="00A01F15">
      <w:pPr>
        <w:numPr>
          <w:ilvl w:val="0"/>
          <w:numId w:val="1"/>
        </w:numPr>
        <w:rPr>
          <w:rFonts w:ascii="Century Gothic" w:eastAsia="Times New Roman" w:hAnsi="Century Gothic"/>
        </w:rPr>
      </w:pPr>
      <w:r>
        <w:rPr>
          <w:rFonts w:ascii="Century Gothic" w:eastAsia="Times New Roman" w:hAnsi="Century Gothic"/>
        </w:rPr>
        <w:t xml:space="preserve">Se priorizará el ensamblaje de las secciones de </w:t>
      </w:r>
      <w:r>
        <w:rPr>
          <w:rFonts w:ascii="Century Gothic" w:eastAsia="Times New Roman" w:hAnsi="Century Gothic"/>
          <w:b/>
          <w:bCs/>
        </w:rPr>
        <w:t>Apoyos para el planeamientos</w:t>
      </w:r>
      <w:r>
        <w:rPr>
          <w:rFonts w:ascii="Century Gothic" w:eastAsia="Times New Roman" w:hAnsi="Century Gothic"/>
        </w:rPr>
        <w:t xml:space="preserve">, y </w:t>
      </w:r>
      <w:r>
        <w:rPr>
          <w:rFonts w:ascii="Century Gothic" w:eastAsia="Times New Roman" w:hAnsi="Century Gothic"/>
          <w:b/>
          <w:bCs/>
        </w:rPr>
        <w:t>Apoyos para la evaluación</w:t>
      </w:r>
      <w:r>
        <w:rPr>
          <w:rFonts w:ascii="Century Gothic" w:eastAsia="Times New Roman" w:hAnsi="Century Gothic"/>
        </w:rPr>
        <w:t>; con miras a la presentación de la Caja de Herramientas, para la apertura del próximo año lectivo. La incorporación de mejoras de la Caja de Herramientas se retomará, en cuanto se haya finalizado en ensamblado fundamental de las secciones ya mencionadas.</w:t>
      </w:r>
    </w:p>
    <w:p w:rsidR="00A01F15" w:rsidRDefault="00A01F15" w:rsidP="00A01F15">
      <w:pPr>
        <w:numPr>
          <w:ilvl w:val="0"/>
          <w:numId w:val="1"/>
        </w:numPr>
        <w:rPr>
          <w:rFonts w:ascii="Century Gothic" w:eastAsia="Times New Roman" w:hAnsi="Century Gothic"/>
        </w:rPr>
      </w:pPr>
      <w:r>
        <w:rPr>
          <w:rFonts w:ascii="Century Gothic" w:eastAsia="Times New Roman" w:hAnsi="Century Gothic"/>
        </w:rPr>
        <w:t>La DDC, en coordinación con el IDP, elaborarán unos videos explicativos del manejo para el usuario de la Caja de Herramientas.</w:t>
      </w:r>
    </w:p>
    <w:p w:rsidR="00A01F15" w:rsidRDefault="00A01F15" w:rsidP="00A01F15">
      <w:pPr>
        <w:rPr>
          <w:rFonts w:ascii="Century Gothic" w:hAnsi="Century Gothic"/>
        </w:rPr>
      </w:pPr>
    </w:p>
    <w:p w:rsidR="00A01F15" w:rsidRDefault="00A01F15" w:rsidP="00A01F15">
      <w:r>
        <w:rPr>
          <w:rFonts w:ascii="Century Gothic" w:hAnsi="Century Gothic"/>
        </w:rPr>
        <w:t xml:space="preserve">Llegamos a la conclusión que el abordaje de la producción debe asumirse desde </w:t>
      </w:r>
      <w:proofErr w:type="gramStart"/>
      <w:r>
        <w:rPr>
          <w:rFonts w:ascii="Century Gothic" w:hAnsi="Century Gothic"/>
        </w:rPr>
        <w:t>una</w:t>
      </w:r>
      <w:proofErr w:type="gramEnd"/>
      <w:r>
        <w:rPr>
          <w:rFonts w:ascii="Century Gothic" w:hAnsi="Century Gothic"/>
        </w:rPr>
        <w:t xml:space="preserve"> enfoque estratégico, que requiere la participación activa de las jefaturas en coordinación con las correspondientes direcciones. Sin otro particular, se despide quien suscribe esta nota.</w:t>
      </w:r>
    </w:p>
    <w:p w:rsidR="00A01F15" w:rsidRDefault="00A01F15" w:rsidP="00A01F15">
      <w:pPr>
        <w:rPr>
          <w:rFonts w:ascii="Century Gothic" w:hAnsi="Century Gothic"/>
        </w:rPr>
      </w:pPr>
    </w:p>
    <w:p w:rsidR="00A01F15" w:rsidRDefault="00A01F15" w:rsidP="00A01F15"/>
    <w:p w:rsidR="00A01F15" w:rsidRDefault="00A01F15" w:rsidP="00A01F15">
      <w:r>
        <w:rPr>
          <w:rFonts w:ascii="Century Gothic" w:hAnsi="Century Gothic"/>
        </w:rPr>
        <w:t>Atentamente</w:t>
      </w:r>
    </w:p>
    <w:p w:rsidR="00A01F15" w:rsidRDefault="00A01F15" w:rsidP="00A01F15">
      <w:pPr>
        <w:spacing w:before="100" w:beforeAutospacing="1" w:after="100" w:afterAutospacing="1"/>
      </w:pPr>
      <w:r>
        <w:rPr>
          <w:noProof/>
          <w:lang w:eastAsia="es-CR"/>
        </w:rPr>
        <w:lastRenderedPageBreak/>
        <w:drawing>
          <wp:inline distT="0" distB="0" distL="0" distR="0">
            <wp:extent cx="956945" cy="668655"/>
            <wp:effectExtent l="0" t="0" r="0" b="0"/>
            <wp:docPr id="1" name="Imagen 1" descr="cid:image001.png@01D59965.EA540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59965.EA54086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956945" cy="668655"/>
                    </a:xfrm>
                    <a:prstGeom prst="rect">
                      <a:avLst/>
                    </a:prstGeom>
                    <a:noFill/>
                    <a:ln>
                      <a:noFill/>
                    </a:ln>
                  </pic:spPr>
                </pic:pic>
              </a:graphicData>
            </a:graphic>
          </wp:inline>
        </w:drawing>
      </w:r>
    </w:p>
    <w:p w:rsidR="00A01F15" w:rsidRDefault="00A01F15" w:rsidP="00A01F15">
      <w:pPr>
        <w:pStyle w:val="NormalWeb"/>
        <w:shd w:val="clear" w:color="auto" w:fill="FFFFFF"/>
      </w:pPr>
      <w:r>
        <w:rPr>
          <w:i/>
          <w:iCs/>
          <w:color w:val="000000"/>
        </w:rPr>
        <w:t>Henry Roberto Arias Guido &lt;</w:t>
      </w:r>
      <w:hyperlink r:id="rId7" w:tgtFrame="_blank" w:history="1">
        <w:r>
          <w:rPr>
            <w:rStyle w:val="Hipervnculo"/>
            <w:i/>
            <w:iCs/>
          </w:rPr>
          <w:t>henry.arias.guido@mep.go.cr</w:t>
        </w:r>
      </w:hyperlink>
      <w:r>
        <w:rPr>
          <w:i/>
          <w:iCs/>
          <w:color w:val="000000"/>
        </w:rPr>
        <w:t>&gt;</w:t>
      </w:r>
      <w:r>
        <w:rPr>
          <w:color w:val="000000"/>
        </w:rPr>
        <w:br/>
      </w:r>
      <w:r>
        <w:rPr>
          <w:i/>
          <w:iCs/>
          <w:color w:val="000000"/>
        </w:rPr>
        <w:t>Asesor del Despacho Académico</w:t>
      </w:r>
      <w:r>
        <w:rPr>
          <w:color w:val="000000"/>
        </w:rPr>
        <w:br/>
      </w:r>
      <w:r>
        <w:rPr>
          <w:i/>
          <w:iCs/>
          <w:color w:val="000000"/>
        </w:rPr>
        <w:t>Ministerio de Educación Pública</w:t>
      </w:r>
      <w:r>
        <w:rPr>
          <w:color w:val="000000"/>
        </w:rPr>
        <w:br/>
      </w:r>
      <w:r>
        <w:rPr>
          <w:i/>
          <w:iCs/>
          <w:color w:val="000000"/>
        </w:rPr>
        <w:t xml:space="preserve">Tel: (506) </w:t>
      </w:r>
      <w:r>
        <w:rPr>
          <w:i/>
          <w:iCs/>
        </w:rPr>
        <w:t xml:space="preserve">2256-8391, </w:t>
      </w:r>
      <w:proofErr w:type="spellStart"/>
      <w:r>
        <w:rPr>
          <w:i/>
          <w:iCs/>
        </w:rPr>
        <w:t>ext</w:t>
      </w:r>
      <w:proofErr w:type="spellEnd"/>
      <w:r>
        <w:rPr>
          <w:i/>
          <w:iCs/>
        </w:rPr>
        <w:t xml:space="preserve"> 1009</w:t>
      </w:r>
    </w:p>
    <w:p w:rsidR="001B2A7E" w:rsidRDefault="001B2A7E">
      <w:bookmarkStart w:id="0" w:name="_GoBack"/>
      <w:bookmarkEnd w:id="0"/>
    </w:p>
    <w:sectPr w:rsidR="001B2A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604D2C"/>
    <w:multiLevelType w:val="hybridMultilevel"/>
    <w:tmpl w:val="B69E6646"/>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15"/>
    <w:rsid w:val="001B2A7E"/>
    <w:rsid w:val="00A01F1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56819-D229-4D41-A27C-BFFC4879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F15"/>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01F15"/>
    <w:rPr>
      <w:color w:val="0563C1"/>
      <w:u w:val="single"/>
    </w:rPr>
  </w:style>
  <w:style w:type="paragraph" w:styleId="NormalWeb">
    <w:name w:val="Normal (Web)"/>
    <w:basedOn w:val="Normal"/>
    <w:uiPriority w:val="99"/>
    <w:semiHidden/>
    <w:unhideWhenUsed/>
    <w:rsid w:val="00A01F15"/>
    <w:pPr>
      <w:spacing w:before="100" w:beforeAutospacing="1" w:after="100" w:afterAutospacing="1"/>
    </w:pPr>
    <w:rPr>
      <w:rFonts w:ascii="Times New Roman" w:hAnsi="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nry.arias.guido@mep.go.c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59965.EA54086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384</Words>
  <Characters>2114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Hernandez Conejo</dc:creator>
  <cp:keywords/>
  <dc:description/>
  <cp:lastModifiedBy>Patricia Hernandez Conejo</cp:lastModifiedBy>
  <cp:revision>1</cp:revision>
  <dcterms:created xsi:type="dcterms:W3CDTF">2019-11-12T21:05:00Z</dcterms:created>
  <dcterms:modified xsi:type="dcterms:W3CDTF">2019-11-12T21:06:00Z</dcterms:modified>
</cp:coreProperties>
</file>