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9BF6E" w14:textId="77777777" w:rsidR="00AA5E1A" w:rsidRDefault="00AA5E1A" w:rsidP="00BF4E22">
      <w:pPr>
        <w:jc w:val="center"/>
        <w:rPr>
          <w:b/>
        </w:rPr>
      </w:pPr>
    </w:p>
    <w:p w14:paraId="05FB9C63" w14:textId="77777777" w:rsidR="00AA5E1A" w:rsidRPr="00EF0039" w:rsidRDefault="00AA5E1A" w:rsidP="00BF4E22">
      <w:pPr>
        <w:jc w:val="center"/>
        <w:rPr>
          <w:b/>
          <w:color w:val="FF0000"/>
        </w:rPr>
      </w:pPr>
    </w:p>
    <w:p w14:paraId="148DC756" w14:textId="099F2164" w:rsidR="00EF0039" w:rsidRPr="00EF0039" w:rsidRDefault="00EF0039" w:rsidP="00BF4E22">
      <w:pPr>
        <w:jc w:val="center"/>
        <w:rPr>
          <w:b/>
          <w:color w:val="FF0000"/>
        </w:rPr>
      </w:pPr>
      <w:r>
        <w:rPr>
          <w:b/>
          <w:color w:val="FF0000"/>
        </w:rPr>
        <w:t>Propuesta final GESPRO</w:t>
      </w:r>
    </w:p>
    <w:p w14:paraId="09C00CD4" w14:textId="56DDC34E" w:rsidR="00EF0039" w:rsidRDefault="00EF0039" w:rsidP="00BF4E22">
      <w:pPr>
        <w:jc w:val="center"/>
        <w:rPr>
          <w:b/>
        </w:rPr>
      </w:pPr>
    </w:p>
    <w:p w14:paraId="149A62AD" w14:textId="6372E373" w:rsidR="00EF0039" w:rsidRDefault="00EF0039" w:rsidP="00EF0039">
      <w:pPr>
        <w:rPr>
          <w:b/>
        </w:rPr>
      </w:pPr>
      <w:r>
        <w:rPr>
          <w:b/>
        </w:rPr>
        <w:t>1-Ingresa a Documentos Oficiales</w:t>
      </w:r>
    </w:p>
    <w:p w14:paraId="498C971B" w14:textId="0C0BF243" w:rsidR="00EF0039" w:rsidRDefault="00EF0039" w:rsidP="00EF0039">
      <w:pPr>
        <w:rPr>
          <w:b/>
        </w:rPr>
      </w:pPr>
      <w:r>
        <w:rPr>
          <w:b/>
        </w:rPr>
        <w:t xml:space="preserve">2-Nueva sección:  Recomendamos que diga Protocolos Vida Estudiantil. </w:t>
      </w:r>
    </w:p>
    <w:p w14:paraId="07327B68" w14:textId="68A6BF8B" w:rsidR="00EF0039" w:rsidRDefault="00EF0039" w:rsidP="00EF0039">
      <w:pPr>
        <w:rPr>
          <w:b/>
        </w:rPr>
      </w:pPr>
      <w:r>
        <w:rPr>
          <w:noProof/>
          <w:lang w:eastAsia="es-CR"/>
        </w:rPr>
        <mc:AlternateContent>
          <mc:Choice Requires="wps">
            <w:drawing>
              <wp:anchor distT="0" distB="0" distL="114300" distR="114300" simplePos="0" relativeHeight="251681792" behindDoc="0" locked="0" layoutInCell="1" allowOverlap="1" wp14:anchorId="600F1887" wp14:editId="68B0D366">
                <wp:simplePos x="0" y="0"/>
                <wp:positionH relativeFrom="column">
                  <wp:posOffset>-108585</wp:posOffset>
                </wp:positionH>
                <wp:positionV relativeFrom="paragraph">
                  <wp:posOffset>2453640</wp:posOffset>
                </wp:positionV>
                <wp:extent cx="1219200" cy="1152525"/>
                <wp:effectExtent l="57150" t="38100" r="57150" b="85725"/>
                <wp:wrapNone/>
                <wp:docPr id="21" name="Elipse 21"/>
                <wp:cNvGraphicFramePr/>
                <a:graphic xmlns:a="http://schemas.openxmlformats.org/drawingml/2006/main">
                  <a:graphicData uri="http://schemas.microsoft.com/office/word/2010/wordprocessingShape">
                    <wps:wsp>
                      <wps:cNvSpPr/>
                      <wps:spPr>
                        <a:xfrm>
                          <a:off x="0" y="0"/>
                          <a:ext cx="1219200" cy="115252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F1887" id="Elipse 21" o:spid="_x0000_s1026" style="position:absolute;margin-left:-8.55pt;margin-top:193.2pt;width:96pt;height:9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v:textbox>
              </v:oval>
            </w:pict>
          </mc:Fallback>
        </mc:AlternateContent>
      </w:r>
      <w:r>
        <w:rPr>
          <w:noProof/>
          <w:lang w:eastAsia="es-CR"/>
        </w:rPr>
        <w:drawing>
          <wp:inline distT="0" distB="0" distL="0" distR="0" wp14:anchorId="2FE9E75D" wp14:editId="280949C1">
            <wp:extent cx="3781425" cy="3940491"/>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5781" cy="3945030"/>
                    </a:xfrm>
                    <a:prstGeom prst="rect">
                      <a:avLst/>
                    </a:prstGeom>
                  </pic:spPr>
                </pic:pic>
              </a:graphicData>
            </a:graphic>
          </wp:inline>
        </w:drawing>
      </w:r>
    </w:p>
    <w:p w14:paraId="2401981F" w14:textId="4A0F5228" w:rsidR="00EF0039" w:rsidRDefault="00EF0039" w:rsidP="00EF0039">
      <w:pPr>
        <w:rPr>
          <w:b/>
        </w:rPr>
      </w:pPr>
      <w:r>
        <w:rPr>
          <w:b/>
          <w:noProof/>
          <w:lang w:eastAsia="es-CR"/>
        </w:rPr>
        <mc:AlternateContent>
          <mc:Choice Requires="wps">
            <w:drawing>
              <wp:anchor distT="0" distB="0" distL="114300" distR="114300" simplePos="0" relativeHeight="251682816" behindDoc="0" locked="0" layoutInCell="1" allowOverlap="1" wp14:anchorId="4A0DCED0" wp14:editId="03A8645B">
                <wp:simplePos x="0" y="0"/>
                <wp:positionH relativeFrom="column">
                  <wp:posOffset>2615565</wp:posOffset>
                </wp:positionH>
                <wp:positionV relativeFrom="paragraph">
                  <wp:posOffset>262255</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3122B8BE" w14:textId="032718D8" w:rsidR="00EF0039" w:rsidRDefault="00EF0039" w:rsidP="00EF0039">
                            <w:pPr>
                              <w:jc w:val="center"/>
                            </w:pPr>
                            <w:r>
                              <w:t>Protocolos 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CED0" id="Rectángulo redondeado 22" o:spid="_x0000_s1027" style="position:absolute;margin-left:205.95pt;margin-top:20.65pt;width:13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" fillcolor="#ed7d31 [3205]" strokecolor="white [3201]" strokeweight="1.5pt">
                <v:stroke joinstyle="miter"/>
                <v:textbox>
                  <w:txbxContent>
                    <w:p w14:paraId="3122B8BE" w14:textId="032718D8" w:rsidR="00EF0039" w:rsidRDefault="00EF0039" w:rsidP="00EF0039">
                      <w:pPr>
                        <w:jc w:val="center"/>
                      </w:pPr>
                      <w:r>
                        <w:t>Protocolos de actuación</w:t>
                      </w:r>
                    </w:p>
                  </w:txbxContent>
                </v:textbox>
              </v:roundrect>
            </w:pict>
          </mc:Fallback>
        </mc:AlternateContent>
      </w:r>
    </w:p>
    <w:p w14:paraId="280928C8" w14:textId="6F6FDE33" w:rsidR="00EF0039" w:rsidRDefault="00EF0039" w:rsidP="00EF0039">
      <w:pPr>
        <w:rPr>
          <w:b/>
        </w:rPr>
      </w:pPr>
      <w:r>
        <w:rPr>
          <w:b/>
        </w:rPr>
        <w:t xml:space="preserve">3-Carga un </w:t>
      </w:r>
      <w:proofErr w:type="spellStart"/>
      <w:r>
        <w:rPr>
          <w:b/>
        </w:rPr>
        <w:t>selec</w:t>
      </w:r>
      <w:proofErr w:type="spellEnd"/>
      <w:r>
        <w:rPr>
          <w:b/>
        </w:rPr>
        <w:t xml:space="preserve"> que contiene los 9 </w:t>
      </w:r>
    </w:p>
    <w:p w14:paraId="5E23D2A6" w14:textId="2F0D603D" w:rsidR="00EF0039" w:rsidRDefault="00EF0039" w:rsidP="00BF4E22">
      <w:pPr>
        <w:jc w:val="center"/>
        <w:rPr>
          <w:b/>
        </w:rPr>
      </w:pPr>
      <w:r>
        <w:rPr>
          <w:b/>
          <w:noProof/>
          <w:lang w:eastAsia="es-CR"/>
        </w:rPr>
        <mc:AlternateContent>
          <mc:Choice Requires="wps">
            <w:drawing>
              <wp:anchor distT="0" distB="0" distL="114300" distR="114300" simplePos="0" relativeHeight="251684864" behindDoc="0" locked="0" layoutInCell="1" allowOverlap="1" wp14:anchorId="465C4282" wp14:editId="632A9C64">
                <wp:simplePos x="0" y="0"/>
                <wp:positionH relativeFrom="column">
                  <wp:posOffset>2872105</wp:posOffset>
                </wp:positionH>
                <wp:positionV relativeFrom="paragraph">
                  <wp:posOffset>5080</wp:posOffset>
                </wp:positionV>
                <wp:extent cx="3648075" cy="28575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3648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DB0D4" w14:textId="4F141BFB" w:rsidR="00EF0039" w:rsidRDefault="00EF0039" w:rsidP="00EF0039">
                            <w:r w:rsidRPr="004C1B9F">
                              <w:rPr>
                                <w:rFonts w:ascii="Arial" w:hAnsi="Arial" w:cs="Arial"/>
                              </w:rPr>
                              <w:t>Pautas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C4282" id="Rectángulo redondeado 23" o:spid="_x0000_s1028" style="position:absolute;left:0;text-align:left;margin-left:226.15pt;margin-top:.4pt;width:287.25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" fillcolor="#ffc000 [3207]" strokecolor="#7f5f00 [1607]" strokeweight="1pt">
                <v:stroke joinstyle="miter"/>
                <v:textbox>
                  <w:txbxContent>
                    <w:p w14:paraId="75EDB0D4" w14:textId="4F141BFB" w:rsidR="00EF0039" w:rsidRDefault="00EF0039" w:rsidP="00EF0039">
                      <w:r w:rsidRPr="004C1B9F">
                        <w:rPr>
                          <w:rFonts w:ascii="Arial" w:hAnsi="Arial" w:cs="Arial"/>
                        </w:rPr>
                        <w:t>Pautas Generales</w:t>
                      </w:r>
                    </w:p>
                  </w:txbxContent>
                </v:textbox>
              </v:roundrect>
            </w:pict>
          </mc:Fallback>
        </mc:AlternateContent>
      </w:r>
    </w:p>
    <w:p w14:paraId="75E753E7" w14:textId="3F6D5F23" w:rsidR="00EF0039" w:rsidRDefault="00EF0039" w:rsidP="00BF4E22">
      <w:pPr>
        <w:jc w:val="center"/>
        <w:rPr>
          <w:b/>
        </w:rPr>
      </w:pPr>
      <w:r>
        <w:rPr>
          <w:b/>
          <w:noProof/>
          <w:lang w:eastAsia="es-CR"/>
        </w:rPr>
        <mc:AlternateContent>
          <mc:Choice Requires="wps">
            <w:drawing>
              <wp:anchor distT="0" distB="0" distL="114300" distR="114300" simplePos="0" relativeHeight="251686912" behindDoc="0" locked="0" layoutInCell="1" allowOverlap="1" wp14:anchorId="3B8D36E9" wp14:editId="25A973AB">
                <wp:simplePos x="0" y="0"/>
                <wp:positionH relativeFrom="column">
                  <wp:posOffset>2872740</wp:posOffset>
                </wp:positionH>
                <wp:positionV relativeFrom="paragraph">
                  <wp:posOffset>119380</wp:posOffset>
                </wp:positionV>
                <wp:extent cx="3648075" cy="2857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3648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8D36E9" id="Rectángulo redondeado 24" o:spid="_x0000_s1029" style="position:absolute;left:0;text-align:left;margin-left:226.2pt;margin-top:9.4pt;width:287.2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" fillcolor="#ffc000 [3207]" strokecolor="#7f5f00 [1607]" strokeweight="1pt">
                <v:stroke joinstyle="miter"/>
                <v:textbo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v:textbox>
              </v:roundrect>
            </w:pict>
          </mc:Fallback>
        </mc:AlternateContent>
      </w:r>
    </w:p>
    <w:p w14:paraId="5365D745" w14:textId="63C47539" w:rsidR="00EF0039" w:rsidRDefault="00EF0039" w:rsidP="00BF4E22">
      <w:pPr>
        <w:jc w:val="center"/>
        <w:rPr>
          <w:b/>
        </w:rPr>
      </w:pPr>
      <w:r>
        <w:rPr>
          <w:b/>
          <w:noProof/>
          <w:lang w:eastAsia="es-CR"/>
        </w:rPr>
        <mc:AlternateContent>
          <mc:Choice Requires="wps">
            <w:drawing>
              <wp:anchor distT="0" distB="0" distL="114300" distR="114300" simplePos="0" relativeHeight="251688960" behindDoc="0" locked="0" layoutInCell="1" allowOverlap="1" wp14:anchorId="5E2605AD" wp14:editId="52B33E63">
                <wp:simplePos x="0" y="0"/>
                <wp:positionH relativeFrom="column">
                  <wp:posOffset>2891790</wp:posOffset>
                </wp:positionH>
                <wp:positionV relativeFrom="paragraph">
                  <wp:posOffset>215265</wp:posOffset>
                </wp:positionV>
                <wp:extent cx="3648075" cy="285750"/>
                <wp:effectExtent l="0" t="0" r="28575" b="19050"/>
                <wp:wrapNone/>
                <wp:docPr id="25" name="Rectángulo redondeado 25"/>
                <wp:cNvGraphicFramePr/>
                <a:graphic xmlns:a="http://schemas.openxmlformats.org/drawingml/2006/main">
                  <a:graphicData uri="http://schemas.microsoft.com/office/word/2010/wordprocessingShape">
                    <wps:wsp>
                      <wps:cNvSpPr/>
                      <wps:spPr>
                        <a:xfrm>
                          <a:off x="0" y="0"/>
                          <a:ext cx="3648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178A7" w14:textId="78AE65F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605AD" id="Rectángulo redondeado 25" o:spid="_x0000_s1030" style="position:absolute;left:0;text-align:left;margin-left:227.7pt;margin-top:16.95pt;width:287.2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" fillcolor="#ffc000 [3207]" strokecolor="#7f5f00 [1607]" strokeweight="1pt">
                <v:stroke joinstyle="miter"/>
                <v:textbox>
                  <w:txbxContent>
                    <w:p w14:paraId="244178A7" w14:textId="78AE65F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7689BF2B" w14:textId="62BBAD7E" w:rsidR="00EF0039" w:rsidRDefault="00EF0039" w:rsidP="00BF4E22">
      <w:pPr>
        <w:jc w:val="center"/>
        <w:rPr>
          <w:b/>
        </w:rPr>
      </w:pPr>
    </w:p>
    <w:p w14:paraId="16273744" w14:textId="02D20924" w:rsidR="00EF0039" w:rsidRDefault="00EF0039" w:rsidP="00BF4E22">
      <w:pPr>
        <w:jc w:val="center"/>
        <w:rPr>
          <w:b/>
        </w:rPr>
      </w:pPr>
      <w:r>
        <w:rPr>
          <w:b/>
          <w:noProof/>
          <w:lang w:eastAsia="es-CR"/>
        </w:rPr>
        <mc:AlternateContent>
          <mc:Choice Requires="wps">
            <w:drawing>
              <wp:anchor distT="0" distB="0" distL="114300" distR="114300" simplePos="0" relativeHeight="251691008" behindDoc="0" locked="0" layoutInCell="1" allowOverlap="1" wp14:anchorId="1B9E1302" wp14:editId="27FED903">
                <wp:simplePos x="0" y="0"/>
                <wp:positionH relativeFrom="column">
                  <wp:posOffset>2891790</wp:posOffset>
                </wp:positionH>
                <wp:positionV relativeFrom="paragraph">
                  <wp:posOffset>34290</wp:posOffset>
                </wp:positionV>
                <wp:extent cx="3648075" cy="285750"/>
                <wp:effectExtent l="0" t="0" r="28575" b="19050"/>
                <wp:wrapNone/>
                <wp:docPr id="26" name="Rectángulo redondeado 26"/>
                <wp:cNvGraphicFramePr/>
                <a:graphic xmlns:a="http://schemas.openxmlformats.org/drawingml/2006/main">
                  <a:graphicData uri="http://schemas.microsoft.com/office/word/2010/wordprocessingShape">
                    <wps:wsp>
                      <wps:cNvSpPr/>
                      <wps:spPr>
                        <a:xfrm>
                          <a:off x="0" y="0"/>
                          <a:ext cx="3648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802A86" w14:textId="7777777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9E1302" id="Rectángulo redondeado 26" o:spid="_x0000_s1031" style="position:absolute;left:0;text-align:left;margin-left:227.7pt;margin-top:2.7pt;width:287.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" fillcolor="#ffc000 [3207]" strokecolor="#7f5f00 [1607]" strokeweight="1pt">
                <v:stroke joinstyle="miter"/>
                <v:textbox>
                  <w:txbxContent>
                    <w:p w14:paraId="11802A86" w14:textId="7777777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6E225F00" w14:textId="77777777" w:rsidR="00EF0039" w:rsidRDefault="00EF0039" w:rsidP="00BF4E22">
      <w:pPr>
        <w:jc w:val="center"/>
        <w:rPr>
          <w:b/>
        </w:rPr>
      </w:pPr>
    </w:p>
    <w:p w14:paraId="12E821F0" w14:textId="77777777" w:rsidR="00EF0039" w:rsidRDefault="00EF0039" w:rsidP="00BF4E22">
      <w:pPr>
        <w:jc w:val="center"/>
        <w:rPr>
          <w:b/>
        </w:rPr>
      </w:pPr>
    </w:p>
    <w:p w14:paraId="1049ACEB" w14:textId="77777777" w:rsidR="00EF0039" w:rsidRDefault="00EF0039" w:rsidP="00BF4E22">
      <w:pPr>
        <w:jc w:val="center"/>
        <w:rPr>
          <w:b/>
        </w:rPr>
      </w:pPr>
    </w:p>
    <w:p w14:paraId="1D10C2E2" w14:textId="77777777" w:rsidR="00EF0039" w:rsidRDefault="00EF0039" w:rsidP="00BF4E22">
      <w:pPr>
        <w:jc w:val="center"/>
        <w:rPr>
          <w:b/>
        </w:rPr>
      </w:pPr>
    </w:p>
    <w:p w14:paraId="7E0F493E" w14:textId="757B7A53"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32"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33"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Q+LAIAAFM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34"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35"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tdKwIAAFM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AJEQtdKwIAAFMEAAAOAAAAAAAAAAAAAAAAAC4CAABkcnMv&#10;ZTJvRG9jLnhtbFBLAQItABQABgAIAAAAIQB6XMfw3gAAAAoBAAAPAAAAAAAAAAAAAAAAAIUEAABk&#10;cnMvZG93bnJldi54bWxQSwUGAAAAAAQABADzAAAAkAU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36"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37"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bookmarkStart w:id="1" w:name="_GoBack"/>
                      <w:bookmarkEnd w:id="1"/>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EF0039" w:rsidP="001A0929">
            <w:pPr>
              <w:jc w:val="both"/>
            </w:pPr>
            <w:hyperlink r:id="rId11"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EF0039" w:rsidP="001A0929">
            <w:pPr>
              <w:jc w:val="both"/>
              <w:rPr>
                <w:rFonts w:ascii="Arial" w:hAnsi="Arial" w:cs="Arial"/>
              </w:rPr>
            </w:pPr>
            <w:hyperlink r:id="rId12"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EF0039" w:rsidP="001A0929">
            <w:pPr>
              <w:jc w:val="both"/>
              <w:rPr>
                <w:rFonts w:ascii="Arial" w:hAnsi="Arial" w:cs="Arial"/>
              </w:rPr>
            </w:pPr>
            <w:hyperlink r:id="rId13"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w:t>
            </w:r>
            <w:r w:rsidRPr="004C1B9F">
              <w:rPr>
                <w:rFonts w:ascii="Arial" w:hAnsi="Arial" w:cs="Arial"/>
              </w:rPr>
              <w:lastRenderedPageBreak/>
              <w:t xml:space="preserve">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lastRenderedPageBreak/>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EF0039" w:rsidP="001A0929">
            <w:pPr>
              <w:jc w:val="both"/>
              <w:rPr>
                <w:rFonts w:ascii="Arial" w:hAnsi="Arial" w:cs="Arial"/>
              </w:rPr>
            </w:pPr>
            <w:hyperlink r:id="rId14"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EF0039" w:rsidP="001A0929">
            <w:pPr>
              <w:jc w:val="both"/>
              <w:rPr>
                <w:rFonts w:ascii="Arial" w:hAnsi="Arial" w:cs="Arial"/>
              </w:rPr>
            </w:pPr>
            <w:hyperlink r:id="rId15"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EF0039" w:rsidP="001A0929">
            <w:pPr>
              <w:jc w:val="both"/>
              <w:rPr>
                <w:rFonts w:ascii="Arial" w:hAnsi="Arial" w:cs="Arial"/>
              </w:rPr>
            </w:pPr>
            <w:hyperlink r:id="rId16" w:history="1">
              <w:r w:rsidR="001966CA" w:rsidRPr="004C1B9F">
                <w:rPr>
                  <w:rStyle w:val="Hipervnculo"/>
                  <w:rFonts w:ascii="Arial" w:hAnsi="Arial" w:cs="Arial"/>
                </w:rPr>
                <w:t>https://www.mep.go.cr/sites/default/files/afiche-ruta-protocolo-bullying.pdf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EF0039" w:rsidP="001A0929">
            <w:pPr>
              <w:jc w:val="both"/>
              <w:rPr>
                <w:rFonts w:ascii="Arial" w:hAnsi="Arial" w:cs="Arial"/>
              </w:rPr>
            </w:pPr>
            <w:hyperlink r:id="rId17"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EF0039" w:rsidP="001A0929">
            <w:pPr>
              <w:jc w:val="both"/>
            </w:pPr>
            <w:hyperlink r:id="rId18"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EF0039" w:rsidP="001A0929">
            <w:pPr>
              <w:jc w:val="both"/>
              <w:rPr>
                <w:rFonts w:ascii="Arial" w:hAnsi="Arial" w:cs="Arial"/>
              </w:rPr>
            </w:pPr>
            <w:hyperlink r:id="rId19"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EF0039" w:rsidP="001A0929">
            <w:pPr>
              <w:jc w:val="both"/>
              <w:rPr>
                <w:rFonts w:ascii="Arial" w:hAnsi="Arial" w:cs="Arial"/>
              </w:rPr>
            </w:pPr>
            <w:hyperlink r:id="rId20"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EF0039" w:rsidP="001A0929">
            <w:pPr>
              <w:jc w:val="both"/>
              <w:rPr>
                <w:rFonts w:ascii="Arial" w:hAnsi="Arial" w:cs="Arial"/>
              </w:rPr>
            </w:pPr>
            <w:hyperlink r:id="rId21"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EF0039" w:rsidP="001A0929">
            <w:pPr>
              <w:jc w:val="both"/>
              <w:rPr>
                <w:rFonts w:ascii="Arial" w:hAnsi="Arial" w:cs="Arial"/>
              </w:rPr>
            </w:pPr>
            <w:hyperlink r:id="rId22"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EF0039" w:rsidP="001A0929">
            <w:pPr>
              <w:jc w:val="both"/>
              <w:rPr>
                <w:rFonts w:ascii="Arial" w:hAnsi="Arial" w:cs="Arial"/>
              </w:rPr>
            </w:pPr>
            <w:hyperlink r:id="rId23" w:history="1">
              <w:r w:rsidR="001966CA" w:rsidRPr="004C1B9F">
                <w:rPr>
                  <w:rStyle w:val="Hipervnculo"/>
                  <w:rFonts w:ascii="Arial" w:hAnsi="Arial" w:cs="Arial"/>
                </w:rPr>
                <w:t>https://www.mep.go.cr/sites/default/files/Protocolo-de-drogas-Ruta.pdf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EF0039" w:rsidP="001A0929">
            <w:pPr>
              <w:jc w:val="both"/>
              <w:rPr>
                <w:rFonts w:ascii="Arial" w:hAnsi="Arial" w:cs="Arial"/>
              </w:rPr>
            </w:pPr>
            <w:hyperlink r:id="rId24"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EF0039" w:rsidP="001A0929">
            <w:pPr>
              <w:jc w:val="both"/>
              <w:rPr>
                <w:rFonts w:ascii="Arial" w:hAnsi="Arial" w:cs="Arial"/>
              </w:rPr>
            </w:pPr>
            <w:hyperlink r:id="rId25"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EF0039" w:rsidP="001A0929">
            <w:pPr>
              <w:jc w:val="both"/>
              <w:rPr>
                <w:rFonts w:ascii="Arial" w:hAnsi="Arial" w:cs="Arial"/>
              </w:rPr>
            </w:pPr>
            <w:hyperlink r:id="rId26"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EF0039" w:rsidP="001A0929">
            <w:pPr>
              <w:jc w:val="both"/>
              <w:rPr>
                <w:rFonts w:ascii="Arial" w:hAnsi="Arial" w:cs="Arial"/>
              </w:rPr>
            </w:pPr>
            <w:hyperlink r:id="rId27"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EF0039" w:rsidP="001A0929">
            <w:pPr>
              <w:jc w:val="both"/>
              <w:rPr>
                <w:rFonts w:ascii="Arial" w:hAnsi="Arial" w:cs="Arial"/>
              </w:rPr>
            </w:pPr>
            <w:hyperlink r:id="rId28"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EF0039" w:rsidP="001A0929">
            <w:pPr>
              <w:jc w:val="both"/>
              <w:rPr>
                <w:rFonts w:ascii="Arial" w:hAnsi="Arial" w:cs="Arial"/>
              </w:rPr>
            </w:pPr>
            <w:hyperlink r:id="rId29"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EF0039" w:rsidP="001A0929">
            <w:pPr>
              <w:jc w:val="both"/>
              <w:rPr>
                <w:rFonts w:ascii="Arial" w:hAnsi="Arial" w:cs="Arial"/>
              </w:rPr>
            </w:pPr>
            <w:hyperlink r:id="rId30"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EF0039" w:rsidP="001A0929">
            <w:pPr>
              <w:jc w:val="both"/>
              <w:rPr>
                <w:rFonts w:ascii="Arial" w:hAnsi="Arial" w:cs="Arial"/>
              </w:rPr>
            </w:pPr>
            <w:hyperlink r:id="rId31"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EF0039" w:rsidP="001A0929">
            <w:pPr>
              <w:jc w:val="both"/>
              <w:rPr>
                <w:rFonts w:ascii="Arial" w:hAnsi="Arial" w:cs="Arial"/>
              </w:rPr>
            </w:pPr>
            <w:hyperlink r:id="rId32"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EF0039" w:rsidP="001A0929">
            <w:pPr>
              <w:jc w:val="both"/>
              <w:rPr>
                <w:rFonts w:ascii="Arial" w:hAnsi="Arial" w:cs="Arial"/>
              </w:rPr>
            </w:pPr>
            <w:hyperlink r:id="rId33"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 xml:space="preserve">Protocolo de actuación institucional para la restitución de derechos y acceso al sistema educativo costarricense </w:t>
            </w:r>
            <w:r w:rsidRPr="009816C9">
              <w:rPr>
                <w:rFonts w:ascii="Arial" w:hAnsi="Arial" w:cs="Arial"/>
              </w:rPr>
              <w:lastRenderedPageBreak/>
              <w:t>de las personas 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lastRenderedPageBreak/>
              <w:t xml:space="preserve">Este protocolo pretende garantizar el derecho a la educación de las personas sobrevivientes-víctimas del delito de trata de persona, para ello se establece una ruta de trabajo para las personas funcionarias del MEP, coherente con </w:t>
            </w:r>
            <w:r w:rsidRPr="004C1B9F">
              <w:rPr>
                <w:rFonts w:ascii="Arial" w:hAnsi="Arial" w:cs="Arial"/>
              </w:rPr>
              <w:lastRenderedPageBreak/>
              <w:t xml:space="preserve">los objetivos de la Agenda 2030 para el 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lastRenderedPageBreak/>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EF0039" w:rsidP="001A0929">
            <w:pPr>
              <w:jc w:val="both"/>
              <w:rPr>
                <w:rFonts w:ascii="Arial" w:hAnsi="Arial" w:cs="Arial"/>
              </w:rPr>
            </w:pPr>
            <w:hyperlink r:id="rId34"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La comunidad educativa tiene la responsabilidad de trabajar en la prevención de la violencia; sin embargo, cuando la prevención ya no sea efectiva y se conozcan situaciones en las que se violente a 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EF0039" w:rsidP="001A0929">
            <w:pPr>
              <w:jc w:val="both"/>
              <w:rPr>
                <w:rFonts w:ascii="Arial" w:hAnsi="Arial" w:cs="Arial"/>
              </w:rPr>
            </w:pPr>
            <w:hyperlink r:id="rId35"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EF0039" w:rsidP="001A0929">
            <w:pPr>
              <w:jc w:val="both"/>
              <w:rPr>
                <w:rFonts w:ascii="Arial" w:hAnsi="Arial" w:cs="Arial"/>
              </w:rPr>
            </w:pPr>
            <w:hyperlink r:id="rId36"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EF0039" w:rsidP="001A0929">
            <w:pPr>
              <w:jc w:val="both"/>
              <w:rPr>
                <w:rFonts w:ascii="Arial" w:hAnsi="Arial" w:cs="Arial"/>
              </w:rPr>
            </w:pPr>
            <w:hyperlink r:id="rId37"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EF0039" w:rsidP="001A0929">
            <w:pPr>
              <w:jc w:val="both"/>
              <w:rPr>
                <w:rFonts w:ascii="Arial" w:hAnsi="Arial" w:cs="Arial"/>
              </w:rPr>
            </w:pPr>
            <w:hyperlink r:id="rId38"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EF0039" w:rsidP="001A0929">
            <w:pPr>
              <w:jc w:val="both"/>
              <w:rPr>
                <w:rFonts w:ascii="Arial" w:hAnsi="Arial" w:cs="Arial"/>
              </w:rPr>
            </w:pPr>
            <w:hyperlink r:id="rId39" w:history="1">
              <w:r w:rsidR="001966CA" w:rsidRPr="004C1B9F">
                <w:rPr>
                  <w:rStyle w:val="Hipervnculo"/>
                  <w:rFonts w:ascii="Arial" w:hAnsi="Arial" w:cs="Arial"/>
                </w:rPr>
                <w:t>https://www.mep.go.cr/sites/default/files/Protocolo%20de%20violencia%20-DESPLEGABLE-%2015.04.2016.pdf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EF0039" w:rsidP="001A0929">
            <w:pPr>
              <w:jc w:val="both"/>
              <w:rPr>
                <w:rFonts w:ascii="Arial" w:hAnsi="Arial" w:cs="Arial"/>
              </w:rPr>
            </w:pPr>
            <w:hyperlink r:id="rId40"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EF0039" w:rsidP="001A0929">
            <w:pPr>
              <w:jc w:val="both"/>
            </w:pPr>
            <w:hyperlink r:id="rId41"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lastRenderedPageBreak/>
              <w:t>maternidad</w:t>
            </w:r>
          </w:p>
          <w:p w14:paraId="763B6F80" w14:textId="77777777" w:rsidR="001966CA" w:rsidRPr="004C1B9F" w:rsidRDefault="001966CA" w:rsidP="001A0929">
            <w:pPr>
              <w:jc w:val="both"/>
              <w:rPr>
                <w:rFonts w:ascii="Arial" w:hAnsi="Arial" w:cs="Arial"/>
              </w:rPr>
            </w:pPr>
            <w:r w:rsidRPr="004C1B9F">
              <w:rPr>
                <w:rFonts w:ascii="Arial" w:hAnsi="Arial" w:cs="Arial"/>
              </w:rPr>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lastRenderedPageBreak/>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lastRenderedPageBreak/>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lastRenderedPageBreak/>
              <w:t xml:space="preserve">Manual </w:t>
            </w:r>
          </w:p>
        </w:tc>
        <w:tc>
          <w:tcPr>
            <w:tcW w:w="1985" w:type="dxa"/>
          </w:tcPr>
          <w:p w14:paraId="0D8D5866" w14:textId="77777777" w:rsidR="001966CA" w:rsidRDefault="00EF0039" w:rsidP="001A0929">
            <w:pPr>
              <w:jc w:val="both"/>
            </w:pPr>
            <w:hyperlink r:id="rId42" w:history="1">
              <w:r w:rsidR="001966CA" w:rsidRPr="004C1B9F">
                <w:rPr>
                  <w:rStyle w:val="Hipervnculo"/>
                  <w:rFonts w:ascii="Arial" w:hAnsi="Arial" w:cs="Arial"/>
                </w:rPr>
                <w:t xml:space="preserve">manual atención embarazo y maternidad </w:t>
              </w:r>
              <w:r w:rsidR="001966CA" w:rsidRPr="004C1B9F">
                <w:rPr>
                  <w:rStyle w:val="Hipervnculo"/>
                  <w:rFonts w:ascii="Arial" w:hAnsi="Arial" w:cs="Arial"/>
                </w:rPr>
                <w:lastRenderedPageBreak/>
                <w:t>adolescente internas.PDF</w:t>
              </w:r>
            </w:hyperlink>
          </w:p>
        </w:tc>
        <w:tc>
          <w:tcPr>
            <w:tcW w:w="1985" w:type="dxa"/>
          </w:tcPr>
          <w:p w14:paraId="0284EAB8" w14:textId="77777777" w:rsidR="001966CA" w:rsidRDefault="001966CA" w:rsidP="001A0929">
            <w:pPr>
              <w:jc w:val="both"/>
            </w:pPr>
            <w:r>
              <w:lastRenderedPageBreak/>
              <w:t xml:space="preserve">Aún no se encuentra en la </w:t>
            </w:r>
            <w:r>
              <w:lastRenderedPageBreak/>
              <w:t xml:space="preserve">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D52E0"/>
    <w:rsid w:val="001966CA"/>
    <w:rsid w:val="00255766"/>
    <w:rsid w:val="003752C7"/>
    <w:rsid w:val="00450A87"/>
    <w:rsid w:val="00545460"/>
    <w:rsid w:val="005554B9"/>
    <w:rsid w:val="00635CC6"/>
    <w:rsid w:val="00995B24"/>
    <w:rsid w:val="00AA5E1A"/>
    <w:rsid w:val="00BF4E22"/>
    <w:rsid w:val="00C40A51"/>
    <w:rsid w:val="00EF0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mep.go.cr/sites/default/files/atencion-bullying-contra-poblacion-lgtb.pdf" TargetMode="External"/><Relationship Id="rId18" Type="http://schemas.openxmlformats.org/officeDocument/2006/relationships/hyperlink" Target="file:///D:\Users\mgonzalezs\Desktop\2020%20Direcci&#243;n\Caja%20de%20Herramientas\Protocolos\Anexos\Anexo%20%20Bullying.docx" TargetMode="External"/><Relationship Id="rId26" Type="http://schemas.openxmlformats.org/officeDocument/2006/relationships/hyperlink" Target="https://vimeo.com/177575855" TargetMode="External"/><Relationship Id="rId39" Type="http://schemas.openxmlformats.org/officeDocument/2006/relationships/hyperlink" Target="https://www.mep.go.cr/sites/default/files/Protocolo%20de%20violencia%20-DESPLEGABLE-%2015.04.2016.pdf" TargetMode="External"/><Relationship Id="rId3" Type="http://schemas.openxmlformats.org/officeDocument/2006/relationships/webSettings" Target="webSettings.xml"/><Relationship Id="rId21" Type="http://schemas.openxmlformats.org/officeDocument/2006/relationships/hyperlink" Target="https://www.mep.go.cr/sites/default/files/PROTOCOLO_DROGAS-PORTADA.vers_.15.04.2016.pdf" TargetMode="External"/><Relationship Id="rId34" Type="http://schemas.openxmlformats.org/officeDocument/2006/relationships/hyperlink" Target="https://www.mep.go.cr/sites/default/files/protocolo-trata-personas.pdf" TargetMode="External"/><Relationship Id="rId42" Type="http://schemas.openxmlformats.org/officeDocument/2006/relationships/hyperlink" Target="file:///D:\Users\mgonzalezs\Desktop\2020%20Direcci&#243;n\Caja%20de%20Herramientas\Protocolos\manual%20atencion%20embarazo%20y%20maternidad%20adolescente%20internas.PDF" TargetMode="External"/><Relationship Id="rId7" Type="http://schemas.openxmlformats.org/officeDocument/2006/relationships/image" Target="media/image4.png"/><Relationship Id="rId12" Type="http://schemas.openxmlformats.org/officeDocument/2006/relationships/hyperlink" Target="https://www.mep.go.cr/protocolo-atencion-bullying-contra-poblacion-lgtbi" TargetMode="External"/><Relationship Id="rId17" Type="http://schemas.openxmlformats.org/officeDocument/2006/relationships/hyperlink" Target="https://www.mep.go.cr/sites/default/files/documentos/anexos-bullying-word.pdf" TargetMode="External"/><Relationship Id="rId25" Type="http://schemas.openxmlformats.org/officeDocument/2006/relationships/hyperlink" Target="file:///D:\Users\mgonzalezs\Desktop\2020%20Direcci&#243;n\Caja%20de%20Herramientas\Protocolos\Anexos\Anexo%20Drogas.docx" TargetMode="External"/><Relationship Id="rId33" Type="http://schemas.openxmlformats.org/officeDocument/2006/relationships/hyperlink" Target="https://www.mep.go.cr/sites/default/files/protocolo-prevencion-suicidio.pdf" TargetMode="External"/><Relationship Id="rId38" Type="http://schemas.openxmlformats.org/officeDocument/2006/relationships/hyperlink" Target="https://www.mep.go.cr/sites/default/files/PROTOCOLO_VIOLENCIA-PORTADA.vers_.15.04.2016.pdf" TargetMode="External"/><Relationship Id="rId2" Type="http://schemas.openxmlformats.org/officeDocument/2006/relationships/settings" Target="settings.xml"/><Relationship Id="rId16" Type="http://schemas.openxmlformats.org/officeDocument/2006/relationships/hyperlink" Target="https://www.mep.go.cr/sites/default/files/afiche-ruta-protocolo-bullying.pdf" TargetMode="External"/><Relationship Id="rId20" Type="http://schemas.openxmlformats.org/officeDocument/2006/relationships/hyperlink" Target="https://www.mep.go.cr/sites/default/files/protocolo_de_drogas.pdf" TargetMode="External"/><Relationship Id="rId29" Type="http://schemas.openxmlformats.org/officeDocument/2006/relationships/hyperlink" Target="https://www.mep.go.cr/sites/default/files/protocolo-armas-22x17pulgadas-14042016.pdf" TargetMode="External"/><Relationship Id="rId41" Type="http://schemas.openxmlformats.org/officeDocument/2006/relationships/hyperlink" Target="file:///D:\Users\mgonzalezs\Desktop\2020%20Direcci&#243;n\Caja%20de%20Herramientas\Protocolos\Anexos\Anexo%20Violencia.docx"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mep.go.cr/sites/default/files/pautasgeneralesprotocolos18122015-1.pdf" TargetMode="External"/><Relationship Id="rId24" Type="http://schemas.openxmlformats.org/officeDocument/2006/relationships/hyperlink" Target="https://www.mep.go.cr/sites/default/files/documentos/anexo-drogas-word.pdf" TargetMode="External"/><Relationship Id="rId32" Type="http://schemas.openxmlformats.org/officeDocument/2006/relationships/hyperlink" Target="https://www.mep.go.cr/protocolo-riesgo-tentativa-suicidio" TargetMode="External"/><Relationship Id="rId37" Type="http://schemas.openxmlformats.org/officeDocument/2006/relationships/hyperlink" Target="https://www.mep.go.cr/sites/default/files/Protocolo-de-violencia-22x17pulgadas-15.04.2016_0.pdf" TargetMode="External"/><Relationship Id="rId40" Type="http://schemas.openxmlformats.org/officeDocument/2006/relationships/hyperlink" Target="https://www.mep.go.cr/sites/default/files/documentos/anexos-violencias-word.pdf" TargetMode="External"/><Relationship Id="rId5" Type="http://schemas.openxmlformats.org/officeDocument/2006/relationships/image" Target="media/image2.jpeg"/><Relationship Id="rId15" Type="http://schemas.openxmlformats.org/officeDocument/2006/relationships/hyperlink" Target="https://www.mep.go.cr/sites/default/files/protocolo%20de%20actuaci%C3%B3n%20en%20situaciones%20de%20bullying.pdf" TargetMode="External"/><Relationship Id="rId23" Type="http://schemas.openxmlformats.org/officeDocument/2006/relationships/hyperlink" Target="https://www.mep.go.cr/sites/default/files/Protocolo-de-drogas-Ruta.pdf" TargetMode="External"/><Relationship Id="rId28" Type="http://schemas.openxmlformats.org/officeDocument/2006/relationships/hyperlink" Target="https://www.mep.go.cr/sites/default/files/protocoloarmasvers14042016.pdf" TargetMode="External"/><Relationship Id="rId36" Type="http://schemas.openxmlformats.org/officeDocument/2006/relationships/hyperlink" Target="https://www.mep.go.cr/sites/default/files/protocolo-situaciones-violencia.pdf" TargetMode="External"/><Relationship Id="rId10" Type="http://schemas.openxmlformats.org/officeDocument/2006/relationships/image" Target="media/image7.jpeg"/><Relationship Id="rId19" Type="http://schemas.openxmlformats.org/officeDocument/2006/relationships/hyperlink" Target="https://vimeo.com/195310057" TargetMode="External"/><Relationship Id="rId31" Type="http://schemas.openxmlformats.org/officeDocument/2006/relationships/hyperlink" Target="file:///D:\Users\mgonzalezs\Desktop\2020%20Direcci&#243;n\Caja%20de%20Herramientas\Protocolos\Anexos\Anexo%20Armas.docx"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vimeo.com/143898225" TargetMode="External"/><Relationship Id="rId22" Type="http://schemas.openxmlformats.org/officeDocument/2006/relationships/hyperlink" Target="https://www.mep.go.cr/sites/default/files/Protocolo%20de%20drogas%20-DESPLEGABLE-%2015.04.2016_0.pdf" TargetMode="External"/><Relationship Id="rId27" Type="http://schemas.openxmlformats.org/officeDocument/2006/relationships/hyperlink" Target="https://www.mep.go.cr/sites/default/files/protocolo-armas-desplegable-14042016.pdf" TargetMode="External"/><Relationship Id="rId30" Type="http://schemas.openxmlformats.org/officeDocument/2006/relationships/hyperlink" Target="https://www.mep.go.cr/sites/default/files/documentos/anexo-armas-word.pdf" TargetMode="External"/><Relationship Id="rId35" Type="http://schemas.openxmlformats.org/officeDocument/2006/relationships/hyperlink" Target="https://vimeo.com/200023337"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7</cp:revision>
  <dcterms:created xsi:type="dcterms:W3CDTF">2020-03-23T23:45:00Z</dcterms:created>
  <dcterms:modified xsi:type="dcterms:W3CDTF">2020-04-01T16:50:00Z</dcterms:modified>
</cp:coreProperties>
</file>