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Guía de configuración paso a paso — Base Backend</w:t>
      </w:r>
    </w:p>
    <w:p>
      <w:pPr>
        <w:pStyle w:val="Normal"/>
      </w:pPr>
      <w:r>
        <w:t xml:space="preserve">Documento reutilizable para APIs REST construidas con CodeIgniter 4, Microsoft Entra ID y frontends React.</w:t>
      </w:r>
    </w:p>
    <w:p>
      <w:pPr>
        <w:pStyle w:val="Heading1"/>
      </w:pPr>
      <w:r>
        <w:t xml:space="preserve">1. Objetivo y alcance</w:t>
      </w:r>
    </w:p>
    <w:p>
      <w:pPr>
        <w:pStyle w:val="Normal"/>
      </w:pPr>
      <w:r>
        <w:t xml:space="preserve">Esta base ofrece una API sin rutas de negocio, con CORS configurable, preflight OPTIONS, rate limit, bitácora api_audit_log y protección de rutas administrativas mediante JWT de Microsoft Entra ID.</w:t>
      </w:r>
    </w:p>
    <w:p>
      <w:pPr>
        <w:pStyle w:val="Normal"/>
      </w:pPr>
      <w:r>
        <w:t xml:space="preserve">Las rutas públicas no requieren token. Las rutas dentro de api/v1/admin requieren token válido, el scope configurado y el rol administrativo configurado.</w:t>
      </w:r>
    </w:p>
    <w:p>
      <w:pPr>
        <w:pStyle w:val="Heading1"/>
      </w:pPr>
      <w:r>
        <w:t xml:space="preserve">2. Crear un proyecto a partir de la base</w:t>
      </w:r>
    </w:p>
    <w:p>
      <w:pPr>
        <w:pStyle w:val="Normal"/>
      </w:pPr>
      <w:r>
        <w:t xml:space="preserve">1. Clone este repositorio en una carpeta nueva. 2. Ejecute composer install. 3. Copie el archivo env como .env. 4. No copie un .env de otro proyecto ni publique secretos en Git.</w:t>
      </w:r>
    </w:p>
    <w:p>
      <w:pPr>
        <w:pStyle w:val="Code"/>
      </w:pPr>
      <w:r>
        <w:t xml:space="preserve">git clone https://github.com/producciongespro/base-backend.git mi-nueva-api</w:t>
      </w:r>
    </w:p>
    <w:p>
      <w:pPr>
        <w:pStyle w:val="Code"/>
      </w:pPr>
      <w:r>
        <w:t xml:space="preserve">cd mi-nueva-api</w:t>
      </w:r>
    </w:p>
    <w:p>
      <w:pPr>
        <w:pStyle w:val="Code"/>
      </w:pPr>
      <w:r>
        <w:t xml:space="preserve">composer install</w:t>
      </w:r>
    </w:p>
    <w:p>
      <w:pPr>
        <w:pStyle w:val="Code"/>
      </w:pPr>
      <w:r>
        <w:t xml:space="preserve">copy env .env</w:t>
      </w:r>
    </w:p>
    <w:p>
      <w:pPr>
        <w:pStyle w:val="Heading1"/>
      </w:pPr>
      <w:r>
        <w:t xml:space="preserve">3. Configurar el backend</w:t>
      </w:r>
    </w:p>
    <w:p>
      <w:pPr>
        <w:pStyle w:val="Heading2"/>
      </w:pPr>
      <w:r>
        <w:t xml:space="preserve">3.1 Ambiente y URL</w:t>
      </w:r>
    </w:p>
    <w:p>
      <w:pPr>
        <w:pStyle w:val="Normal"/>
      </w:pPr>
      <w:r>
        <w:t xml:space="preserve">Para desarrollo use CI_ENVIRONMENT=development y una app.baseURL local. En producción use CI_ENVIRONMENT=production, una URL HTTPS real y app.forceGlobalSecureRequests=true.</w:t>
      </w:r>
    </w:p>
    <w:p>
      <w:pPr>
        <w:pStyle w:val="Heading2"/>
      </w:pPr>
      <w:r>
        <w:t xml:space="preserve">3.2 Base de datos</w:t>
      </w:r>
    </w:p>
    <w:p>
      <w:pPr>
        <w:pStyle w:val="Normal"/>
      </w:pPr>
      <w:r>
        <w:t xml:space="preserve">Defina hostname, database, username y password en .env. Use un usuario MySQL exclusivo para la API, limitado a su propia base de datos; no utilice root. Mantenga database.default.DBDebug=false y database.default.strictOn=true en producción.</w:t>
      </w:r>
    </w:p>
    <w:p>
      <w:pPr>
        <w:pStyle w:val="Code"/>
      </w:pPr>
      <w:r>
        <w:t xml:space="preserve">php spark migrate</w:t>
      </w:r>
    </w:p>
    <w:p>
      <w:pPr>
        <w:pStyle w:val="Normal"/>
      </w:pPr>
      <w:r>
        <w:t xml:space="preserve">La migración incluida crea api_audit_log. Las migraciones de entidades del nuevo proyecto deben ser aditivas, reversibles y no deben contener datos reales.</w:t>
      </w:r>
    </w:p>
    <w:p>
      <w:pPr>
        <w:pStyle w:val="Heading2"/>
      </w:pPr>
      <w:r>
        <w:t xml:space="preserve">3.3 CORS</w:t>
      </w:r>
    </w:p>
    <w:p>
      <w:pPr>
        <w:pStyle w:val="Normal"/>
      </w:pPr>
      <w:r>
        <w:t xml:space="preserve">Configure api.allowedOrigins con orígenes exactos, separados por coma. No use * en producción. api.allowedMethods y api.allowedHeaders controlan tanto CORS como las respuestas de preflight.</w:t>
      </w:r>
    </w:p>
    <w:p>
      <w:pPr>
        <w:pStyle w:val="Normal"/>
      </w:pPr>
      <w:r>
        <w:t xml:space="preserve">Ejemplo de desarrollo: api.allowedOrigins = http://localhost:5173. En producción incluya únicamente las URLs HTTPS del cliente público y de la SPA administrativa.</w:t>
      </w:r>
    </w:p>
    <w:p>
      <w:pPr>
        <w:pStyle w:val="Heading2"/>
      </w:pPr>
      <w:r>
        <w:t xml:space="preserve">3.4 Auditoría y límite de solicitudes</w:t>
      </w:r>
    </w:p>
    <w:p>
      <w:pPr>
        <w:pStyle w:val="Normal"/>
      </w:pPr>
      <w:r>
        <w:t xml:space="preserve">Mantenga audit.enabled=true. Asigne a audit.ipHashSalt una cadena aleatoria larga y única por ambiente. La tabla registra request_id, oid, tid, azp, roles, endpoint, método, resultado y hash de IP; no almacene tokens.</w:t>
      </w:r>
    </w:p>
    <w:p>
      <w:pPr>
        <w:pStyle w:val="Normal"/>
      </w:pPr>
      <w:r>
        <w:t xml:space="preserve">Ajuste api.rateLimitRequests y api.rateLimitWindowSeconds según el tráfico. En una aplicación con varias instancias use Redis como caché compartida y configure proxyIPs si hay proxy inverso o balanceador.</w:t>
      </w:r>
    </w:p>
    <w:p>
      <w:pPr>
        <w:pStyle w:val="Heading1"/>
      </w:pPr>
      <w:r>
        <w:t xml:space="preserve">4. Configurar Microsoft Entra ID</w:t>
      </w:r>
    </w:p>
    <w:p>
      <w:pPr>
        <w:pStyle w:val="Heading2"/>
      </w:pPr>
      <w:r>
        <w:t xml:space="preserve">4.1 Registro de la API</w:t>
      </w:r>
    </w:p>
    <w:p>
      <w:pPr>
        <w:pStyle w:val="Normal"/>
      </w:pPr>
      <w:r>
        <w:t xml:space="preserve">En Microsoft Entra admin center &gt; App registrations cree un registro para la API. Seleccione cuentas de este directorio únicamente, salvo que el proyecto requiera explícitamente varios tenants.</w:t>
      </w:r>
    </w:p>
    <w:p>
      <w:pPr>
        <w:pStyle w:val="Normal"/>
      </w:pPr>
      <w:r>
        <w:t xml:space="preserve">En Expose an API defina el Application ID URI, por ejemplo api://&lt;API_CLIENT_ID&gt;, y cree un delegated scope llamado access_as_user. Copie el Application client ID de esta API.</w:t>
      </w:r>
    </w:p>
    <w:p>
      <w:pPr>
        <w:pStyle w:val="Normal"/>
      </w:pPr>
      <w:r>
        <w:t xml:space="preserve">En App roles cree un rol de usuarios, por ejemplo api.admin. Para proyectos que mantengan la convención anterior puede utilizar coleccion.admin, pero cada API debe definir el rol que corresponda a su dominio.</w:t>
      </w:r>
    </w:p>
    <w:p>
      <w:pPr>
        <w:pStyle w:val="Heading2"/>
      </w:pPr>
      <w:r>
        <w:t xml:space="preserve">4.2 Registro de la SPA administrativa</w:t>
      </w:r>
    </w:p>
    <w:p>
      <w:pPr>
        <w:pStyle w:val="Normal"/>
      </w:pPr>
      <w:r>
        <w:t xml:space="preserve">Cree un registro independiente para el frontend administrador. En Authentication agregue el tipo de plataforma Single-page application y sus redirect URIs, por ejemplo http://localhost:5173 y la URL HTTPS productiva.</w:t>
      </w:r>
    </w:p>
    <w:p>
      <w:pPr>
        <w:pStyle w:val="Normal"/>
      </w:pPr>
      <w:r>
        <w:t xml:space="preserve">No cree ni publique un client secret en React. La SPA debe usar Authorization Code Flow con PKCE mediante MSAL.</w:t>
      </w:r>
    </w:p>
    <w:p>
      <w:pPr>
        <w:pStyle w:val="Normal"/>
      </w:pPr>
      <w:r>
        <w:t xml:space="preserve">En API permissions agregue el delegated permission de la API: api://&lt;API_CLIENT_ID&gt;/access_as_user. Conceda admin consent si la política del tenant lo requiere.</w:t>
      </w:r>
    </w:p>
    <w:p>
      <w:pPr>
        <w:pStyle w:val="Normal"/>
      </w:pPr>
      <w:r>
        <w:t xml:space="preserve">En Enterprise applications asigne el usuario o grupo administrativo al app role api.admin de la API. Sin esta asignación, el token no contendrá el rol y el backend responderá 403.</w:t>
      </w:r>
    </w:p>
    <w:p>
      <w:pPr>
        <w:pStyle w:val="Heading2"/>
      </w:pPr>
      <w:r>
        <w:t xml:space="preserve">4.3 Cliente público</w:t>
      </w:r>
    </w:p>
    <w:p>
      <w:pPr>
        <w:pStyle w:val="Normal"/>
      </w:pPr>
      <w:r>
        <w:t xml:space="preserve">Si el cliente público consume sólo datos públicos, no necesita SSO ni token. Debe estar incluido en api.allowedOrigins, pero CORS no es una autorización: las rutas públicas deben exponer solamente información diseñada para ser pública.</w:t>
      </w:r>
    </w:p>
    <w:p>
      <w:pPr>
        <w:pStyle w:val="Heading1"/>
      </w:pPr>
      <w:r>
        <w:t xml:space="preserve">5. Variables Azure en .env</w:t>
      </w:r>
    </w:p>
    <w:p>
      <w:pPr>
        <w:pStyle w:val="Normal"/>
      </w:pPr>
      <w:r>
        <w:t xml:space="preserve">Complete las variables sin secretos, IDs de otro proyecto ni comillas adicionales:</w:t>
      </w:r>
    </w:p>
    <w:p>
      <w:pPr>
        <w:pStyle w:val="Code"/>
      </w:pPr>
      <w:r>
        <w:t xml:space="preserve">azure.tenantId = &lt;TENANT_ID&gt;</w:t>
      </w:r>
    </w:p>
    <w:p>
      <w:pPr>
        <w:pStyle w:val="Code"/>
      </w:pPr>
      <w:r>
        <w:t xml:space="preserve">azure.clientId = &lt;API_CLIENT_ID&gt;</w:t>
      </w:r>
    </w:p>
    <w:p>
      <w:pPr>
        <w:pStyle w:val="Code"/>
      </w:pPr>
      <w:r>
        <w:t xml:space="preserve">azure.expectedAudience = api://&lt;API_CLIENT_ID&gt;</w:t>
      </w:r>
    </w:p>
    <w:p>
      <w:pPr>
        <w:pStyle w:val="Code"/>
      </w:pPr>
      <w:r>
        <w:t xml:space="preserve">azure.requiredScope = access_as_user</w:t>
      </w:r>
    </w:p>
    <w:p>
      <w:pPr>
        <w:pStyle w:val="Code"/>
      </w:pPr>
      <w:r>
        <w:t xml:space="preserve">azure.adminRoles = api.admin</w:t>
      </w:r>
    </w:p>
    <w:p>
      <w:pPr>
        <w:pStyle w:val="Code"/>
      </w:pPr>
      <w:r>
        <w:t xml:space="preserve">azure.allowedClientIds = &lt;ADMIN_SPA_CLIENT_ID&gt;</w:t>
      </w:r>
    </w:p>
    <w:p>
      <w:pPr>
        <w:pStyle w:val="Normal"/>
      </w:pPr>
      <w:r>
        <w:t xml:space="preserve">El filtro JWT valida firma RS256 con JWKS, issuer, audiencia, tenant, azp o appid, scope y rol. Puede autorizar varias SPA separando sus client IDs con comas en azure.allowedClientIds.</w:t>
      </w:r>
    </w:p>
    <w:p>
      <w:pPr>
        <w:pStyle w:val="Heading1"/>
      </w:pPr>
      <w:r>
        <w:t xml:space="preserve">6. Configurar React administrador</w:t>
      </w:r>
    </w:p>
    <w:p>
      <w:pPr>
        <w:pStyle w:val="Normal"/>
      </w:pPr>
      <w:r>
        <w:t xml:space="preserve">Instale y configure @azure/msal-browser y @azure/msal-react. La autoridad debe ser https://login.microsoftonline.com/&lt;TENANT_ID&gt;. El clientId es el de la SPA, no el de la API.</w:t>
      </w:r>
    </w:p>
    <w:p>
      <w:pPr>
        <w:pStyle w:val="Code"/>
      </w:pPr>
      <w:r>
        <w:t xml:space="preserve">scopes: [api://&lt;API_CLIENT_ID&gt;/access_as_user]</w:t>
      </w:r>
    </w:p>
    <w:p>
      <w:pPr>
        <w:pStyle w:val="Normal"/>
      </w:pPr>
      <w:r>
        <w:t xml:space="preserve">Antes de llamar una ruta administrativa, solicite acquireTokenSilent. Envíe el access token, no el ID token, en Authorization: Bearer &lt;access_token&gt;. No guarde tokens manualmente en localStorage ni los envíe a servidores ajenos.</w:t>
      </w:r>
    </w:p>
    <w:p>
      <w:pPr>
        <w:pStyle w:val="Heading1"/>
      </w:pPr>
      <w:r>
        <w:t xml:space="preserve">7. Crear rutas y autorización</w:t>
      </w:r>
    </w:p>
    <w:p>
      <w:pPr>
        <w:pStyle w:val="Normal"/>
      </w:pPr>
      <w:r>
        <w:t xml:space="preserve">Agregue rutas públicas dentro del grupo api/v1 y rutas administrativas dentro de api/v1/admin. Las administrativas heredan jwt-auth y role. Mantenga auto-routing deshabilitado y defina explícitamente cada método HTTP.</w:t>
      </w:r>
    </w:p>
    <w:p>
      <w:pPr>
        <w:pStyle w:val="Normal"/>
      </w:pPr>
      <w:r>
        <w:t xml:space="preserve">Además del rol global, implemente autorización por recurso cuando corresponda: propietario, unidad organizativa, estado del registro u otra regla de negocio. Valide todo body, query string y archivos antes de persistirlos.</w:t>
      </w:r>
    </w:p>
    <w:p>
      <w:pPr>
        <w:pStyle w:val="Heading1"/>
      </w:pPr>
      <w:r>
        <w:t xml:space="preserve">8. Pruebas de desarrollo</w:t>
      </w:r>
    </w:p>
    <w:p>
      <w:pPr>
        <w:pStyle w:val="Code"/>
      </w:pPr>
      <w:r>
        <w:t xml:space="preserve">composer test</w:t>
      </w:r>
    </w:p>
    <w:p>
      <w:pPr>
        <w:pStyle w:val="Code"/>
      </w:pPr>
      <w:r>
        <w:t xml:space="preserve">composer audit --locked</w:t>
      </w:r>
    </w:p>
    <w:p>
      <w:pPr>
        <w:pStyle w:val="Code"/>
      </w:pPr>
      <w:r>
        <w:t xml:space="preserve">php spark routes</w:t>
      </w:r>
    </w:p>
    <w:p>
      <w:pPr>
        <w:pStyle w:val="Normal"/>
      </w:pPr>
      <w:r>
        <w:t xml:space="preserve">Pruebe preflight OPTIONS desde el origen permitido. Pruebe una ruta administrativa con token ausente, token de otra SPA, token sin scope, usuario sin rol y usuario con rol correcto.</w:t>
      </w:r>
    </w:p>
    <w:p>
      <w:pPr>
        <w:pStyle w:val="Heading1"/>
      </w:pPr>
      <w:r>
        <w:t xml:space="preserve">9. Lista de salida a producción</w:t>
      </w:r>
    </w:p>
    <w:p>
      <w:pPr>
        <w:pStyle w:val="Normal"/>
      </w:pPr>
      <w:r>
        <w:t xml:space="preserve">1. CI_ENVIRONMENT=production. 2. HTTPS activo. 3. .env fuera de Git. 4. Usuario MySQL de mínimo privilegio. 5. Orígenes CORS exactos. 6. audit.ipHashSalt seguro. 7. Variables Azure verificadas con un token real. 8. Logs y retención de auditoría definidos. 9. Copias de seguridad y monitoreo configurados. 10. Documentación de endpoints y pruebas automatizadas actualizadas.</w:t>
      </w:r>
    </w:p>
    <w:p>
      <w:pPr>
        <w:pStyle w:val="Heading1"/>
      </w:pPr>
      <w:r>
        <w:t xml:space="preserve">10. Mantenimiento</w:t>
      </w:r>
    </w:p>
    <w:p>
      <w:pPr>
        <w:pStyle w:val="Normal"/>
      </w:pPr>
      <w:r>
        <w:t xml:space="preserve">Revise periódicamente composer audit --locked y las actualizaciones de CodeIgniter, PHP y firebase/php-jwt. No habilite page cache en rutas autenticadas. Cada proyecto debe tener su propio registro de API, credenciales de BD y secretos de auditoría.</w:t>
      </w:r>
    </w:p>
    <w:p>
      <w:pPr>
        <w:pStyle w:val="Heading1"/>
      </w:pPr>
      <w:r>
        <w:t>7. Arquitectura en capas</w:t>
      </w:r>
    </w:p>
    <w:p>
      <w:r>
        <w:t xml:space="preserve">Todo endpoint de negocio debe seguir Controller → Service → Repository → Database. Mantener estas responsabilidades separadas facilita las pruebas, la seguridad y el mantenimiento.</w:t>
      </w:r>
    </w:p>
    <w:p>
      <w:r>
        <w:t xml:space="preserve">Controller: recibe HTTP, valida el formato de entrada, delega al servicio y devuelve la respuesta. No contiene SQL ni reglas de negocio.</w:t>
      </w:r>
    </w:p>
    <w:p>
      <w:r>
        <w:t xml:space="preserve">Service: implementa el caso de uso, reglas de negocio, autorización específica y transacciones. No conoce respuestas HTTP ni construye consultas SQL.</w:t>
      </w:r>
    </w:p>
    <w:p>
      <w:r>
        <w:t xml:space="preserve">Repository: encapsula consultas y persistencia; extienda App\Repositories\BaseRepository. No recibe RequestInterface ni devuelve JSON.</w:t>
      </w:r>
    </w:p>
    <w:p>
      <w:r>
        <w:t xml:space="preserve">Database: se modifica sólo mediante migraciones versionadas, reversibles y propias de cada proyecto.</w:t>
      </w:r>
    </w:p>
    <w:p>
      <w:pPr>
        <w:pStyle w:val="Heading2"/>
      </w:pPr>
      <w:r>
        <w:t>Reglas prácticas</w:t>
      </w:r>
    </w:p>
    <w:p>
      <w:r>
        <w:t xml:space="preserve">El controlador llama únicamente a servicios. El servicio puede coordinar varios repositorios. El repositorio es la única capa que consulta la base de datos. Las entidades o DTOs que se agreguen no deben depender de HTTP.</w:t>
      </w:r>
    </w:p>
    <w:sectPr>
      <w:pgSz w:w="12240" w:h="15840"/>
      <w:pgMar w:top="1440" w:right="1440" w:bottom="1440" w:left="144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style>
  <w:style w:type="paragraph" w:styleId="Title">
    <w:name w:val="Title"/>
    <w:rPr>
      <w:b/>
      <w:sz w:val="36"/>
      <w:color w:val="1F4E78"/>
    </w:rPr>
  </w:style>
  <w:style w:type="paragraph" w:styleId="Heading1">
    <w:name w:val="Heading 1"/>
    <w:rPr>
      <w:b/>
      <w:sz w:val="28"/>
      <w:color w:val="1F4E78"/>
    </w:rPr>
  </w:style>
  <w:style w:type="paragraph" w:styleId="Heading2">
    <w:name w:val="Heading 2"/>
    <w:rPr>
      <w:b/>
      <w:sz w:val="24"/>
      <w:color w:val="2F75B5"/>
    </w:rPr>
  </w:style>
  <w:style w:type="paragraph" w:styleId="Code">
    <w:name w:val="Code"/>
    <w:rPr>
      <w:rFonts w:ascii="Consolas" w:hAnsi="Consolas"/>
      <w:sz w:val="18"/>
      <w:color w:val="40404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Base Backend</Application>
</Properties>
</file>

<file path=docProps/core.xml><?xml version="1.0" encoding="utf-8"?>
<cp:coreProperties xmlns:cp="http://schemas.openxmlformats.org/package/2006/metadata/core-properties" xmlns:dc="http://purl.org/dc/elements/1.1/" xmlns:dcterms="http://purl.org/dc/terms/" xmlns:xsi="http://www.w3.org/2001/XMLSchema-instance">
  <dc:title>Guía de configuración paso a paso — Base Backend</dc:title>
  <dc:creator>Producción GESPRO</dc:creator>
  <cp:lastModifiedBy>Producción GESPRO</cp:lastModifiedBy>
  <dcterms:created xsi:type="dcterms:W3CDTF">2026-07-23T00:00:00Z</dcterms:created>
</cp:coreProperties>
</file>