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163F" w:rsidRPr="00D86C2D" w:rsidRDefault="00D86C2D" w:rsidP="00D86C2D">
      <w:pPr>
        <w:jc w:val="center"/>
        <w:rPr>
          <w:b/>
          <w:sz w:val="28"/>
        </w:rPr>
      </w:pPr>
      <w:r w:rsidRPr="00D86C2D">
        <w:rPr>
          <w:b/>
          <w:sz w:val="28"/>
        </w:rPr>
        <w:t>Respuesta a solicitud reunión #5 del 25 de marzo del 2019</w:t>
      </w:r>
    </w:p>
    <w:p w:rsidR="00720D0D" w:rsidRDefault="00720D0D"/>
    <w:p w:rsidR="00720D0D" w:rsidRPr="00562931" w:rsidRDefault="00720D0D" w:rsidP="00720D0D">
      <w:pPr>
        <w:shd w:val="clear" w:color="auto" w:fill="FFD966" w:themeFill="accent4" w:themeFillTint="99"/>
        <w:jc w:val="center"/>
        <w:rPr>
          <w:b/>
        </w:rPr>
      </w:pPr>
      <w:r w:rsidRPr="00562931">
        <w:rPr>
          <w:b/>
        </w:rPr>
        <w:t xml:space="preserve">SOBRE LOS </w:t>
      </w:r>
      <w:r>
        <w:rPr>
          <w:b/>
        </w:rPr>
        <w:t>AUDIOS ENVIADOS</w:t>
      </w:r>
      <w:r w:rsidRPr="00562931">
        <w:rPr>
          <w:b/>
        </w:rPr>
        <w:t xml:space="preserve"> </w:t>
      </w:r>
      <w:r w:rsidR="004249E4">
        <w:rPr>
          <w:b/>
        </w:rPr>
        <w:t>LOS ELEGIDOS  PARA I CICLO Y PARA II CICLO</w:t>
      </w:r>
    </w:p>
    <w:p w:rsidR="00E46D9E" w:rsidRPr="00E46D9E" w:rsidRDefault="00E46D9E" w:rsidP="00E46D9E">
      <w:pPr>
        <w:spacing w:before="100" w:beforeAutospacing="1" w:after="100" w:afterAutospacing="1" w:line="240" w:lineRule="auto"/>
        <w:rPr>
          <w:rFonts w:ascii="Century Gothic" w:hAnsi="Century Gothic"/>
          <w:lang w:val="es-CR"/>
        </w:rPr>
      </w:pPr>
      <w:r>
        <w:rPr>
          <w:rFonts w:ascii="Century Gothic" w:hAnsi="Century Gothic"/>
          <w:lang w:val="es-CR"/>
        </w:rPr>
        <w:t xml:space="preserve">En relación a los audios lo que más nos llama la atención son los siguientes dos audios, pensando en </w:t>
      </w:r>
      <w:r w:rsidR="00580999">
        <w:rPr>
          <w:rFonts w:ascii="Century Gothic" w:hAnsi="Century Gothic"/>
          <w:lang w:val="es-CR"/>
        </w:rPr>
        <w:t>el primero para I Ciclo y el segundo para II Ciclo.</w:t>
      </w:r>
    </w:p>
    <w:p w:rsidR="00720D0D" w:rsidRDefault="00720D0D" w:rsidP="00720D0D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contextualSpacing w:val="0"/>
        <w:rPr>
          <w:rFonts w:ascii="Century Gothic" w:hAnsi="Century Gothic"/>
          <w:lang w:val="es-CR"/>
        </w:rPr>
      </w:pPr>
      <w:r>
        <w:rPr>
          <w:rFonts w:ascii="Century Gothic" w:hAnsi="Century Gothic"/>
          <w:lang w:val="es-CR"/>
        </w:rPr>
        <w:t>PRUEBAS ROBOT 004C</w:t>
      </w:r>
    </w:p>
    <w:p w:rsidR="004249E4" w:rsidRPr="004249E4" w:rsidRDefault="00720D0D" w:rsidP="004249E4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contextualSpacing w:val="0"/>
        <w:rPr>
          <w:rFonts w:ascii="Century Gothic" w:hAnsi="Century Gothic"/>
          <w:sz w:val="24"/>
          <w:szCs w:val="24"/>
          <w:lang w:val="es-CR" w:eastAsia="es-CR"/>
        </w:rPr>
      </w:pPr>
      <w:r>
        <w:rPr>
          <w:rFonts w:ascii="Century Gothic" w:hAnsi="Century Gothic"/>
          <w:lang w:val="es-CR"/>
        </w:rPr>
        <w:t>PRUEBAS ROBOT 009B</w:t>
      </w:r>
    </w:p>
    <w:p w:rsidR="00720D0D" w:rsidRPr="00562931" w:rsidRDefault="00720D0D" w:rsidP="00720D0D">
      <w:pPr>
        <w:shd w:val="clear" w:color="auto" w:fill="FFD966" w:themeFill="accent4" w:themeFillTint="99"/>
        <w:jc w:val="center"/>
        <w:rPr>
          <w:b/>
        </w:rPr>
      </w:pPr>
      <w:r w:rsidRPr="00562931">
        <w:rPr>
          <w:b/>
        </w:rPr>
        <w:t xml:space="preserve">SOBRE </w:t>
      </w:r>
      <w:r>
        <w:rPr>
          <w:b/>
        </w:rPr>
        <w:t>EL NOMBRE APROBADO</w:t>
      </w:r>
    </w:p>
    <w:p w:rsidR="009A2A9C" w:rsidRDefault="00562931">
      <w:r>
        <w:t>Sobre el nombre</w:t>
      </w:r>
      <w:r w:rsidR="004249E4">
        <w:t xml:space="preserve"> del robot, </w:t>
      </w:r>
      <w:r>
        <w:t xml:space="preserve"> Nelson indi</w:t>
      </w:r>
      <w:r w:rsidR="004249E4">
        <w:t xml:space="preserve">ca que si está de acuerdo con el elegido: </w:t>
      </w:r>
      <w:r w:rsidRPr="00562931">
        <w:rPr>
          <w:b/>
          <w:sz w:val="32"/>
        </w:rPr>
        <w:t xml:space="preserve">C+106 </w:t>
      </w:r>
    </w:p>
    <w:p w:rsidR="00562931" w:rsidRPr="00562931" w:rsidRDefault="00562931" w:rsidP="00562931">
      <w:pPr>
        <w:shd w:val="clear" w:color="auto" w:fill="FFD966" w:themeFill="accent4" w:themeFillTint="99"/>
        <w:jc w:val="center"/>
        <w:rPr>
          <w:b/>
        </w:rPr>
      </w:pPr>
      <w:r w:rsidRPr="00562931">
        <w:rPr>
          <w:b/>
        </w:rPr>
        <w:t xml:space="preserve">SOBRE LOS DISEÑOS QUE MÁS </w:t>
      </w:r>
      <w:r w:rsidR="00D86C2D">
        <w:rPr>
          <w:b/>
        </w:rPr>
        <w:t xml:space="preserve"> NOS </w:t>
      </w:r>
      <w:r w:rsidR="00580999">
        <w:rPr>
          <w:b/>
        </w:rPr>
        <w:t>AGRADA</w:t>
      </w:r>
      <w:bookmarkStart w:id="0" w:name="_GoBack"/>
      <w:bookmarkEnd w:id="0"/>
    </w:p>
    <w:p w:rsidR="009A2A9C" w:rsidRDefault="009A2A9C" w:rsidP="00D86C2D">
      <w:pPr>
        <w:pStyle w:val="Prrafodelista"/>
        <w:numPr>
          <w:ilvl w:val="0"/>
          <w:numId w:val="1"/>
        </w:numPr>
      </w:pPr>
      <w:r>
        <w:t xml:space="preserve">Colores intensos </w:t>
      </w:r>
    </w:p>
    <w:p w:rsidR="00D86C2D" w:rsidRDefault="00D86C2D" w:rsidP="00D86C2D">
      <w:pPr>
        <w:pStyle w:val="Prrafodelista"/>
        <w:numPr>
          <w:ilvl w:val="0"/>
          <w:numId w:val="1"/>
        </w:numPr>
      </w:pPr>
      <w:r>
        <w:t>Sin bordes negros</w:t>
      </w:r>
    </w:p>
    <w:p w:rsidR="00D86C2D" w:rsidRDefault="00D86C2D"/>
    <w:p w:rsidR="009A2A9C" w:rsidRDefault="009A2A9C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7AAE5A06" wp14:editId="0DC086B4">
            <wp:extent cx="2621280" cy="13106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lustración 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456" cy="13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9C" w:rsidRDefault="009A2A9C">
      <w:r>
        <w:rPr>
          <w:noProof/>
          <w:lang w:eastAsia="es-ES"/>
        </w:rPr>
        <w:drawing>
          <wp:inline distT="0" distB="0" distL="0" distR="0" wp14:anchorId="492F61CC" wp14:editId="39C79A7D">
            <wp:extent cx="2430780" cy="1856528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lustración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138" cy="18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C2D">
        <w:t xml:space="preserve">  </w:t>
      </w:r>
      <w:r w:rsidR="00562931">
        <w:rPr>
          <w:noProof/>
          <w:lang w:eastAsia="es-ES"/>
        </w:rPr>
        <w:drawing>
          <wp:inline distT="0" distB="0" distL="0" distR="0" wp14:anchorId="6811EC96" wp14:editId="12AE33DA">
            <wp:extent cx="2430780" cy="18132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7008" cy="186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31" w:rsidRDefault="00D86C2D">
      <w:r>
        <w:rPr>
          <w:noProof/>
          <w:lang w:eastAsia="es-ES"/>
        </w:rPr>
        <w:lastRenderedPageBreak/>
        <w:drawing>
          <wp:inline distT="0" distB="0" distL="0" distR="0" wp14:anchorId="18559AFD" wp14:editId="22C23C2B">
            <wp:extent cx="4916973" cy="31972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749" cy="32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2D" w:rsidRDefault="00D86C2D">
      <w:r>
        <w:rPr>
          <w:noProof/>
          <w:lang w:eastAsia="es-ES"/>
        </w:rPr>
        <w:drawing>
          <wp:inline distT="0" distB="0" distL="0" distR="0" wp14:anchorId="43EA3537" wp14:editId="5922CAF7">
            <wp:extent cx="5105400" cy="2716464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200" cy="27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2D" w:rsidRDefault="00D86C2D"/>
    <w:p w:rsidR="009A2A9C" w:rsidRPr="004249E4" w:rsidRDefault="004249E4" w:rsidP="00562931">
      <w:pPr>
        <w:shd w:val="clear" w:color="auto" w:fill="FFD966" w:themeFill="accent4" w:themeFillTint="99"/>
        <w:jc w:val="center"/>
        <w:rPr>
          <w:b/>
        </w:rPr>
      </w:pPr>
      <w:r w:rsidRPr="004249E4">
        <w:rPr>
          <w:b/>
        </w:rPr>
        <w:t>RECOMENDACIONES</w:t>
      </w:r>
    </w:p>
    <w:p w:rsidR="004249E4" w:rsidRDefault="004249E4" w:rsidP="004249E4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entury Gothic" w:hAnsi="Century Gothic" w:cs="Calibri"/>
          <w:color w:val="212121"/>
          <w:sz w:val="22"/>
          <w:szCs w:val="22"/>
        </w:rPr>
        <w:t>1.</w:t>
      </w:r>
      <w:r>
        <w:rPr>
          <w:color w:val="212121"/>
          <w:sz w:val="14"/>
          <w:szCs w:val="14"/>
        </w:rPr>
        <w:t>    </w:t>
      </w:r>
      <w:r>
        <w:rPr>
          <w:rFonts w:ascii="Century Gothic" w:hAnsi="Century Gothic" w:cs="Calibri"/>
          <w:color w:val="212121"/>
          <w:sz w:val="22"/>
          <w:szCs w:val="22"/>
        </w:rPr>
        <w:t>Representar fenómenos físicamente posibles.</w:t>
      </w:r>
    </w:p>
    <w:p w:rsidR="004249E4" w:rsidRDefault="004249E4" w:rsidP="004249E4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entury Gothic" w:hAnsi="Century Gothic" w:cs="Calibri"/>
          <w:color w:val="212121"/>
          <w:sz w:val="22"/>
          <w:szCs w:val="22"/>
        </w:rPr>
        <w:t>2.</w:t>
      </w:r>
      <w:r>
        <w:rPr>
          <w:color w:val="212121"/>
          <w:sz w:val="14"/>
          <w:szCs w:val="14"/>
        </w:rPr>
        <w:t>    </w:t>
      </w:r>
      <w:r>
        <w:rPr>
          <w:rFonts w:ascii="Century Gothic" w:hAnsi="Century Gothic" w:cs="Calibri"/>
          <w:color w:val="212121"/>
          <w:sz w:val="22"/>
          <w:szCs w:val="22"/>
        </w:rPr>
        <w:t>Incorporar la diversidad propia de la sociedad costarricense en general, y de los centros educativos en particular.</w:t>
      </w:r>
    </w:p>
    <w:p w:rsidR="004249E4" w:rsidRDefault="004249E4" w:rsidP="004249E4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entury Gothic" w:hAnsi="Century Gothic" w:cs="Calibri"/>
          <w:color w:val="212121"/>
          <w:sz w:val="22"/>
          <w:szCs w:val="22"/>
        </w:rPr>
        <w:t>3.</w:t>
      </w:r>
      <w:r>
        <w:rPr>
          <w:color w:val="212121"/>
          <w:sz w:val="14"/>
          <w:szCs w:val="14"/>
        </w:rPr>
        <w:t>    </w:t>
      </w:r>
      <w:r>
        <w:rPr>
          <w:rFonts w:ascii="Century Gothic" w:hAnsi="Century Gothic" w:cs="Calibri"/>
          <w:color w:val="212121"/>
          <w:sz w:val="22"/>
          <w:szCs w:val="22"/>
        </w:rPr>
        <w:t>Dibujar la figura humana completa, para evitar la descontextualización de sus partes.</w:t>
      </w:r>
    </w:p>
    <w:p w:rsidR="004249E4" w:rsidRDefault="004249E4" w:rsidP="004249E4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entury Gothic" w:hAnsi="Century Gothic" w:cs="Calibri"/>
          <w:color w:val="212121"/>
          <w:sz w:val="22"/>
          <w:szCs w:val="22"/>
        </w:rPr>
        <w:t>4.</w:t>
      </w:r>
      <w:r>
        <w:rPr>
          <w:color w:val="212121"/>
          <w:sz w:val="14"/>
          <w:szCs w:val="14"/>
        </w:rPr>
        <w:t>    </w:t>
      </w:r>
      <w:r>
        <w:rPr>
          <w:rFonts w:ascii="Century Gothic" w:hAnsi="Century Gothic" w:cs="Calibri"/>
          <w:color w:val="212121"/>
          <w:sz w:val="22"/>
          <w:szCs w:val="22"/>
        </w:rPr>
        <w:t>Vigilar la exclusión de antivalores</w:t>
      </w:r>
    </w:p>
    <w:p w:rsidR="004249E4" w:rsidRDefault="004249E4" w:rsidP="004249E4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entury Gothic" w:hAnsi="Century Gothic" w:cs="Calibri"/>
          <w:color w:val="212121"/>
          <w:sz w:val="22"/>
          <w:szCs w:val="22"/>
        </w:rPr>
        <w:t>5.</w:t>
      </w:r>
      <w:r>
        <w:rPr>
          <w:color w:val="212121"/>
          <w:sz w:val="14"/>
          <w:szCs w:val="14"/>
        </w:rPr>
        <w:t>    </w:t>
      </w:r>
      <w:r>
        <w:rPr>
          <w:rFonts w:ascii="Century Gothic" w:hAnsi="Century Gothic" w:cs="Calibri"/>
          <w:color w:val="212121"/>
          <w:sz w:val="22"/>
          <w:szCs w:val="22"/>
        </w:rPr>
        <w:t>Asociarse con los pilares de la política curricular (desarrollo sostenible, ciudadanía planetaria, ciudadanía digital)</w:t>
      </w:r>
    </w:p>
    <w:p w:rsidR="004249E4" w:rsidRDefault="004249E4" w:rsidP="004249E4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entury Gothic" w:hAnsi="Century Gothic" w:cs="Calibri"/>
          <w:color w:val="212121"/>
          <w:sz w:val="22"/>
          <w:szCs w:val="22"/>
        </w:rPr>
        <w:t>6.</w:t>
      </w:r>
      <w:r>
        <w:rPr>
          <w:color w:val="212121"/>
          <w:sz w:val="14"/>
          <w:szCs w:val="14"/>
        </w:rPr>
        <w:t>    </w:t>
      </w:r>
      <w:r>
        <w:rPr>
          <w:rFonts w:ascii="Century Gothic" w:hAnsi="Century Gothic" w:cs="Calibri"/>
          <w:color w:val="212121"/>
          <w:sz w:val="22"/>
          <w:szCs w:val="22"/>
        </w:rPr>
        <w:t>Ser cercana a la realidad (por ejemplo, no representar los ojos como puntitos).</w:t>
      </w:r>
    </w:p>
    <w:p w:rsidR="004249E4" w:rsidRDefault="004249E4" w:rsidP="004249E4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entury Gothic" w:hAnsi="Century Gothic" w:cs="Calibri"/>
          <w:color w:val="212121"/>
          <w:sz w:val="22"/>
          <w:szCs w:val="22"/>
        </w:rPr>
        <w:t>7.</w:t>
      </w:r>
      <w:r>
        <w:rPr>
          <w:color w:val="212121"/>
          <w:sz w:val="14"/>
          <w:szCs w:val="14"/>
        </w:rPr>
        <w:t>    </w:t>
      </w:r>
      <w:r>
        <w:rPr>
          <w:rFonts w:ascii="Century Gothic" w:hAnsi="Century Gothic" w:cs="Calibri"/>
          <w:color w:val="212121"/>
          <w:sz w:val="22"/>
          <w:szCs w:val="22"/>
        </w:rPr>
        <w:t>Promover la seguridad de las personas representadas.</w:t>
      </w:r>
    </w:p>
    <w:p w:rsidR="004249E4" w:rsidRDefault="004249E4" w:rsidP="004249E4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entury Gothic" w:hAnsi="Century Gothic" w:cs="Calibri"/>
          <w:color w:val="212121"/>
          <w:sz w:val="22"/>
          <w:szCs w:val="22"/>
        </w:rPr>
        <w:lastRenderedPageBreak/>
        <w:t>8.</w:t>
      </w:r>
      <w:r>
        <w:rPr>
          <w:color w:val="212121"/>
          <w:sz w:val="14"/>
          <w:szCs w:val="14"/>
        </w:rPr>
        <w:t>    </w:t>
      </w:r>
      <w:r>
        <w:rPr>
          <w:rFonts w:ascii="Century Gothic" w:hAnsi="Century Gothic" w:cs="Calibri"/>
          <w:color w:val="212121"/>
          <w:sz w:val="22"/>
          <w:szCs w:val="22"/>
        </w:rPr>
        <w:t>Procurar que sean elementos útiles que orienten la comprensión integral del material (no solo deben cumplir un elemento decorativo que podría distraer del objetivo del producto).</w:t>
      </w:r>
    </w:p>
    <w:p w:rsidR="009A2A9C" w:rsidRPr="004249E4" w:rsidRDefault="009A2A9C">
      <w:pPr>
        <w:rPr>
          <w:lang w:val="es-CR"/>
        </w:rPr>
      </w:pPr>
    </w:p>
    <w:sectPr w:rsidR="009A2A9C" w:rsidRPr="004249E4" w:rsidSect="00562931">
      <w:pgSz w:w="11906" w:h="16838"/>
      <w:pgMar w:top="1417" w:right="1133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0747AA"/>
    <w:multiLevelType w:val="hybridMultilevel"/>
    <w:tmpl w:val="F1D647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B5374F"/>
    <w:multiLevelType w:val="hybridMultilevel"/>
    <w:tmpl w:val="168697F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A9C"/>
    <w:rsid w:val="00083067"/>
    <w:rsid w:val="004249E4"/>
    <w:rsid w:val="00562931"/>
    <w:rsid w:val="00580999"/>
    <w:rsid w:val="00720D0D"/>
    <w:rsid w:val="0078163F"/>
    <w:rsid w:val="009A2A9C"/>
    <w:rsid w:val="00D86C2D"/>
    <w:rsid w:val="00E46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4AE4F0-1418-4AB1-B013-61144738A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6C2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4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R" w:eastAsia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62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199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Hernandez Conejo</dc:creator>
  <cp:keywords/>
  <dc:description/>
  <cp:lastModifiedBy>Patricia Hernandez Conejo</cp:lastModifiedBy>
  <cp:revision>6</cp:revision>
  <dcterms:created xsi:type="dcterms:W3CDTF">2019-03-27T20:39:00Z</dcterms:created>
  <dcterms:modified xsi:type="dcterms:W3CDTF">2019-03-29T14:54:00Z</dcterms:modified>
</cp:coreProperties>
</file>