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</w:r>
    </w:p>
    <w:p>
      <w:pPr>
        <w:pStyle w:val="Subtitle"/>
      </w:pPr>
      <w:r>
        <w:t>ACME Corp</w:t>
      </w:r>
    </w:p>
    <w:p>
      <w:pPr>
        <w:pStyle w:val="Title"/>
      </w:pPr>
      <w:r>
        <w:t>Pre-feasibility Report</w:t>
      </w:r>
    </w:p>
    <w:p>
      <w:pPr>
        <w:pStyle w:val="Subtitle"/>
      </w:pPr>
      <w:r>
        <w:t>Go-To-Market Strategy</w:t>
      </w:r>
    </w:p>
    <w:p>
      <w:r>
        <w:br/>
        <w:br/>
      </w:r>
    </w:p>
    <w:p>
      <w:pPr/>
      <w:r>
        <w:t>2026-05-08</w:t>
      </w:r>
    </w:p>
    <w:p>
      <w:r>
        <w:br w:type="page"/>
      </w:r>
    </w:p>
    <w:p>
      <w:pPr>
        <w:pStyle w:val="Heading2"/>
      </w:pPr>
      <w:r>
        <w:t>Table of Contents</w:t>
      </w:r>
      <w:r/>
      <w:r/>
    </w:p>
    <w:p>
      <w:pPr>
        <w:pStyle w:val="ListBullet"/>
        <w:spacing w:line="240" w:lineRule="auto"/>
        <w:ind w:left="720"/>
      </w:pPr>
      <w:r/>
      <w:hyperlink r:id="rId9">
        <w:r>
          <w:rPr>
            <w:color w:val="0000EE"/>
            <w:u w:val="single"/>
          </w:rPr>
          <w:t>Executive Summary</w:t>
        </w:r>
      </w:hyperlink>
      <w:r/>
    </w:p>
    <w:p>
      <w:pPr>
        <w:pStyle w:val="ListBullet"/>
        <w:spacing w:line="240" w:lineRule="auto"/>
        <w:ind w:left="1440"/>
      </w:pPr>
      <w:r/>
      <w:hyperlink r:id="rId10">
        <w:r>
          <w:rPr>
            <w:color w:val="0000EE"/>
            <w:u w:val="single"/>
          </w:rPr>
          <w:t>Market Analysis</w:t>
        </w:r>
      </w:hyperlink>
      <w:r/>
      <w:r/>
      <w:r/>
      <w:r/>
      <w:r/>
      <w:r/>
    </w:p>
    <w:p>
      <w:pPr>
        <w:pStyle w:val="Heading1"/>
      </w:pPr>
      <w:r>
        <w:t>Executive Summary</w:t>
      </w:r>
      <w:r/>
    </w:p>
    <w:p>
      <w:r/>
      <w:r>
        <w:t>This is a test of the dynamic DocumentCraft features.</w:t>
      </w:r>
      <w:r/>
    </w:p>
    <w:p>
      <w:pPr>
        <w:pStyle w:val="Heading2"/>
      </w:pPr>
      <w:r>
        <w:t>Market Analysis</w:t>
      </w:r>
      <w:r/>
    </w:p>
    <w:p>
      <w:r/>
      <w:r>
        <w:t>We will analyze the market using the following algorithm:</w:t>
      </w:r>
      <w:r/>
    </w:p>
    <w:p>
      <w:r/>
      <w:r>
        <w:rPr>
          <w:rFonts w:ascii="Courier" w:hAnsi="Courier"/>
        </w:rPr>
        <w:t>def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analyze_market</w:t>
      </w:r>
      <w:r>
        <w:rPr>
          <w:rFonts w:ascii="Courier" w:hAnsi="Courier"/>
        </w:rPr>
        <w:t>(</w:t>
      </w:r>
      <w:r>
        <w:rPr>
          <w:rFonts w:ascii="Courier" w:hAnsi="Courier"/>
        </w:rPr>
        <w:t>data</w:t>
      </w:r>
      <w:r>
        <w:rPr>
          <w:rFonts w:ascii="Courier" w:hAnsi="Courier"/>
        </w:rPr>
        <w:t>):</w:t>
      </w:r>
      <w:r>
        <w:rPr>
          <w:rFonts w:ascii="Courier" w:hAnsi="Courier"/>
        </w:rPr>
        <w:br/>
        <w:t xml:space="preserve">    </w:t>
      </w:r>
      <w:r>
        <w:rPr>
          <w:rFonts w:ascii="Courier" w:hAnsi="Courier"/>
        </w:rPr>
        <w:t>for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entry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data</w:t>
      </w:r>
      <w:r>
        <w:rPr>
          <w:rFonts w:ascii="Courier" w:hAnsi="Courier"/>
        </w:rPr>
        <w:t>:</w:t>
      </w:r>
      <w:r>
        <w:rPr>
          <w:rFonts w:ascii="Courier" w:hAnsi="Courier"/>
        </w:rPr>
        <w:br/>
        <w:t xml:space="preserve">        </w:t>
      </w:r>
      <w:r>
        <w:rPr>
          <w:rFonts w:ascii="Courier" w:hAnsi="Courier"/>
        </w:rPr>
        <w:t>print</w:t>
      </w:r>
      <w:r>
        <w:rPr>
          <w:rFonts w:ascii="Courier" w:hAnsi="Courier"/>
        </w:rPr>
        <w:t>(</w:t>
      </w:r>
      <w:r>
        <w:rPr>
          <w:rFonts w:ascii="Courier" w:hAnsi="Courier"/>
        </w:rPr>
        <w:t>f</w:t>
      </w:r>
      <w:r>
        <w:rPr>
          <w:rFonts w:ascii="Courier" w:hAnsi="Courier"/>
        </w:rPr>
        <w:t xml:space="preserve">"Analyzing </w:t>
      </w:r>
      <w:r>
        <w:rPr>
          <w:rFonts w:ascii="Courier" w:hAnsi="Courier"/>
        </w:rPr>
        <w:t>{</w:t>
      </w:r>
      <w:r>
        <w:rPr>
          <w:rFonts w:ascii="Courier" w:hAnsi="Courier"/>
        </w:rPr>
        <w:t>entry</w:t>
      </w:r>
      <w:r>
        <w:rPr>
          <w:rFonts w:ascii="Courier" w:hAnsi="Courier"/>
        </w:rPr>
        <w:t>}</w:t>
      </w:r>
      <w:r>
        <w:rPr>
          <w:rFonts w:ascii="Courier" w:hAnsi="Courier"/>
        </w:rPr>
        <w:t>"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  <w:t xml:space="preserve">  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True</w:t>
      </w:r>
      <w:r>
        <w:rPr>
          <w:rFonts w:ascii="Courier" w:hAnsi="Courier"/>
        </w:rPr>
        <w:br/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80008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0808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80008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00808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egoe UI" w:hAnsi="Segoe UI"/>
      <w:color w:val="2B2B2B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egoe UI" w:hAnsi="Segoe UI"/>
      <w:color w:val="2B2B2B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/>
      <w:color w:val="2B2B2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egoe UI" w:hAnsi="Segoe UI"/>
      <w:color w:val="2B2B2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Segoe UI" w:hAnsi="Segoe UI"/>
      <w:color w:val="2B2B2B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executive-summary" TargetMode="External"/><Relationship Id="rId10" Type="http://schemas.openxmlformats.org/officeDocument/2006/relationships/hyperlink" Target="#market-analysis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