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3677F2" w:rsidR="007C461B" w:rsidP="003677F2" w:rsidRDefault="007C461B" w14:paraId="6345F414" w14:textId="6E5D5575"/>
    <w:p>
      <w:pPr>
        <w:pStyle w:val="Title"/>
      </w:pPr>
      <w:r>
        <w:t>Agentic AI in Airport Operations</w:t>
      </w:r>
    </w:p>
    <w:p>
      <w:pPr>
        <w:pStyle w:val="Subtitle"/>
      </w:pPr>
      <w:r>
        <w:t>Shown through example simulations from the operations platform</w:t>
      </w:r>
    </w:p>
    <w:p>
      <w:r>
        <w:t>The following pages show how agentic AI operates inside an airport operations platform. A small set of example simulations — baggage screening, flight operations, and security response — are used to illustrate the pattern; the same approach extends to most other operational areas, several of which are listed at the end. Nothing here is specific to one airport or one configuration — it describes an operating pattern that generalises across sites.</w:t>
      </w:r>
    </w:p>
    <w:p>
      <w:r>
        <w:t>Across every example, the platform runs the same sequence: it continuously watches operational data across systems that are normally separate, works out what is happening and how confident it is, matches the situation to the right procedure, carries out the low-risk steps immediately, and hands anything with real consequences to a person — with the reasoning already attached. That sequence is summarised below.</w:t>
      </w:r>
    </w:p>
    <w:tbl>
      <w:tblPr>
        <w:tblW w:type="auto" w:w="0"/>
        <w:tblLook w:firstColumn="1" w:firstRow="1" w:lastColumn="0" w:lastRow="0" w:noHBand="0" w:noVBand="1" w:val="04A0"/>
      </w:tblPr>
      <w:tblGrid>
        <w:gridCol w:w="4513"/>
        <w:gridCol w:w="4513"/>
      </w:tblGrid>
      <w:tr>
        <w:tc>
          <w:tcPr>
            <w:tcW w:type="dxa" w:w="1584"/>
            <w:tcBorders>
              <w:top w:val="single" w:sz="4" w:space="0" w:color="999999"/>
              <w:left w:val="single" w:sz="4" w:space="0" w:color="999999"/>
              <w:bottom w:val="single" w:sz="4" w:space="0" w:color="999999"/>
              <w:right w:val="single" w:sz="4" w:space="0" w:color="999999"/>
            </w:tcBorders>
          </w:tcPr>
          <w:p>
            <w:r>
              <w:rPr>
                <w:sz w:val="20"/>
              </w:rPr>
              <w:t>Detect</w:t>
            </w:r>
          </w:p>
        </w:tc>
        <w:tc>
          <w:tcPr>
            <w:tcW w:type="dxa" w:w="7632"/>
            <w:tcBorders>
              <w:top w:val="single" w:sz="4" w:space="0" w:color="999999"/>
              <w:left w:val="single" w:sz="4" w:space="0" w:color="999999"/>
              <w:bottom w:val="single" w:sz="4" w:space="0" w:color="999999"/>
              <w:right w:val="single" w:sz="4" w:space="0" w:color="999999"/>
            </w:tcBorders>
          </w:tcPr>
          <w:p>
            <w:r>
              <w:rPr>
                <w:sz w:val="20"/>
              </w:rPr>
              <w:t>Notices something forming — an abnormal reading, a developing pattern, a queue building — before it becomes visible through routine monitoring.</w:t>
            </w:r>
          </w:p>
        </w:tc>
      </w:tr>
      <w:tr>
        <w:tc>
          <w:tcPr>
            <w:tcW w:type="dxa" w:w="1584"/>
            <w:tcBorders>
              <w:top w:val="single" w:sz="4" w:space="0" w:color="999999"/>
              <w:left w:val="single" w:sz="4" w:space="0" w:color="999999"/>
              <w:bottom w:val="single" w:sz="4" w:space="0" w:color="999999"/>
              <w:right w:val="single" w:sz="4" w:space="0" w:color="999999"/>
            </w:tcBorders>
          </w:tcPr>
          <w:p>
            <w:r>
              <w:rPr>
                <w:sz w:val="20"/>
              </w:rPr>
              <w:t>Assess</w:t>
            </w:r>
          </w:p>
        </w:tc>
        <w:tc>
          <w:tcPr>
            <w:tcW w:type="dxa" w:w="7632"/>
            <w:tcBorders>
              <w:top w:val="single" w:sz="4" w:space="0" w:color="999999"/>
              <w:left w:val="single" w:sz="4" w:space="0" w:color="999999"/>
              <w:bottom w:val="single" w:sz="4" w:space="0" w:color="999999"/>
              <w:right w:val="single" w:sz="4" w:space="0" w:color="999999"/>
            </w:tcBorders>
          </w:tcPr>
          <w:p>
            <w:r>
              <w:rPr>
                <w:sz w:val="20"/>
              </w:rPr>
              <w:t>Works out how serious it is, how confident the system is, and what factors are contributing.</w:t>
            </w:r>
          </w:p>
        </w:tc>
      </w:tr>
      <w:tr>
        <w:tc>
          <w:tcPr>
            <w:tcW w:type="dxa" w:w="1584"/>
            <w:tcBorders>
              <w:top w:val="single" w:sz="4" w:space="0" w:color="999999"/>
              <w:left w:val="single" w:sz="4" w:space="0" w:color="999999"/>
              <w:bottom w:val="single" w:sz="4" w:space="0" w:color="999999"/>
              <w:right w:val="single" w:sz="4" w:space="0" w:color="999999"/>
            </w:tcBorders>
          </w:tcPr>
          <w:p>
            <w:r>
              <w:rPr>
                <w:sz w:val="20"/>
              </w:rPr>
              <w:t>Decide</w:t>
            </w:r>
          </w:p>
        </w:tc>
        <w:tc>
          <w:tcPr>
            <w:tcW w:type="dxa" w:w="7632"/>
            <w:tcBorders>
              <w:top w:val="single" w:sz="4" w:space="0" w:color="999999"/>
              <w:left w:val="single" w:sz="4" w:space="0" w:color="999999"/>
              <w:bottom w:val="single" w:sz="4" w:space="0" w:color="999999"/>
              <w:right w:val="single" w:sz="4" w:space="0" w:color="999999"/>
            </w:tcBorders>
          </w:tcPr>
          <w:p>
            <w:r>
              <w:rPr>
                <w:sz w:val="20"/>
              </w:rPr>
              <w:t>Matches the situation to the relevant procedure and works out the recommended response.</w:t>
            </w:r>
          </w:p>
        </w:tc>
      </w:tr>
      <w:tr>
        <w:tc>
          <w:tcPr>
            <w:tcW w:type="dxa" w:w="1584"/>
            <w:tcBorders>
              <w:top w:val="single" w:sz="4" w:space="0" w:color="999999"/>
              <w:left w:val="single" w:sz="4" w:space="0" w:color="999999"/>
              <w:bottom w:val="single" w:sz="4" w:space="0" w:color="999999"/>
              <w:right w:val="single" w:sz="4" w:space="0" w:color="999999"/>
            </w:tcBorders>
          </w:tcPr>
          <w:p>
            <w:r>
              <w:rPr>
                <w:sz w:val="20"/>
              </w:rPr>
              <w:t>Act</w:t>
            </w:r>
          </w:p>
        </w:tc>
        <w:tc>
          <w:tcPr>
            <w:tcW w:type="dxa" w:w="7632"/>
            <w:tcBorders>
              <w:top w:val="single" w:sz="4" w:space="0" w:color="999999"/>
              <w:left w:val="single" w:sz="4" w:space="0" w:color="999999"/>
              <w:bottom w:val="single" w:sz="4" w:space="0" w:color="999999"/>
              <w:right w:val="single" w:sz="4" w:space="0" w:color="999999"/>
            </w:tcBorders>
          </w:tcPr>
          <w:p>
            <w:r>
              <w:rPr>
                <w:sz w:val="20"/>
              </w:rPr>
              <w:t>Executes the low-risk, pre-approved steps immediately; routes anything consequential to a person for approval.</w:t>
            </w:r>
          </w:p>
        </w:tc>
      </w:tr>
      <w:tr>
        <w:tc>
          <w:tcPr>
            <w:tcW w:type="dxa" w:w="1584"/>
            <w:tcBorders>
              <w:top w:val="single" w:sz="4" w:space="0" w:color="999999"/>
              <w:left w:val="single" w:sz="4" w:space="0" w:color="999999"/>
              <w:bottom w:val="single" w:sz="4" w:space="0" w:color="999999"/>
              <w:right w:val="single" w:sz="4" w:space="0" w:color="999999"/>
            </w:tcBorders>
          </w:tcPr>
          <w:p>
            <w:r>
              <w:rPr>
                <w:sz w:val="20"/>
              </w:rPr>
              <w:t>Track</w:t>
            </w:r>
          </w:p>
        </w:tc>
        <w:tc>
          <w:tcPr>
            <w:tcW w:type="dxa" w:w="7632"/>
            <w:tcBorders>
              <w:top w:val="single" w:sz="4" w:space="0" w:color="999999"/>
              <w:left w:val="single" w:sz="4" w:space="0" w:color="999999"/>
              <w:bottom w:val="single" w:sz="4" w:space="0" w:color="999999"/>
              <w:right w:val="single" w:sz="4" w:space="0" w:color="999999"/>
            </w:tcBorders>
          </w:tcPr>
          <w:p>
            <w:r>
              <w:rPr>
                <w:sz w:val="20"/>
              </w:rPr>
              <w:t>Logs every action taken, automatic or approved, so there is a clear record of what happened.</w:t>
            </w:r>
          </w:p>
        </w:tc>
      </w:tr>
    </w:tbl>
    <w:p>
      <w:pPr>
        <w:spacing w:after="160"/>
      </w:pPr>
    </w:p>
    <w:p>
      <w:pPr>
        <w:pStyle w:val="Heading1"/>
      </w:pPr>
      <w:r>
        <w:t>Examples from the simulations</w:t>
      </w:r>
    </w:p>
    <w:p>
      <w:pPr>
        <w:pStyle w:val="Heading2"/>
      </w:pPr>
      <w:r>
        <w:t>Baggage screening</w:t>
      </w:r>
    </w:p>
    <w:p>
      <w:r>
        <w:t>As each bag moves through the belt system, it is scanned and reviewed automatically. Bags that read as normal simply continue — no one needs to look at them. Anything that needs a second look is routed to a secondary scanner on its own, without stopping the belt for everyone else. When a genuine concern is raised — for example a prohibited item or an unclaimed package — the platform starts the matching response on its own: isolating that bag, alerting the relevant specialist team, and opening a step-by-step checklist that tracks the response as it runs.</w:t>
      </w:r>
    </w:p>
    <w:p>
      <w:r>
        <w:rPr>
          <w:b/>
        </w:rPr>
        <w:t xml:space="preserve">Decision retained by operators:  </w:t>
      </w:r>
      <w:r>
        <w:t>People retain every judgement call — inspecting the item, deciding whether it is genuinely a risk, and clearing it. The platform's role is to get the right procedure and the right people moving within seconds, consistently, rather than depending on who happens to notice first.</w:t>
      </w:r>
    </w:p>
    <w:p>
      <w:pPr>
        <w:pStyle w:val="Heading2"/>
      </w:pPr>
      <w:r>
        <w:t>Flight operations</w:t>
      </w:r>
    </w:p>
    <w:p>
      <w:r>
        <w:t>The platform tracks where each aircraft is and what stage it is at, and triggers the next step automatically — runway lighting, taxiway guidance, gate systems waking up shortly before arrival — instead of each step waiting on a radio call. It also watches runway efficiency, taxi times and weather continuously, and suggests small timing adjustments that reduce fuel burned on the ground. When something larger is developing — deteriorating weather, a runway needing to close — it raises the flag early, with its reasoning and confidence attached.</w:t>
      </w:r>
    </w:p>
    <w:p>
      <w:r>
        <w:rPr>
          <w:b/>
        </w:rPr>
        <w:t xml:space="preserve">Decision retained by operators:  </w:t>
      </w:r>
      <w:r>
        <w:t>Grounding flights, closing a runway, or redirecting traffic around weather remain decisions made by a qualified controller. The platform prepares the ground and surfaces the full picture early enough for that decision to be made calmly rather than under time pressure.</w:t>
      </w:r>
    </w:p>
    <w:p>
      <w:pPr>
        <w:pStyle w:val="Heading2"/>
      </w:pPr>
      <w:r>
        <w:t>Security response</w:t>
      </w:r>
    </w:p>
    <w:p>
      <w:r>
        <w:t>The moment an item is flagged as unattended, the platform starts the full first response by itself: alerting the security desk, turning nearby cameras onto the location, preparing a public announcement, restricting access to the area, and dispatching a team — as one coordinated sequence rather than several separate actions someone has to remember to trigger.</w:t>
      </w:r>
    </w:p>
    <w:p>
      <w:r>
        <w:rPr>
          <w:b/>
        </w:rPr>
        <w:t xml:space="preserve">Decision retained by operators:  </w:t>
      </w:r>
      <w:r>
        <w:t>Whether the item is actually a threat, and when the area is safe to reopen, remain human decisions, made with live camera feeds and the running checklist in front of the team.</w:t>
      </w:r>
    </w:p>
    <w:p>
      <w:pPr>
        <w:spacing w:after="80"/>
      </w:pPr>
    </w:p>
    <w:p>
      <w:pPr>
        <w:pStyle w:val="Heading1"/>
      </w:pPr>
      <w:r>
        <w:t>Other applications of the same pattern</w:t>
      </w:r>
    </w:p>
    <w:p>
      <w:r>
        <w:t>The three examples above are illustrations, not the limit of where this applies. The same detect – assess – decide – act – track pattern extends to most other areas of an operation, for example:</w:t>
      </w:r>
    </w:p>
    <w:p>
      <w:pPr>
        <w:pStyle w:val="ListParagraph"/>
        <w:spacing w:after="60"/>
        <w:ind w:left="403"/>
      </w:pPr>
      <w:r>
        <w:rPr>
          <w:b/>
        </w:rPr>
        <w:t xml:space="preserve">•  Weather and disruption planning — </w:t>
      </w:r>
      <w:r>
        <w:t>forecasting the operational impact of an approaching weather event and recommending action before delays begin, rather than after.</w:t>
      </w:r>
    </w:p>
    <w:p>
      <w:pPr>
        <w:pStyle w:val="ListParagraph"/>
        <w:spacing w:after="60"/>
        <w:ind w:left="403"/>
      </w:pPr>
      <w:r>
        <w:rPr>
          <w:b/>
        </w:rPr>
        <w:t xml:space="preserve">•  Demand-based resource pricing — </w:t>
      </w:r>
      <w:r>
        <w:t>adjusting pricing or allocation for parking or other constrained resources as predicted demand shifts.</w:t>
      </w:r>
    </w:p>
    <w:p>
      <w:pPr>
        <w:pStyle w:val="ListParagraph"/>
        <w:spacing w:after="60"/>
        <w:ind w:left="403"/>
      </w:pPr>
      <w:r>
        <w:rPr>
          <w:b/>
        </w:rPr>
        <w:t xml:space="preserve">•  Predictive maintenance — </w:t>
      </w:r>
      <w:r>
        <w:t>flagging equipment for servicing from early signs such as abnormal vibration or performance drift, before it fails during operation.</w:t>
      </w:r>
    </w:p>
    <w:p>
      <w:pPr>
        <w:pStyle w:val="ListParagraph"/>
        <w:spacing w:after="60"/>
        <w:ind w:left="403"/>
      </w:pPr>
      <w:r>
        <w:rPr>
          <w:b/>
        </w:rPr>
        <w:t xml:space="preserve">•  Passenger or crowd flow — </w:t>
      </w:r>
      <w:r>
        <w:t>reallocating staff or opening additional capacity when queues or density are predicted to build up.</w:t>
      </w:r>
    </w:p>
    <w:p>
      <w:pPr>
        <w:pStyle w:val="ListParagraph"/>
        <w:spacing w:after="60"/>
        <w:ind w:left="403"/>
      </w:pPr>
      <w:r>
        <w:rPr>
          <w:b/>
        </w:rPr>
        <w:t xml:space="preserve">•  Multi-team incident coordination — </w:t>
      </w:r>
      <w:r>
        <w:t>running any operational event through a shared, trackable procedure so every team acts from the same picture.</w:t>
      </w:r>
    </w:p>
    <w:p>
      <w:pPr>
        <w:spacing w:after="120"/>
      </w:pPr>
    </w:p>
    <w:tbl>
      <w:tblPr>
        <w:tblW w:type="auto" w:w="0"/>
        <w:tblLook w:firstColumn="1" w:firstRow="1" w:lastColumn="0" w:lastRow="0" w:noHBand="0" w:noVBand="1" w:val="04A0"/>
      </w:tblPr>
      <w:tblGrid>
        <w:gridCol w:w="3009"/>
        <w:gridCol w:w="3009"/>
        <w:gridCol w:w="3009"/>
      </w:tblGrid>
      <w:tr>
        <w:tc>
          <w:tcPr>
            <w:tcW w:type="dxa" w:w="2304"/>
            <w:tcBorders>
              <w:top w:val="single" w:sz="4" w:space="0" w:color="999999"/>
              <w:left w:val="single" w:sz="4" w:space="0" w:color="999999"/>
              <w:bottom w:val="single" w:sz="4" w:space="0" w:color="999999"/>
              <w:right w:val="single" w:sz="4" w:space="0" w:color="999999"/>
            </w:tcBorders>
          </w:tcPr>
          <w:p>
            <w:r>
              <w:rPr>
                <w:b/>
                <w:sz w:val="20"/>
              </w:rPr>
              <w:t>Area</w:t>
            </w:r>
          </w:p>
        </w:tc>
        <w:tc>
          <w:tcPr>
            <w:tcW w:type="dxa" w:w="4176"/>
            <w:tcBorders>
              <w:top w:val="single" w:sz="4" w:space="0" w:color="999999"/>
              <w:left w:val="single" w:sz="4" w:space="0" w:color="999999"/>
              <w:bottom w:val="single" w:sz="4" w:space="0" w:color="999999"/>
              <w:right w:val="single" w:sz="4" w:space="0" w:color="999999"/>
            </w:tcBorders>
          </w:tcPr>
          <w:p>
            <w:r>
              <w:rPr>
                <w:b/>
                <w:sz w:val="20"/>
              </w:rPr>
              <w:t>What improves</w:t>
            </w:r>
          </w:p>
        </w:tc>
        <w:tc>
          <w:tcPr>
            <w:tcW w:type="dxa" w:w="2736"/>
            <w:tcBorders>
              <w:top w:val="single" w:sz="4" w:space="0" w:color="999999"/>
              <w:left w:val="single" w:sz="4" w:space="0" w:color="999999"/>
              <w:bottom w:val="single" w:sz="4" w:space="0" w:color="999999"/>
              <w:right w:val="single" w:sz="4" w:space="0" w:color="999999"/>
            </w:tcBorders>
          </w:tcPr>
          <w:p>
            <w:r>
              <w:rPr>
                <w:b/>
                <w:sz w:val="20"/>
              </w:rPr>
              <w:t>Illustrative result</w:t>
            </w:r>
          </w:p>
        </w:tc>
      </w:tr>
      <w:tr>
        <w:tc>
          <w:tcPr>
            <w:tcW w:type="dxa" w:w="2304"/>
            <w:tcBorders>
              <w:top w:val="single" w:sz="4" w:space="0" w:color="999999"/>
              <w:left w:val="single" w:sz="4" w:space="0" w:color="999999"/>
              <w:bottom w:val="single" w:sz="4" w:space="0" w:color="999999"/>
              <w:right w:val="single" w:sz="4" w:space="0" w:color="999999"/>
            </w:tcBorders>
          </w:tcPr>
          <w:p>
            <w:r>
              <w:rPr>
                <w:sz w:val="20"/>
              </w:rPr>
              <w:t>Predictive detection</w:t>
            </w:r>
          </w:p>
        </w:tc>
        <w:tc>
          <w:tcPr>
            <w:tcW w:type="dxa" w:w="4176"/>
            <w:tcBorders>
              <w:top w:val="single" w:sz="4" w:space="0" w:color="999999"/>
              <w:left w:val="single" w:sz="4" w:space="0" w:color="999999"/>
              <w:bottom w:val="single" w:sz="4" w:space="0" w:color="999999"/>
              <w:right w:val="single" w:sz="4" w:space="0" w:color="999999"/>
            </w:tcBorders>
          </w:tcPr>
          <w:p>
            <w:r>
              <w:rPr>
                <w:sz w:val="20"/>
              </w:rPr>
              <w:t>Issues caught before they escalate</w:t>
            </w:r>
          </w:p>
        </w:tc>
        <w:tc>
          <w:tcPr>
            <w:tcW w:type="dxa" w:w="2736"/>
            <w:tcBorders>
              <w:top w:val="single" w:sz="4" w:space="0" w:color="999999"/>
              <w:left w:val="single" w:sz="4" w:space="0" w:color="999999"/>
              <w:bottom w:val="single" w:sz="4" w:space="0" w:color="999999"/>
              <w:right w:val="single" w:sz="4" w:space="0" w:color="999999"/>
            </w:tcBorders>
          </w:tcPr>
          <w:p>
            <w:r>
              <w:rPr>
                <w:sz w:val="20"/>
              </w:rPr>
              <w:t>most flagged in advance, in modelled scenarios</w:t>
            </w:r>
          </w:p>
        </w:tc>
      </w:tr>
      <w:tr>
        <w:tc>
          <w:tcPr>
            <w:tcW w:type="dxa" w:w="2304"/>
            <w:tcBorders>
              <w:top w:val="single" w:sz="4" w:space="0" w:color="999999"/>
              <w:left w:val="single" w:sz="4" w:space="0" w:color="999999"/>
              <w:bottom w:val="single" w:sz="4" w:space="0" w:color="999999"/>
              <w:right w:val="single" w:sz="4" w:space="0" w:color="999999"/>
            </w:tcBorders>
          </w:tcPr>
          <w:p>
            <w:r>
              <w:rPr>
                <w:sz w:val="20"/>
              </w:rPr>
              <w:t>Incident response</w:t>
            </w:r>
          </w:p>
        </w:tc>
        <w:tc>
          <w:tcPr>
            <w:tcW w:type="dxa" w:w="4176"/>
            <w:tcBorders>
              <w:top w:val="single" w:sz="4" w:space="0" w:color="999999"/>
              <w:left w:val="single" w:sz="4" w:space="0" w:color="999999"/>
              <w:bottom w:val="single" w:sz="4" w:space="0" w:color="999999"/>
              <w:right w:val="single" w:sz="4" w:space="0" w:color="999999"/>
            </w:tcBorders>
          </w:tcPr>
          <w:p>
            <w:r>
              <w:rPr>
                <w:sz w:val="20"/>
              </w:rPr>
              <w:t>Time to begin a coordinated response</w:t>
            </w:r>
          </w:p>
        </w:tc>
        <w:tc>
          <w:tcPr>
            <w:tcW w:type="dxa" w:w="2736"/>
            <w:tcBorders>
              <w:top w:val="single" w:sz="4" w:space="0" w:color="999999"/>
              <w:left w:val="single" w:sz="4" w:space="0" w:color="999999"/>
              <w:bottom w:val="single" w:sz="4" w:space="0" w:color="999999"/>
              <w:right w:val="single" w:sz="4" w:space="0" w:color="999999"/>
            </w:tcBorders>
          </w:tcPr>
          <w:p>
            <w:r>
              <w:rPr>
                <w:sz w:val="20"/>
              </w:rPr>
              <w:t>reduced from minutes to seconds</w:t>
            </w:r>
          </w:p>
        </w:tc>
      </w:tr>
      <w:tr>
        <w:tc>
          <w:tcPr>
            <w:tcW w:type="dxa" w:w="2304"/>
            <w:tcBorders>
              <w:top w:val="single" w:sz="4" w:space="0" w:color="999999"/>
              <w:left w:val="single" w:sz="4" w:space="0" w:color="999999"/>
              <w:bottom w:val="single" w:sz="4" w:space="0" w:color="999999"/>
              <w:right w:val="single" w:sz="4" w:space="0" w:color="999999"/>
            </w:tcBorders>
          </w:tcPr>
          <w:p>
            <w:r>
              <w:rPr>
                <w:sz w:val="20"/>
              </w:rPr>
              <w:t>Queue management</w:t>
            </w:r>
          </w:p>
        </w:tc>
        <w:tc>
          <w:tcPr>
            <w:tcW w:type="dxa" w:w="4176"/>
            <w:tcBorders>
              <w:top w:val="single" w:sz="4" w:space="0" w:color="999999"/>
              <w:left w:val="single" w:sz="4" w:space="0" w:color="999999"/>
              <w:bottom w:val="single" w:sz="4" w:space="0" w:color="999999"/>
              <w:right w:val="single" w:sz="4" w:space="0" w:color="999999"/>
            </w:tcBorders>
          </w:tcPr>
          <w:p>
            <w:r>
              <w:rPr>
                <w:sz w:val="20"/>
              </w:rPr>
              <w:t>Average wait time at constrained checkpoints</w:t>
            </w:r>
          </w:p>
        </w:tc>
        <w:tc>
          <w:tcPr>
            <w:tcW w:type="dxa" w:w="2736"/>
            <w:tcBorders>
              <w:top w:val="single" w:sz="4" w:space="0" w:color="999999"/>
              <w:left w:val="single" w:sz="4" w:space="0" w:color="999999"/>
              <w:bottom w:val="single" w:sz="4" w:space="0" w:color="999999"/>
              <w:right w:val="single" w:sz="4" w:space="0" w:color="999999"/>
            </w:tcBorders>
          </w:tcPr>
          <w:p>
            <w:r>
              <w:rPr>
                <w:sz w:val="20"/>
              </w:rPr>
              <w:t>meaningfully reduced</w:t>
            </w:r>
          </w:p>
        </w:tc>
      </w:tr>
      <w:tr>
        <w:tc>
          <w:tcPr>
            <w:tcW w:type="dxa" w:w="2304"/>
            <w:tcBorders>
              <w:top w:val="single" w:sz="4" w:space="0" w:color="999999"/>
              <w:left w:val="single" w:sz="4" w:space="0" w:color="999999"/>
              <w:bottom w:val="single" w:sz="4" w:space="0" w:color="999999"/>
              <w:right w:val="single" w:sz="4" w:space="0" w:color="999999"/>
            </w:tcBorders>
          </w:tcPr>
          <w:p>
            <w:r>
              <w:rPr>
                <w:sz w:val="20"/>
              </w:rPr>
              <w:t>Maintenance</w:t>
            </w:r>
          </w:p>
        </w:tc>
        <w:tc>
          <w:tcPr>
            <w:tcW w:type="dxa" w:w="4176"/>
            <w:tcBorders>
              <w:top w:val="single" w:sz="4" w:space="0" w:color="999999"/>
              <w:left w:val="single" w:sz="4" w:space="0" w:color="999999"/>
              <w:bottom w:val="single" w:sz="4" w:space="0" w:color="999999"/>
              <w:right w:val="single" w:sz="4" w:space="0" w:color="999999"/>
            </w:tcBorders>
          </w:tcPr>
          <w:p>
            <w:r>
              <w:rPr>
                <w:sz w:val="20"/>
              </w:rPr>
              <w:t>Unplanned equipment downtime</w:t>
            </w:r>
          </w:p>
        </w:tc>
        <w:tc>
          <w:tcPr>
            <w:tcW w:type="dxa" w:w="2736"/>
            <w:tcBorders>
              <w:top w:val="single" w:sz="4" w:space="0" w:color="999999"/>
              <w:left w:val="single" w:sz="4" w:space="0" w:color="999999"/>
              <w:bottom w:val="single" w:sz="4" w:space="0" w:color="999999"/>
              <w:right w:val="single" w:sz="4" w:space="0" w:color="999999"/>
            </w:tcBorders>
          </w:tcPr>
          <w:p>
            <w:r>
              <w:rPr>
                <w:sz w:val="20"/>
              </w:rPr>
              <w:t>substantially reduced</w:t>
            </w:r>
          </w:p>
        </w:tc>
      </w:tr>
    </w:tbl>
    <w:p>
      <w:pPr>
        <w:spacing w:before="60"/>
      </w:pPr>
      <w:r>
        <w:rPr>
          <w:i/>
          <w:sz w:val="17"/>
        </w:rPr>
        <w:t>Figures above are illustrative, drawn from the platform's modelling of the scenarios shown; actual results depend on the data and configuration of a given deployment.</w:t>
      </w:r>
    </w:p>
    <w:p>
      <w:pPr>
        <w:pStyle w:val="Heading1"/>
      </w:pPr>
      <w:r>
        <w:t>In practice</w:t>
      </w:r>
    </w:p>
    <w:p>
      <w:r>
        <w:t>Each example follows the same pattern: continuous monitoring across systems that are normally separate, an assessed and explained recommendation, automatic execution of the low-risk steps, and a clear decision point handed to the person best placed to make it. Extending this approach to a new operational area is largely a matter of defining a new procedure for the platform to follow, rather than building a new system.</w:t>
      </w:r>
    </w:p>
    <w:sectPr w:rsidRPr="003677F2" w:rsidR="007C461B" w:rsidSect="003F52E0">
      <w:headerReference w:type="default" r:id="rId12"/>
      <w:footerReference w:type="default" r:id="rId13"/>
      <w:pgSz w:w="11906" w:h="16838" w:orient="portrait"/>
      <w:pgMar w:top="1440" w:right="1440" w:bottom="1440" w:left="144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501EC" w:rsidP="00F94127" w:rsidRDefault="006501EC" w14:paraId="44F53A3F" w14:textId="77777777">
      <w:pPr>
        <w:spacing w:after="0" w:line="240" w:lineRule="auto"/>
      </w:pPr>
      <w:r>
        <w:separator/>
      </w:r>
    </w:p>
  </w:endnote>
  <w:endnote w:type="continuationSeparator" w:id="0">
    <w:p w:rsidR="006501EC" w:rsidP="00F94127" w:rsidRDefault="006501EC" w14:paraId="37FBD8D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3C77D2" w:rsidR="0080098B" w:rsidP="085283AF" w:rsidRDefault="003677F2" w14:paraId="4020FBA7" w14:textId="2C22DFC0">
    <w:pPr>
      <w:pStyle w:val="Normal"/>
    </w:pPr>
    <w:r>
      <w:rPr>
        <w:rFonts w:ascii="Lato" w:hAnsi="Lato"/>
      </w:rPr>
      <w:pict w14:anchorId="485C4311">
        <v:shapetype id="_x0000_t202" coordsize="21600,21600" o:spt="202" path="m,l,21600r21600,l21600,xe">
          <v:stroke joinstyle="miter"/>
          <v:path gradientshapeok="t" o:connecttype="rect"/>
        </v:shapetype>
        <v:shape id="Text Box 6" style="position:absolute;margin-left:269.45pt;margin-top:765.1pt;width:97.65pt;height:19.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s4UOQIAAHMEAAAOAAAAZHJzL2Uyb0RvYy54bWysVE1v2zAMvQ/YfxB0X2xnSdcacYosRYYB&#10;QVsgLXpWZCk2IIuapMTOfv0o2flYt9Owi0yJFCm+9+jZfdcochDW1aALmo1SSoTmUNZ6V9DXl9Wn&#10;W0qcZ7pkCrQo6FE4ej//+GHWmlyMoQJVCkswiXZ5awpaeW/yJHG8Eg1zIzBCo1OCbZjHrd0lpWUt&#10;Zm9UMk7Tm6QFWxoLXDiHpw+9k85jfikF909SOuGJKii+zcfVxnUb1mQ+Y/nOMlPVfHgG+4dXNKzW&#10;WPSc6oF5Rva2/iNVU3MLDqQfcWgSkLLmIvaA3WTpu242FTMi9oLgOHOGyf2/tPzxsDHPlvjuK3RI&#10;YACkNS53eBj66aRtwhdfStCPEB7PsInOEx4ujSdpNp1SwtE3ntzejSOuyeW2sc5/E9CQYBTUIi0R&#10;LXZYO48VMfQUEoo5UHW5qpWKmyAFsVSWHBiSqHzWX1WmYv3RqVoUTYiMCX9LojRpC3rzeZrGyxpC&#10;9r6w0hh+aTlYvtt2Aw5bKI8Ij4VeOc7wVY09rJnzz8yiVBARlL9/wkUqwCIwWJRUYH/+7TzEI4Po&#10;paRF6RXU/dgzKyhR3zVye5dNJkGrcTOZfkE4ib32bK89et8sAYHJcNAMj2aI9+pkSgvNG07JIlRF&#10;F9McaxfUn8yl7wcCp4yLxSIGoToN82u9MTykDkQEhl66N2bNQKNHATzCSaQsf8dmHxtualjsPcg6&#10;Uh0A7lEdcEdlR8KGKQyjc72PUZd/xfwXAAAA//8DAFBLAwQUAAYACAAAACEAXyCdkeYAAAANAQAA&#10;DwAAAGRycy9kb3ducmV2LnhtbEyPS0/DMBCE70j8B2uRuFGHpilpiFMhHhJSeYjSQ7m5sUkM9jrE&#10;bhv49WxPcNvdGc1+U84HZ9lO98F4FHA+SoBprL0y2AhYvd6d5cBClKik9agFfOsA8+r4qJSF8nt8&#10;0btlbBiFYCikgDbGruA81K12Mox8p5G0d987GWntG656uadwZ/k4SabcSYP0oZWdvm51/bncOgEP&#10;X+vn7ONmvbL508/9o6l783a7EOL0ZLi6BBb1EP/McMAndKiIaeO3qAKzArI0n5GVhCxNxsDIcpFO&#10;aNgcTtPZBHhV8v8tql8AAAD//wMAUEsBAi0AFAAGAAgAAAAhALaDOJL+AAAA4QEAABMAAAAAAAAA&#10;AAAAAAAAAAAAAFtDb250ZW50X1R5cGVzXS54bWxQSwECLQAUAAYACAAAACEAOP0h/9YAAACUAQAA&#10;CwAAAAAAAAAAAAAAAAAvAQAAX3JlbHMvLnJlbHNQSwECLQAUAAYACAAAACEAribOFDkCAABzBAAA&#10;DgAAAAAAAAAAAAAAAAAuAgAAZHJzL2Uyb0RvYy54bWxQSwECLQAUAAYACAAAACEAXyCdkeYAAAAN&#10;AQAADwAAAAAAAAAAAAAAAACTBAAAZHJzL2Rvd25yZXYueG1sUEsFBgAAAAAEAAQA8wAAAKYFAAAA&#10;AA==&#10;">
          <v:fill opacity="0"/>
          <v:textbox>
            <w:txbxContent>
              <w:p w:rsidRPr="00FA5DCA" w:rsidR="0080098B" w:rsidP="0080098B" w:rsidRDefault="0080098B" w14:paraId="06337C38" w14:textId="77777777">
                <w:pPr>
                  <w:rPr>
                    <w:b/>
                    <w:bCs/>
                    <w:color w:val="F7F7FA"/>
                    <w:sz w:val="20"/>
                    <w:szCs w:val="20"/>
                  </w:rPr>
                </w:pPr>
                <w:hyperlink w:history="1" r:id="rId1">
                  <w:r w:rsidRPr="00FA5DCA">
                    <w:rPr>
                      <w:rStyle w:val="Hyperlink"/>
                      <w:b/>
                      <w:bCs/>
                      <w:color w:val="F7F7FA"/>
                      <w:sz w:val="20"/>
                      <w:szCs w:val="20"/>
                    </w:rPr>
                    <w:t>https://astrikos.ai</w:t>
                  </w:r>
                </w:hyperlink>
              </w:p>
            </w:txbxContent>
          </v:textbox>
        </v:shape>
      </w:pict>
    </w:r>
    <w:r w:rsidRPr="085283AF" w:rsidR="085283AF">
      <w:rPr>
        <w:b w:val="1"/>
        <w:bCs w:val="1"/>
        <w:color w:val="E8E6F2"/>
        <w:sz w:val="20"/>
        <w:szCs w:val="20"/>
      </w:rPr>
      <w:t>ASTRIKOS.AI                                                                                                                            Copyright</w:t>
    </w:r>
    <w:r w:rsidRPr="085283AF" w:rsidR="085283AF">
      <w:rPr>
        <w:rFonts w:ascii="Aptos" w:hAnsi="Aptos" w:eastAsia="Aptos" w:cs="Aptos"/>
        <w:noProof w:val="0"/>
        <w:sz w:val="20"/>
        <w:szCs w:val="20"/>
        <w:lang w:val="en-IN"/>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501EC" w:rsidP="00F94127" w:rsidRDefault="006501EC" w14:paraId="629B5E6F" w14:textId="77777777">
      <w:pPr>
        <w:spacing w:after="0" w:line="240" w:lineRule="auto"/>
      </w:pPr>
      <w:r>
        <w:separator/>
      </w:r>
    </w:p>
  </w:footnote>
  <w:footnote w:type="continuationSeparator" w:id="0">
    <w:p w:rsidR="006501EC" w:rsidP="00F94127" w:rsidRDefault="006501EC" w14:paraId="1C6AF63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xmlns:a14="http://schemas.microsoft.com/office/drawing/2010/main" mc:Ignorable="w14 w15 w16se w16cid w16 w16cex w16sdtdh w16sdtfl w16du wp14">
  <w:p w:rsidRPr="0080098B" w:rsidR="0080098B" w:rsidP="0080098B" w:rsidRDefault="0080098B" w14:paraId="0C8B28EF" w14:textId="77777777">
    <w:pPr>
      <w:pStyle w:val="Header"/>
      <w:tabs>
        <w:tab w:val="clear" w:pos="4513"/>
      </w:tabs>
      <w:rPr>
        <w:rFonts w:ascii="Lato" w:hAnsi="Lato"/>
        <w:b/>
        <w:bCs/>
        <w:color w:val="7F7F7F" w:themeColor="background1" w:themeShade="7F"/>
        <w:spacing w:val="60"/>
      </w:rPr>
    </w:pPr>
    <w:r w:rsidRPr="0080098B">
      <w:rPr>
        <w:rFonts w:ascii="Lato" w:hAnsi="Lato"/>
        <w:b/>
        <w:bCs/>
      </w:rPr>
      <w:fldChar w:fldCharType="begin"/>
    </w:r>
    <w:r w:rsidRPr="0080098B">
      <w:rPr>
        <w:rFonts w:ascii="Lato" w:hAnsi="Lato"/>
        <w:b/>
        <w:bCs/>
      </w:rPr>
      <w:instrText xml:space="preserve"> PAGE   \* MERGEFORMAT </w:instrText>
    </w:r>
    <w:r w:rsidRPr="0080098B">
      <w:rPr>
        <w:rFonts w:ascii="Lato" w:hAnsi="Lato"/>
        <w:b/>
        <w:bCs/>
      </w:rPr>
      <w:fldChar w:fldCharType="separate"/>
    </w:r>
    <w:r w:rsidRPr="0080098B">
      <w:rPr>
        <w:rFonts w:ascii="Lato" w:hAnsi="Lato"/>
        <w:b/>
        <w:bCs/>
        <w:noProof/>
      </w:rPr>
      <w:t>1</w:t>
    </w:r>
    <w:r w:rsidRPr="0080098B">
      <w:rPr>
        <w:rFonts w:ascii="Lato" w:hAnsi="Lato"/>
        <w:b/>
        <w:bCs/>
        <w:noProof/>
      </w:rPr>
      <w:fldChar w:fldCharType="end"/>
    </w:r>
    <w:r w:rsidRPr="0080098B">
      <w:rPr>
        <w:rFonts w:ascii="Lato" w:hAnsi="Lato"/>
        <w:b/>
        <w:bCs/>
      </w:rPr>
      <w:t xml:space="preserve"> | </w:t>
    </w:r>
    <w:r w:rsidRPr="0080098B">
      <w:rPr>
        <w:rFonts w:ascii="Lato" w:hAnsi="Lato"/>
        <w:b/>
        <w:bCs/>
        <w:color w:val="7F7F7F" w:themeColor="background1" w:themeShade="7F"/>
        <w:spacing w:val="60"/>
      </w:rPr>
      <w:t>Page</w:t>
    </w:r>
    <w:r w:rsidRPr="0080098B">
      <w:rPr>
        <w:rFonts w:ascii="Lato" w:hAnsi="Lato"/>
        <w:b/>
        <w:bCs/>
        <w:color w:val="7F7F7F" w:themeColor="background1" w:themeShade="7F"/>
        <w:spacing w:val="60"/>
      </w:rPr>
      <w:tab/>
    </w:r>
    <w:r w:rsidRPr="0080098B">
      <w:rPr>
        <w:rFonts w:ascii="Lato" w:hAnsi="Lato"/>
        <w:b/>
        <w:bCs/>
        <w:noProof/>
      </w:rPr>
      <w:drawing>
        <wp:inline distT="0" distB="0" distL="0" distR="0" wp14:anchorId="3753A976" wp14:editId="1F98F174">
          <wp:extent cx="1039706" cy="870454"/>
          <wp:effectExtent l="0" t="0" r="0" b="0"/>
          <wp:docPr id="33494657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09952" name="Graphic 699809952"/>
                  <pic:cNvPicPr/>
                </pic:nvPicPr>
                <pic:blipFill rotWithShape="1">
                  <a:blip r:embed="rId1">
                    <a:extLst>
                      <a:ext uri="{96DAC541-7B7A-43D3-8B79-37D633B846F1}">
                        <asvg:svgBlip xmlns:asvg="http://schemas.microsoft.com/office/drawing/2016/SVG/main" r:embed="rId2"/>
                      </a:ext>
                    </a:extLst>
                  </a:blip>
                  <a:srcRect l="21981" t="26542" r="21981" b="26542"/>
                  <a:stretch/>
                </pic:blipFill>
                <pic:spPr bwMode="auto">
                  <a:xfrm>
                    <a:off x="0" y="0"/>
                    <a:ext cx="1039706" cy="870454"/>
                  </a:xfrm>
                  <a:prstGeom prst="rect">
                    <a:avLst/>
                  </a:prstGeom>
                  <a:ln>
                    <a:noFill/>
                  </a:ln>
                  <a:extLst>
                    <a:ext uri="{53640926-AAD7-44D8-BBD7-CCE9431645EC}">
                      <a14:shadowObscured xmlns:a14="http://schemas.microsoft.com/office/drawing/2010/main"/>
                    </a:ext>
                  </a:extLst>
                </pic:spPr>
              </pic:pic>
            </a:graphicData>
          </a:graphic>
        </wp:inline>
      </w:drawing>
    </w:r>
  </w:p>
  <w:p w:rsidRPr="0080098B" w:rsidR="0080098B" w:rsidP="0080098B" w:rsidRDefault="0080098B" w14:paraId="51AE1E95" w14:textId="77777777">
    <w:pPr>
      <w:pStyle w:val="Header"/>
      <w:pBdr>
        <w:top w:val="double" w:color="353248" w:sz="4" w:space="1"/>
      </w:pBdr>
      <w:tabs>
        <w:tab w:val="clear" w:pos="4513"/>
      </w:tabs>
      <w:rPr>
        <w:rFonts w:ascii="Lato" w:hAnsi="Lato"/>
        <w:b/>
        <w:bCs/>
        <w:color w:val="7F7F7F" w:themeColor="background1" w:themeShade="7F"/>
        <w:spacing w:val="6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015D80"/>
    <w:multiLevelType w:val="hybridMultilevel"/>
    <w:tmpl w:val="75BE841A"/>
    <w:lvl w:ilvl="0" w:tplc="6F72CD12">
      <w:start w:val="1"/>
      <w:numFmt w:val="bullet"/>
      <w:lvlText w:val="•"/>
      <w:lvlJc w:val="left"/>
      <w:pPr>
        <w:ind w:left="504" w:hanging="288"/>
      </w:pPr>
    </w:lvl>
    <w:lvl w:ilvl="1" w:tplc="AC48E404">
      <w:numFmt w:val="decimal"/>
      <w:lvlText w:val=""/>
      <w:lvlJc w:val="left"/>
    </w:lvl>
    <w:lvl w:ilvl="2" w:tplc="32F8C8EE">
      <w:numFmt w:val="decimal"/>
      <w:lvlText w:val=""/>
      <w:lvlJc w:val="left"/>
    </w:lvl>
    <w:lvl w:ilvl="3" w:tplc="03C2672E">
      <w:numFmt w:val="decimal"/>
      <w:lvlText w:val=""/>
      <w:lvlJc w:val="left"/>
    </w:lvl>
    <w:lvl w:ilvl="4" w:tplc="C6C2AA4A">
      <w:numFmt w:val="decimal"/>
      <w:lvlText w:val=""/>
      <w:lvlJc w:val="left"/>
    </w:lvl>
    <w:lvl w:ilvl="5" w:tplc="70D88376">
      <w:numFmt w:val="decimal"/>
      <w:lvlText w:val=""/>
      <w:lvlJc w:val="left"/>
    </w:lvl>
    <w:lvl w:ilvl="6" w:tplc="AC5A8608">
      <w:numFmt w:val="decimal"/>
      <w:lvlText w:val=""/>
      <w:lvlJc w:val="left"/>
    </w:lvl>
    <w:lvl w:ilvl="7" w:tplc="42146D24">
      <w:numFmt w:val="decimal"/>
      <w:lvlText w:val=""/>
      <w:lvlJc w:val="left"/>
    </w:lvl>
    <w:lvl w:ilvl="8" w:tplc="5F384988">
      <w:numFmt w:val="decimal"/>
      <w:lvlText w:val=""/>
      <w:lvlJc w:val="left"/>
    </w:lvl>
  </w:abstractNum>
  <w:num w:numId="1" w16cid:durableId="16319351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dirty"/>
  <w:attachedTemplate r:id="rId1"/>
  <w:trackRevisions w:val="false"/>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F632B"/>
    <w:rsid w:val="00006AE6"/>
    <w:rsid w:val="00090A09"/>
    <w:rsid w:val="00297CB8"/>
    <w:rsid w:val="002A7119"/>
    <w:rsid w:val="002E2CF5"/>
    <w:rsid w:val="00313D7D"/>
    <w:rsid w:val="00314D19"/>
    <w:rsid w:val="00333CBE"/>
    <w:rsid w:val="00345E26"/>
    <w:rsid w:val="003611C6"/>
    <w:rsid w:val="003677F2"/>
    <w:rsid w:val="003C77D2"/>
    <w:rsid w:val="003F52E0"/>
    <w:rsid w:val="004146F1"/>
    <w:rsid w:val="00461D9B"/>
    <w:rsid w:val="00495A22"/>
    <w:rsid w:val="005732A2"/>
    <w:rsid w:val="00612A21"/>
    <w:rsid w:val="006501EC"/>
    <w:rsid w:val="006B2CE5"/>
    <w:rsid w:val="006B3940"/>
    <w:rsid w:val="007255BE"/>
    <w:rsid w:val="007A2453"/>
    <w:rsid w:val="007C461B"/>
    <w:rsid w:val="007D6C78"/>
    <w:rsid w:val="007F23D5"/>
    <w:rsid w:val="0080098B"/>
    <w:rsid w:val="008B2CEA"/>
    <w:rsid w:val="00AD3B2F"/>
    <w:rsid w:val="00B013A6"/>
    <w:rsid w:val="00B33E36"/>
    <w:rsid w:val="00BD14F8"/>
    <w:rsid w:val="00BE1057"/>
    <w:rsid w:val="00C03928"/>
    <w:rsid w:val="00CF58F8"/>
    <w:rsid w:val="00D70FBB"/>
    <w:rsid w:val="00E43B05"/>
    <w:rsid w:val="00EE235E"/>
    <w:rsid w:val="00F94127"/>
    <w:rsid w:val="00FF632B"/>
    <w:rsid w:val="085283AF"/>
    <w:rsid w:val="1B0190CD"/>
    <w:rsid w:val="38980C2C"/>
    <w:rsid w:val="3FF35FCF"/>
    <w:rsid w:val="69C5A3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139071"/>
  <w15:chartTrackingRefBased/>
  <w15:docId w15:val="{CD1384AD-ABC0-4BAB-A22E-58BC74074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F9412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9412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41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41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41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41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41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41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4127"/>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94127"/>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F94127"/>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F94127"/>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F94127"/>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F94127"/>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F9412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F9412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F9412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F94127"/>
    <w:rPr>
      <w:rFonts w:eastAsiaTheme="majorEastAsia" w:cstheme="majorBidi"/>
      <w:color w:val="272727" w:themeColor="text1" w:themeTint="D8"/>
    </w:rPr>
  </w:style>
  <w:style w:type="paragraph" w:styleId="Title">
    <w:name w:val="Title"/>
    <w:basedOn w:val="Normal"/>
    <w:next w:val="Normal"/>
    <w:link w:val="TitleChar"/>
    <w:uiPriority w:val="10"/>
    <w:qFormat/>
    <w:rsid w:val="00F94127"/>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F9412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F9412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F941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4127"/>
    <w:pPr>
      <w:spacing w:before="160"/>
      <w:jc w:val="center"/>
    </w:pPr>
    <w:rPr>
      <w:i/>
      <w:iCs/>
      <w:color w:val="404040" w:themeColor="text1" w:themeTint="BF"/>
    </w:rPr>
  </w:style>
  <w:style w:type="character" w:styleId="QuoteChar" w:customStyle="1">
    <w:name w:val="Quote Char"/>
    <w:basedOn w:val="DefaultParagraphFont"/>
    <w:link w:val="Quote"/>
    <w:uiPriority w:val="29"/>
    <w:rsid w:val="00F94127"/>
    <w:rPr>
      <w:i/>
      <w:iCs/>
      <w:color w:val="404040" w:themeColor="text1" w:themeTint="BF"/>
    </w:rPr>
  </w:style>
  <w:style w:type="paragraph" w:styleId="ListParagraph">
    <w:name w:val="List Paragraph"/>
    <w:basedOn w:val="Normal"/>
    <w:qFormat/>
    <w:rsid w:val="00F94127"/>
    <w:pPr>
      <w:ind w:left="720"/>
      <w:contextualSpacing/>
    </w:pPr>
  </w:style>
  <w:style w:type="character" w:styleId="IntenseEmphasis">
    <w:name w:val="Intense Emphasis"/>
    <w:basedOn w:val="DefaultParagraphFont"/>
    <w:uiPriority w:val="21"/>
    <w:qFormat/>
    <w:rsid w:val="00F94127"/>
    <w:rPr>
      <w:i/>
      <w:iCs/>
      <w:color w:val="0F4761" w:themeColor="accent1" w:themeShade="BF"/>
    </w:rPr>
  </w:style>
  <w:style w:type="paragraph" w:styleId="IntenseQuote">
    <w:name w:val="Intense Quote"/>
    <w:basedOn w:val="Normal"/>
    <w:next w:val="Normal"/>
    <w:link w:val="IntenseQuoteChar"/>
    <w:uiPriority w:val="30"/>
    <w:qFormat/>
    <w:rsid w:val="00F9412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F94127"/>
    <w:rPr>
      <w:i/>
      <w:iCs/>
      <w:color w:val="0F4761" w:themeColor="accent1" w:themeShade="BF"/>
    </w:rPr>
  </w:style>
  <w:style w:type="character" w:styleId="IntenseReference">
    <w:name w:val="Intense Reference"/>
    <w:basedOn w:val="DefaultParagraphFont"/>
    <w:uiPriority w:val="32"/>
    <w:qFormat/>
    <w:rsid w:val="00F94127"/>
    <w:rPr>
      <w:b/>
      <w:bCs/>
      <w:smallCaps/>
      <w:color w:val="0F4761" w:themeColor="accent1" w:themeShade="BF"/>
      <w:spacing w:val="5"/>
    </w:rPr>
  </w:style>
  <w:style w:type="paragraph" w:styleId="Header">
    <w:name w:val="header"/>
    <w:basedOn w:val="Normal"/>
    <w:link w:val="HeaderChar"/>
    <w:uiPriority w:val="99"/>
    <w:unhideWhenUsed/>
    <w:rsid w:val="00F94127"/>
    <w:pPr>
      <w:tabs>
        <w:tab w:val="center" w:pos="4513"/>
        <w:tab w:val="right" w:pos="9026"/>
      </w:tabs>
      <w:spacing w:after="0" w:line="240" w:lineRule="auto"/>
    </w:pPr>
  </w:style>
  <w:style w:type="character" w:styleId="HeaderChar" w:customStyle="1">
    <w:name w:val="Header Char"/>
    <w:basedOn w:val="DefaultParagraphFont"/>
    <w:link w:val="Header"/>
    <w:uiPriority w:val="99"/>
    <w:rsid w:val="00F94127"/>
  </w:style>
  <w:style w:type="paragraph" w:styleId="Footer">
    <w:name w:val="footer"/>
    <w:basedOn w:val="Normal"/>
    <w:link w:val="FooterChar"/>
    <w:uiPriority w:val="99"/>
    <w:unhideWhenUsed/>
    <w:rsid w:val="00F94127"/>
    <w:pPr>
      <w:tabs>
        <w:tab w:val="center" w:pos="4513"/>
        <w:tab w:val="right" w:pos="9026"/>
      </w:tabs>
      <w:spacing w:after="0" w:line="240" w:lineRule="auto"/>
    </w:pPr>
  </w:style>
  <w:style w:type="character" w:styleId="FooterChar" w:customStyle="1">
    <w:name w:val="Footer Char"/>
    <w:basedOn w:val="DefaultParagraphFont"/>
    <w:link w:val="Footer"/>
    <w:uiPriority w:val="99"/>
    <w:rsid w:val="00F94127"/>
  </w:style>
  <w:style w:type="paragraph" w:styleId="NoSpacing">
    <w:name w:val="No Spacing"/>
    <w:link w:val="NoSpacingChar"/>
    <w:uiPriority w:val="1"/>
    <w:qFormat/>
    <w:rsid w:val="00F94127"/>
    <w:pPr>
      <w:spacing w:after="0" w:line="240" w:lineRule="auto"/>
    </w:pPr>
    <w:rPr>
      <w:rFonts w:eastAsiaTheme="minorEastAsia"/>
      <w:kern w:val="0"/>
      <w:lang w:val="en-US"/>
    </w:rPr>
  </w:style>
  <w:style w:type="character" w:styleId="NoSpacingChar" w:customStyle="1">
    <w:name w:val="No Spacing Char"/>
    <w:basedOn w:val="DefaultParagraphFont"/>
    <w:link w:val="NoSpacing"/>
    <w:uiPriority w:val="1"/>
    <w:rsid w:val="00F94127"/>
    <w:rPr>
      <w:rFonts w:eastAsiaTheme="minorEastAsia"/>
      <w:kern w:val="0"/>
      <w:lang w:val="en-US"/>
    </w:rPr>
  </w:style>
  <w:style w:type="character" w:styleId="Hyperlink">
    <w:name w:val="Hyperlink"/>
    <w:basedOn w:val="DefaultParagraphFont"/>
    <w:uiPriority w:val="99"/>
    <w:unhideWhenUsed/>
    <w:rsid w:val="0080098B"/>
    <w:rPr>
      <w:color w:val="467886" w:themeColor="hyperlink"/>
      <w:u w:val="single"/>
    </w:rPr>
  </w:style>
  <w:style w:type="character" w:styleId="UnresolvedMention">
    <w:name w:val="Unresolved Mention"/>
    <w:basedOn w:val="DefaultParagraphFont"/>
    <w:uiPriority w:val="99"/>
    <w:semiHidden/>
    <w:unhideWhenUsed/>
    <w:rsid w:val="003C77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astrikos.ai"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Desktop\Astrikos_Document_Template.dotx"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dlc_DocId xmlns="f37a8778-b0e5-4797-aa85-afa4bbc2b2c4">ACPL-1885348313-38051</_dlc_DocId>
    <lcf76f155ced4ddcb4097134ff3c332f xmlns="16d55316-4975-496c-be3c-4153199ed5e3">
      <Terms xmlns="http://schemas.microsoft.com/office/infopath/2007/PartnerControls"/>
    </lcf76f155ced4ddcb4097134ff3c332f>
    <TaxCatchAll xmlns="f37a8778-b0e5-4797-aa85-afa4bbc2b2c4" xsi:nil="true"/>
    <_dlc_DocIdUrl xmlns="f37a8778-b0e5-4797-aa85-afa4bbc2b2c4">
      <Url>https://astrikos.sharepoint.com/_layouts/15/DocIdRedir.aspx?ID=ACPL-1885348313-38051</Url>
      <Description>ACPL-1885348313-38051</Description>
    </_dlc_DocIdUrl>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Document" ma:contentTypeID="0x0101006EBDF350FFBD5145838EA2406BA20BB0" ma:contentTypeVersion="19" ma:contentTypeDescription="Create a new document." ma:contentTypeScope="" ma:versionID="84f084822e8492bad58b28c2307f8a24">
  <xsd:schema xmlns:xsd="http://www.w3.org/2001/XMLSchema" xmlns:xs="http://www.w3.org/2001/XMLSchema" xmlns:p="http://schemas.microsoft.com/office/2006/metadata/properties" xmlns:ns2="f37a8778-b0e5-4797-aa85-afa4bbc2b2c4" xmlns:ns3="16d55316-4975-496c-be3c-4153199ed5e3" targetNamespace="http://schemas.microsoft.com/office/2006/metadata/properties" ma:root="true" ma:fieldsID="e7322adc2707a527a7a19029e7f6cdfa" ns2:_="" ns3:_="">
    <xsd:import namespace="f37a8778-b0e5-4797-aa85-afa4bbc2b2c4"/>
    <xsd:import namespace="16d55316-4975-496c-be3c-4153199ed5e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AutoKeyPoints" minOccurs="0"/>
                <xsd:element ref="ns3:MediaServiceKeyPoints" minOccurs="0"/>
                <xsd:element ref="ns3:MediaServiceDateTaken" minOccurs="0"/>
                <xsd:element ref="ns3:MediaServiceGenerationTime" minOccurs="0"/>
                <xsd:element ref="ns3:MediaServiceEventHashCode" minOccurs="0"/>
                <xsd:element ref="ns2:_dlc_DocId" minOccurs="0"/>
                <xsd:element ref="ns2:_dlc_DocIdUrl" minOccurs="0"/>
                <xsd:element ref="ns2:_dlc_DocIdPersistId"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7a8778-b0e5-4797-aa85-afa4bbc2b2c4"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_dlc_DocId" ma:index="19" nillable="true" ma:displayName="Document ID Value" ma:description="The value of the document ID assigned to this item." ma:internalName="_dlc_DocId" ma:readOnly="true">
      <xsd:simpleType>
        <xsd:restriction base="dms:Text"/>
      </xsd:simpleType>
    </xsd:element>
    <xsd:element name="_dlc_DocIdUrl" ma:index="2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1" nillable="true" ma:displayName="Persist ID" ma:description="Keep ID on add." ma:hidden="true" ma:internalName="_dlc_DocIdPersistId" ma:readOnly="true">
      <xsd:simpleType>
        <xsd:restriction base="dms:Boolean"/>
      </xsd:simpleType>
    </xsd:element>
    <xsd:element name="TaxCatchAll" ma:index="26" nillable="true" ma:displayName="Taxonomy Catch All Column" ma:hidden="true" ma:list="{657ec283-1875-4f9e-8432-2433d8b1257a}" ma:internalName="TaxCatchAll" ma:showField="CatchAllData" ma:web="f37a8778-b0e5-4797-aa85-afa4bbc2b2c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6d55316-4975-496c-be3c-4153199ed5e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22" nillable="true" ma:displayName="Location" ma:internalName="MediaServiceLocation"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af2b1fc8-0f59-4aa7-ba99-bcdccd58c10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2CE8092-F91C-4606-9125-47FD8D0B1948}">
  <ds:schemaRefs>
    <ds:schemaRef ds:uri="http://schemas.openxmlformats.org/officeDocument/2006/bibliography"/>
  </ds:schemaRefs>
</ds:datastoreItem>
</file>

<file path=customXml/itemProps2.xml><?xml version="1.0" encoding="utf-8"?>
<ds:datastoreItem xmlns:ds="http://schemas.openxmlformats.org/officeDocument/2006/customXml" ds:itemID="{4FA89F4A-F6C0-4714-85AA-D5729BA37B66}">
  <ds:schemaRefs>
    <ds:schemaRef ds:uri="16d55316-4975-496c-be3c-4153199ed5e3"/>
    <ds:schemaRef ds:uri="f37a8778-b0e5-4797-aa85-afa4bbc2b2c4"/>
    <ds:schemaRef ds:uri="http://purl.org/dc/elements/1.1/"/>
    <ds:schemaRef ds:uri="http://schemas.openxmlformats.org/package/2006/metadata/core-properties"/>
    <ds:schemaRef ds:uri="http://purl.org/dc/terms/"/>
    <ds:schemaRef ds:uri="http://schemas.microsoft.com/office/2006/documentManagement/types"/>
    <ds:schemaRef ds:uri="http://www.w3.org/XML/1998/namespace"/>
    <ds:schemaRef ds:uri="http://purl.org/dc/dcmitype/"/>
    <ds:schemaRef ds:uri="http://schemas.microsoft.com/office/infopath/2007/PartnerControls"/>
    <ds:schemaRef ds:uri="http://schemas.microsoft.com/office/2006/metadata/properties"/>
  </ds:schemaRefs>
</ds:datastoreItem>
</file>

<file path=customXml/itemProps3.xml><?xml version="1.0" encoding="utf-8"?>
<ds:datastoreItem xmlns:ds="http://schemas.openxmlformats.org/officeDocument/2006/customXml" ds:itemID="{F238F79B-513C-4322-9D28-771389C0D7D1}">
  <ds:schemaRefs>
    <ds:schemaRef ds:uri="http://schemas.microsoft.com/sharepoint/v3/contenttype/forms"/>
  </ds:schemaRefs>
</ds:datastoreItem>
</file>

<file path=customXml/itemProps4.xml><?xml version="1.0" encoding="utf-8"?>
<ds:datastoreItem xmlns:ds="http://schemas.openxmlformats.org/officeDocument/2006/customXml" ds:itemID="{E48E197B-786B-46CC-89AC-2574C8DEDD99}">
  <ds:schemaRefs>
    <ds:schemaRef ds:uri="http://schemas.microsoft.com/sharepoint/events"/>
  </ds:schemaRefs>
</ds:datastoreItem>
</file>

<file path=customXml/itemProps5.xml><?xml version="1.0" encoding="utf-8"?>
<ds:datastoreItem xmlns:ds="http://schemas.openxmlformats.org/officeDocument/2006/customXml" ds:itemID="{6A7811D8-D1A8-4343-8D14-B7AA61DFC3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7a8778-b0e5-4797-aa85-afa4bbc2b2c4"/>
    <ds:schemaRef ds:uri="16d55316-4975-496c-be3c-4153199ed5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Astrikos_Document_Template</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Admin</dc:creator>
  <keywords/>
  <dc:description/>
  <lastModifiedBy>Madhura KM</lastModifiedBy>
  <revision>23</revision>
  <dcterms:created xsi:type="dcterms:W3CDTF">2025-02-25T13:15:00.0000000Z</dcterms:created>
  <dcterms:modified xsi:type="dcterms:W3CDTF">2026-08-28T05:52:35.7891373Z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0x0101006EBDF350FFBD5145838EA2406BA20BB0</vt:lpwstr>
  </property>
  <property fmtid="{D5CDD505-2E9C-101B-9397-08002B2CF9AE}" pid="4" name="_dlc_DocIdItemGuid">
    <vt:lpwstr>4487384c-6e19-45a4-9939-d946eee473d9</vt:lpwstr>
  </property>
</Properties>
</file>