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Fonctionnel – Plateforme DogWalking</w:t>
      </w:r>
    </w:p>
    <w:p>
      <w:pPr>
        <w:pStyle w:val="Heading1"/>
      </w:pPr>
      <w:r>
        <w:t>1. Vision Stratégique et Concept Fondamental</w:t>
      </w:r>
    </w:p>
    <w:p>
      <w:r>
        <w:t>DogWalking s'établit comme la plateforme de référence en France pour la mise en relation entre les propriétaires d'animaux et des Accompagnateurs Certifiés. Contrairement aux modèles traditionnels de mise en relation, DogWalking repose sur un triptyque de valeurs non négociables : la Confiance Vérifiée, la Transparence Totale et la Preuve de Service. L'objectif est de lever toute incertitude liée à l'accompagnement animalier en imposant des standards de sécurité et de validation uniques sur le marché.</w:t>
      </w:r>
    </w:p>
    <w:p>
      <w:r>
        <w:t>Le concept de 'Confiance Vérifiée' se manifeste par une sélection manuelle rigoureuse de chaque candidat, visant un taux d'acceptation cible de 35%. Cette sélectivité garantit que seuls les profils les plus qualifiés et fiables accèdent à la plateforme. La sécurité financière est assurée par un système de paiement par séquestre, où les fonds sont bloqués dès la réservation et ne sont libérés qu'après la validation finale du propriétaire via un code unique. Enfin, la plateforme privilégie la Preuve Visuelle Obligatoire (photos et vidéos de prise en charge et de fin de mission) au détriment du suivi GPS intrusif, offrant ainsi une garantie concrète et humaine de la réalisation du service.</w:t>
      </w:r>
    </w:p>
    <w:p>
      <w:pPr>
        <w:pStyle w:val="Heading1"/>
      </w:pPr>
      <w:r>
        <w:t>2. Architecture du Projet et Structure Numérique</w:t>
      </w:r>
    </w:p>
    <w:p>
      <w:r>
        <w:t>Le projet DogWalking est structuré autour de trois piliers numériques distincts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Entité</w:t>
            </w:r>
          </w:p>
        </w:tc>
        <w:tc>
          <w:tcPr>
            <w:tcW w:type="dxa" w:w="2160"/>
          </w:tcPr>
          <w:p>
            <w:r>
              <w:t>URL Cible</w:t>
            </w:r>
          </w:p>
        </w:tc>
        <w:tc>
          <w:tcPr>
            <w:tcW w:type="dxa" w:w="2160"/>
          </w:tcPr>
          <w:p>
            <w:r>
              <w:t>Public Cible</w:t>
            </w:r>
          </w:p>
        </w:tc>
        <w:tc>
          <w:tcPr>
            <w:tcW w:type="dxa" w:w="2160"/>
          </w:tcPr>
          <w:p>
            <w:r>
              <w:t>Objectifs Principaux</w:t>
            </w:r>
          </w:p>
        </w:tc>
      </w:tr>
      <w:tr>
        <w:tc>
          <w:tcPr>
            <w:tcW w:type="dxa" w:w="2160"/>
          </w:tcPr>
          <w:p>
            <w:r>
              <w:t>Site Public</w:t>
            </w:r>
          </w:p>
        </w:tc>
        <w:tc>
          <w:tcPr>
            <w:tcW w:type="dxa" w:w="2160"/>
          </w:tcPr>
          <w:p>
            <w:r>
              <w:t>dogwalking.fr</w:t>
            </w:r>
          </w:p>
        </w:tc>
        <w:tc>
          <w:tcPr>
            <w:tcW w:type="dxa" w:w="2160"/>
          </w:tcPr>
          <w:p>
            <w:r>
              <w:t>Prospect, Public, SEO</w:t>
            </w:r>
          </w:p>
        </w:tc>
        <w:tc>
          <w:tcPr>
            <w:tcW w:type="dxa" w:w="2160"/>
          </w:tcPr>
          <w:p>
            <w:r>
              <w:t>Marketing, Information, Conversion.</w:t>
            </w:r>
          </w:p>
        </w:tc>
      </w:tr>
      <w:tr>
        <w:tc>
          <w:tcPr>
            <w:tcW w:type="dxa" w:w="2160"/>
          </w:tcPr>
          <w:p>
            <w:r>
              <w:t>Application</w:t>
            </w:r>
          </w:p>
        </w:tc>
        <w:tc>
          <w:tcPr>
            <w:tcW w:type="dxa" w:w="2160"/>
          </w:tcPr>
          <w:p>
            <w:r>
              <w:t>app.dogwalking.fr</w:t>
            </w:r>
          </w:p>
        </w:tc>
        <w:tc>
          <w:tcPr>
            <w:tcW w:type="dxa" w:w="2160"/>
          </w:tcPr>
          <w:p>
            <w:r>
              <w:t>Propriétaires &amp; Accompagnateurs</w:t>
            </w:r>
          </w:p>
        </w:tc>
        <w:tc>
          <w:tcPr>
            <w:tcW w:type="dxa" w:w="2160"/>
          </w:tcPr>
          <w:p>
            <w:r>
              <w:t>Gestion des missions, Réservations, Paiements, Outil "GO".</w:t>
            </w:r>
          </w:p>
        </w:tc>
      </w:tr>
      <w:tr>
        <w:tc>
          <w:tcPr>
            <w:tcW w:type="dxa" w:w="2160"/>
          </w:tcPr>
          <w:p>
            <w:r>
              <w:t>Administration</w:t>
            </w:r>
          </w:p>
        </w:tc>
        <w:tc>
          <w:tcPr>
            <w:tcW w:type="dxa" w:w="2160"/>
          </w:tcPr>
          <w:p>
            <w:r>
              <w:t>admin.dogwalking.fr</w:t>
            </w:r>
          </w:p>
        </w:tc>
        <w:tc>
          <w:tcPr>
            <w:tcW w:type="dxa" w:w="2160"/>
          </w:tcPr>
          <w:p>
            <w:r>
              <w:t>Équipe Interne Manus</w:t>
            </w:r>
          </w:p>
        </w:tc>
        <w:tc>
          <w:tcPr>
            <w:tcW w:type="dxa" w:w="2160"/>
          </w:tcPr>
          <w:p>
            <w:r>
              <w:t>Modération, Validation CNI/B2, Suivi financier, Litiges.</w:t>
            </w:r>
          </w:p>
        </w:tc>
      </w:tr>
    </w:tbl>
    <w:p>
      <w:pPr>
        <w:pStyle w:val="Heading1"/>
      </w:pPr>
      <w:r>
        <w:t>3. Spécifications du Site Public (dogwalking.fr)</w:t>
      </w:r>
    </w:p>
    <w:p>
      <w:r>
        <w:t>Le site public constitue la vitrine technologique et marketing de DogWalking. Il doit rassurer l'utilisateur dès les premières secondes de navigation en mettant en avant les garanties de sécurité et la simplicité du processus.</w:t>
      </w:r>
    </w:p>
    <w:p>
      <w:r>
        <w:t>La Page d'Accueil présente le concept innovant et permet une recherche rapide. La Page Services détaille les quatre types de prestations (Promenade, Garde, Visite, Soins) avec la mention 'À partir de...'. La Page Tarifs explique le fonctionnement du séquestre, la commission de 15% (dont 85% reversés à l'Accompagnateur) et la protection incluse. La section À propos / Concept expose la mission et le sérieux du processus de sélection manuel effectué par nos experts.</w:t>
      </w:r>
    </w:p>
    <w:p>
      <w:pPr>
        <w:pStyle w:val="Heading1"/>
      </w:pPr>
      <w:r>
        <w:t>4. Spécifications de l'Application et de l'Outil "GO" (app.dogwalking.fr)</w:t>
      </w:r>
    </w:p>
    <w:p>
      <w:pPr>
        <w:pStyle w:val="Heading2"/>
      </w:pPr>
      <w:r>
        <w:t>4.1 Dashboard Propriétaire</w:t>
      </w:r>
    </w:p>
    <w:p>
      <w:r>
        <w:t>Espace dédié pour gérer le profil des chiens. Système de blocage des fonds en séquestre lors d'une réservation. Génération d'un code unique de validation pour libérer le paiement. Réception en temps réel des preuves visuelles obligatoires.</w:t>
      </w:r>
    </w:p>
    <w:p>
      <w:pPr>
        <w:pStyle w:val="Heading2"/>
      </w:pPr>
      <w:r>
        <w:t>4.2 Dashboard Accompagnateur et Outil "GO"</w:t>
      </w:r>
    </w:p>
    <w:p>
      <w:r>
        <w:t>Protocole de mission obligatoire :</w:t>
      </w:r>
    </w:p>
    <w:tbl>
      <w:tblPr>
        <w:tblStyle w:val="TableGrid"/>
        <w:tblW w:type="auto" w:w="0"/>
        <w:tblLook w:firstColumn="1" w:firstRow="1" w:lastColumn="0" w:lastRow="0" w:noHBand="0" w:noVBand="1" w:val="04A0"/>
      </w:tblPr>
      <w:tblGrid>
        <w:gridCol w:w="2880"/>
        <w:gridCol w:w="2880"/>
        <w:gridCol w:w="2880"/>
      </w:tblGrid>
      <w:tr>
        <w:tc>
          <w:tcPr>
            <w:tcW w:type="dxa" w:w="2880"/>
          </w:tcPr>
          <w:p>
            <w:r>
              <w:t>Étape</w:t>
            </w:r>
          </w:p>
        </w:tc>
        <w:tc>
          <w:tcPr>
            <w:tcW w:type="dxa" w:w="2880"/>
          </w:tcPr>
          <w:p>
            <w:r>
              <w:t>Action Requise</w:t>
            </w:r>
          </w:p>
        </w:tc>
        <w:tc>
          <w:tcPr>
            <w:tcW w:type="dxa" w:w="2880"/>
          </w:tcPr>
          <w:p>
            <w:r>
              <w:t>Impact Système</w:t>
            </w:r>
          </w:p>
        </w:tc>
      </w:tr>
      <w:tr>
        <w:tc>
          <w:tcPr>
            <w:tcW w:type="dxa" w:w="2880"/>
          </w:tcPr>
          <w:p>
            <w:r>
              <w:t>1. Sélection</w:t>
            </w:r>
          </w:p>
        </w:tc>
        <w:tc>
          <w:tcPr>
            <w:tcW w:type="dxa" w:w="2880"/>
          </w:tcPr>
          <w:p>
            <w:r>
              <w:t>Choix d'une mission confirmée</w:t>
            </w:r>
          </w:p>
        </w:tc>
        <w:tc>
          <w:tcPr>
            <w:tcW w:type="dxa" w:w="2880"/>
          </w:tcPr>
          <w:p>
            <w:r>
              <w:t>Préparation de l'outil "GO".</w:t>
            </w:r>
          </w:p>
        </w:tc>
      </w:tr>
      <w:tr>
        <w:tc>
          <w:tcPr>
            <w:tcW w:type="dxa" w:w="2880"/>
          </w:tcPr>
          <w:p>
            <w:r>
              <w:t>2. Départ</w:t>
            </w:r>
          </w:p>
        </w:tc>
        <w:tc>
          <w:tcPr>
            <w:tcW w:type="dxa" w:w="2880"/>
          </w:tcPr>
          <w:p>
            <w:r>
              <w:t>Photo de prise en charge obligatoire</w:t>
            </w:r>
          </w:p>
        </w:tc>
        <w:tc>
          <w:tcPr>
            <w:tcW w:type="dxa" w:w="2880"/>
          </w:tcPr>
          <w:p>
            <w:r>
              <w:t>Démarrage du chronomètre.</w:t>
            </w:r>
          </w:p>
        </w:tc>
      </w:tr>
      <w:tr>
        <w:tc>
          <w:tcPr>
            <w:tcW w:type="dxa" w:w="2880"/>
          </w:tcPr>
          <w:p>
            <w:r>
              <w:t>3. Mission</w:t>
            </w:r>
          </w:p>
        </w:tc>
        <w:tc>
          <w:tcPr>
            <w:tcW w:type="dxa" w:w="2880"/>
          </w:tcPr>
          <w:p>
            <w:r>
              <w:t>Envoi de preuves visuelles (photos/vidéos)</w:t>
            </w:r>
          </w:p>
        </w:tc>
        <w:tc>
          <w:tcPr>
            <w:tcW w:type="dxa" w:w="2880"/>
          </w:tcPr>
          <w:p>
            <w:r>
              <w:t>Notification au Propriétaire.</w:t>
            </w:r>
          </w:p>
        </w:tc>
      </w:tr>
      <w:tr>
        <w:tc>
          <w:tcPr>
            <w:tcW w:type="dxa" w:w="2880"/>
          </w:tcPr>
          <w:p>
            <w:r>
              <w:t>4. Clôture</w:t>
            </w:r>
          </w:p>
        </w:tc>
        <w:tc>
          <w:tcPr>
            <w:tcW w:type="dxa" w:w="2880"/>
          </w:tcPr>
          <w:p>
            <w:r>
              <w:t>Rédaction du Compte-rendu obligatoire</w:t>
            </w:r>
          </w:p>
        </w:tc>
        <w:tc>
          <w:tcPr>
            <w:tcW w:type="dxa" w:w="2880"/>
          </w:tcPr>
          <w:p>
            <w:r>
              <w:t>Arrêt du chronomètre.</w:t>
            </w:r>
          </w:p>
        </w:tc>
      </w:tr>
      <w:tr>
        <w:tc>
          <w:tcPr>
            <w:tcW w:type="dxa" w:w="2880"/>
          </w:tcPr>
          <w:p>
            <w:r>
              <w:t>5. Validation</w:t>
            </w:r>
          </w:p>
        </w:tc>
        <w:tc>
          <w:tcPr>
            <w:tcW w:type="dxa" w:w="2880"/>
          </w:tcPr>
          <w:p>
            <w:r>
              <w:t>Saisie du code unique client</w:t>
            </w:r>
          </w:p>
        </w:tc>
        <w:tc>
          <w:tcPr>
            <w:tcW w:type="dxa" w:w="2880"/>
          </w:tcPr>
          <w:p>
            <w:r>
              <w:t>Libération des fonds (85%).</w:t>
            </w:r>
          </w:p>
        </w:tc>
      </w:tr>
    </w:tbl>
    <w:p>
      <w:pPr>
        <w:pStyle w:val="Heading1"/>
      </w:pPr>
      <w:r>
        <w:t>5. Administration et Gouvernance (admin.dogwalking.fr)</w:t>
      </w:r>
    </w:p>
    <w:p>
      <w:r>
        <w:t>Interface de gestion centralisée. Vérification manuelle des documents (CNI, B2) pour garantir le taux d'acceptation de 35%. Suivi financier (CA, commissions 15%) et module de médiation pour analyser les preuves visuelles et trancher les litiges.</w:t>
      </w:r>
    </w:p>
    <w:p>
      <w:pPr>
        <w:pStyle w:val="Heading1"/>
      </w:pPr>
      <w:r>
        <w:t>6. Règles de Gestion, Sécurité et Conformité</w:t>
      </w:r>
    </w:p>
    <w:p>
      <w:r>
        <w:t>Annulation gratuite jusqu'à 3 heures avant la mission. Communication protégée par séquestre. Protection complète pour chaque mission. Respect strict du RGPD.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