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360"/>
              <w:left w:type="dxa" w:w="360"/>
              <w:bottom w:type="dxa" w:w="360"/>
              <w:right w:type="dxa" w:w="360"/>
            </w:tcMar>
          </w:tcPr>
          <w:p>
            <w:pPr>
              <w:jc w:val="center"/>
            </w:pPr>
            <w:r>
              <w:rPr>
                <w:rFonts w:ascii="Arial" w:cs="Arial" w:eastAsia="Arial" w:hAnsi="Arial"/>
                <w:b/>
                <w:bCs/>
                <w:color w:val="FFFFFF"/>
                <w:sz w:val="52"/>
                <w:szCs w:val="52"/>
              </w:rPr>
              <w:t xml:space="preserve">BidReady</w:t>
            </w:r>
          </w:p>
          <w:p>
            <w:pPr>
              <w:spacing w:before="80"/>
              <w:jc w:val="center"/>
            </w:pPr>
            <w:r>
              <w:rPr>
                <w:rFonts w:ascii="Arial" w:cs="Arial" w:eastAsia="Arial" w:hAnsi="Arial"/>
                <w:color w:val="A8C4E0"/>
                <w:sz w:val="28"/>
                <w:szCs w:val="28"/>
              </w:rPr>
              <w:t xml:space="preserve">Sector Appendix: Construction</w:t>
            </w:r>
          </w:p>
          <w:p>
            <w:pPr>
              <w:spacing w:before="60"/>
              <w:jc w:val="center"/>
            </w:pPr>
            <w:r>
              <w:rPr>
                <w:rFonts w:ascii="Arial" w:cs="Arial" w:eastAsia="Arial" w:hAnsi="Arial"/>
                <w:i/>
                <w:iCs/>
                <w:color w:val="C0C0C0"/>
                <w:sz w:val="20"/>
                <w:szCs w:val="20"/>
              </w:rPr>
              <w:t xml:space="preserve">NAICS 236220 | VA / USACE / GSA Set-Aside Procurement</w:t>
            </w:r>
          </w:p>
          <w:p>
            <w:pPr>
              <w:spacing w:before="60"/>
              <w:jc w:val="center"/>
            </w:pPr>
            <w:r>
              <w:rPr>
                <w:rFonts w:ascii="Arial" w:cs="Arial" w:eastAsia="Arial" w:hAnsi="Arial"/>
                <w:color w:val="A0A0A0"/>
                <w:sz w:val="18"/>
                <w:szCs w:val="18"/>
              </w:rPr>
              <w:t xml:space="preserve">Supplement to BidReady RFP Framework v2.1</w:t>
            </w:r>
          </w:p>
        </w:tc>
      </w:tr>
    </w:tbl>
    <w:p>
      <w:pPr>
        <w:spacing w:before="0" w:after="0"/>
      </w:pPr>
      <w:r>
        <w:t xml:space="preserve"/>
      </w:r>
    </w:p>
    <w:p>
      <w:pPr>
        <w:spacing w:before="60" w:after="60"/>
      </w:pPr>
      <w:r>
        <w:rPr>
          <w:rFonts w:ascii="Arial" w:cs="Arial" w:eastAsia="Arial" w:hAnsi="Arial"/>
          <w:sz w:val="20"/>
          <w:szCs w:val="20"/>
        </w:rPr>
        <w:t xml:space="preserve">This appendix activates automatically when the solicitation NAICS code is 236220 (Commercial and Institutional Building Construction) or a closely related construction code. It layers four sector-specific fatal flaw checks on top of the standard BidReady six-phase evaluation. These four traps account for a disproportionate share of small business disqualifications in construction procurement and are largely absent from general proposal guidance.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 SCOPE</w:t>
            </w:r>
          </w:p>
        </w:tc>
        <w:tc>
          <w:tcPr>
            <w:tcW w:type="dxa" w:w="79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color w:val="000000"/>
                <w:sz w:val="18"/>
                <w:szCs w:val="18"/>
              </w:rPr>
              <w:t xml:space="preserve">All four checks in this appendix trigger Phase 2 or Phase 3 findings. Three of the four — bonding deficiency, Davis-Bacon non-certification, and OSHA/EMR threshold failure — are non-remediable after submission. Identify and resolve them before writing a single word of the proposal.</w:t>
            </w:r>
          </w:p>
        </w:tc>
      </w:tr>
    </w:tbl>
    <w:p>
      <w:pPr>
        <w:spacing w:before="0" w:after="0"/>
      </w:pPr>
      <w:r>
        <w:t xml:space="preserve"/>
      </w:r>
    </w:p>
    <w:p>
      <w:pPr>
        <w:pBdr>
          <w:bottom w:val="single" w:color="1F3864" w:sz="6" w:space="1"/>
        </w:pBdr>
        <w:spacing w:before="160" w:after="160"/>
      </w:pPr>
    </w:p>
    <w:p>
      <w:pPr>
        <w:pStyle w:val="Heading1"/>
        <w:spacing w:before="320" w:after="120"/>
      </w:pPr>
      <w:r>
        <w:rPr>
          <w:rFonts w:ascii="Arial" w:cs="Arial" w:eastAsia="Arial" w:hAnsi="Arial"/>
          <w:b/>
          <w:bCs/>
          <w:color w:val="1F3864"/>
          <w:sz w:val="28"/>
          <w:szCs w:val="28"/>
        </w:rPr>
        <w:t xml:space="preserve">Sector-Specific Failure Map</w:t>
      </w:r>
    </w:p>
    <w:p>
      <w:pPr>
        <w:spacing w:before="60" w:after="60"/>
      </w:pPr>
      <w:r>
        <w:rPr>
          <w:rFonts w:ascii="Arial" w:cs="Arial" w:eastAsia="Arial" w:hAnsi="Arial"/>
          <w:sz w:val="20"/>
          <w:szCs w:val="20"/>
        </w:rPr>
        <w:t xml:space="preserve">The four traps below account for the majority of small business construction proposal failures that are not caused by generic technical or past performance weaknesses. Each is listed with the phase it activates, the regulatory basis, and the consequence of missing it.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Trap</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Activated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Regulatory Basis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Consequence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Miller Act Bonding — Treasury Circular 570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2 (Fatal Flaw)</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Miller Act, 40 U.S.C. § 3131; FAR 28.102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Non-responsive bid. No remedy after submission.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Davis-Bacon Wage Certification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 (Fatal Flaw)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FAR 52.222-6; 40 U.S.C. § 3141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Deficiency. Binary disqualifier. Cannot be cured in discussions.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EMR Safety Record Threshold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3 (Readiness)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OSHA 300 log; agency-specific threshold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Significant Weakness or exclusion from competitive range.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OSHA Safety Plan Sufficiency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4 (Adjectival Scoring)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 385-1-1 (USACE); VA/GSA SOW requirements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Automatic Weakness; often Significant Weakness on VA/USACE bids.</w:t>
            </w:r>
          </w:p>
        </w:tc>
      </w:tr>
    </w:tbl>
    <w:p>
      <w:pPr>
        <w:spacing w:before="0" w:after="0"/>
      </w:pPr>
      <w:r>
        <w:t xml:space="preserve"/>
      </w:r>
    </w:p>
    <w:p>
      <w:pPr>
        <w:pBdr>
          <w:bottom w:val="single" w:color="1F3864" w:sz="6"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A8C4E0"/>
                <w:sz w:val="20"/>
                <w:szCs w:val="20"/>
              </w:rPr>
              <w:t xml:space="preserve">PHASE 2</w:t>
            </w:r>
            <w:r>
              <w:rPr>
                <w:rFonts w:ascii="Arial" w:cs="Arial" w:eastAsia="Arial" w:hAnsi="Arial"/>
                <w:b/>
                <w:bCs/>
                <w:color w:val="FFFFFF"/>
                <w:sz w:val="20"/>
                <w:szCs w:val="20"/>
              </w:rPr>
              <w:t xml:space="preserve">  |  Fatal Flaw Scan — Construction Additions</w:t>
            </w:r>
          </w:p>
          <w:p>
            <w:pPr>
              <w:spacing w:before="40"/>
            </w:pPr>
            <w:r>
              <w:rPr>
                <w:rFonts w:ascii="Arial" w:cs="Arial" w:eastAsia="Arial" w:hAnsi="Arial"/>
                <w:i/>
                <w:iCs/>
                <w:color w:val="C0C0C0"/>
                <w:sz w:val="18"/>
                <w:szCs w:val="18"/>
              </w:rPr>
              <w:t xml:space="preserve">Binary pass/fail. Failure here means the proposal is never evaluated on merit.</w:t>
            </w:r>
          </w:p>
        </w:tc>
      </w:tr>
    </w:tbl>
    <w:p>
      <w:pPr>
        <w:spacing w:before="0" w:after="0"/>
      </w:pPr>
      <w:r>
        <w:t xml:space="preserve"/>
      </w:r>
    </w:p>
    <w:p>
      <w:pPr>
        <w:pStyle w:val="Heading2"/>
        <w:spacing w:before="240" w:after="80"/>
      </w:pPr>
      <w:r>
        <w:rPr>
          <w:rFonts w:ascii="Arial" w:cs="Arial" w:eastAsia="Arial" w:hAnsi="Arial"/>
          <w:b/>
          <w:bCs/>
          <w:color w:val="1F3864"/>
          <w:sz w:val="22"/>
          <w:szCs w:val="22"/>
        </w:rPr>
        <w:t xml:space="preserve">2A. Miller Act Bonding — The Treasury Circular 570 Distinction</w:t>
      </w:r>
    </w:p>
    <w:p>
      <w:pPr>
        <w:spacing w:before="60" w:after="60"/>
      </w:pPr>
      <w:r>
        <w:rPr>
          <w:rFonts w:ascii="Arial" w:cs="Arial" w:eastAsia="Arial" w:hAnsi="Arial"/>
          <w:sz w:val="20"/>
          <w:szCs w:val="20"/>
        </w:rPr>
        <w:t xml:space="preserve">The Miller Act (40 U.S.C. § 3131) requires performance and payment bonds on all federal construction contracts exceeding $150,000. This is one of the most frequently misunderstood requirements in small business construction contracting. The failure is not that firms are unaware of bonding — it is that they routinely confuse bank credit with bonding capacity, and they submit the wrong type of financial documentation as a result.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 DISTINCTION</w:t>
            </w:r>
          </w:p>
        </w:tc>
        <w:tc>
          <w:tcPr>
            <w:tcW w:type="dxa" w:w="81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color w:val="000000"/>
                <w:sz w:val="18"/>
                <w:szCs w:val="18"/>
              </w:rPr>
              <w:t xml:space="preserve">A letter from a bank stating the firm has a 'sufficient credit line' or 'available credit' is NOT a bond commitment. It is a banking relationship document. It does not satisfy the Miller Act requirement. Evaluators are trained to identify this substitution and will flag it as a Phase 2 deficiency.</w:t>
            </w:r>
          </w:p>
        </w:tc>
      </w:tr>
    </w:tbl>
    <w:p>
      <w:pPr>
        <w:spacing w:before="0" w:after="0"/>
      </w:pPr>
      <w:r>
        <w:t xml:space="preserve"/>
      </w:r>
    </w:p>
    <w:p>
      <w:pPr>
        <w:spacing w:before="180" w:after="60"/>
      </w:pPr>
      <w:r>
        <w:rPr>
          <w:rFonts w:ascii="Arial" w:cs="Arial" w:eastAsia="Arial" w:hAnsi="Arial"/>
          <w:b/>
          <w:bCs/>
          <w:color w:val="1F3864"/>
          <w:sz w:val="20"/>
          <w:szCs w:val="20"/>
        </w:rPr>
        <w:t xml:space="preserve">What a Compliant Bond Document Requires</w:t>
      </w:r>
    </w:p>
    <w:p>
      <w:pPr>
        <w:spacing w:before="60" w:after="60"/>
      </w:pPr>
      <w:r>
        <w:rPr>
          <w:rFonts w:ascii="Arial" w:cs="Arial" w:eastAsia="Arial" w:hAnsi="Arial"/>
          <w:sz w:val="20"/>
          <w:szCs w:val="20"/>
        </w:rPr>
        <w:t xml:space="preserve">The bid guarantee and bond commitment must come from a surety company listed on the Treasury Department's Circular 570 — the official list of approved federal sureties. The circular is updated quarterly. A surety not on Circular 570 at the time of submission does not satisfy the requirement, regardless of the company's financial standing.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Document Required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Formal Bid Guarantee (SF-24) or Performance and Payment Bond commitment letter from a Treasury Circular 570-listed surety. Not a bank letter. Not a line of credit confirmation.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Verification Step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Look up the surety company name at fiscal.treasury.gov/fsreports/ref/suretyBnd/c570.htm before submission. Confirm the listed underwriting limit covers the total contract value.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Dollar Threshold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Miller Act applies to ALL construction contracts over $150,000. There is no exception for small business set-asides or SDVOSB/8(a) vehicles.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Common Failure Mode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SDVOSB bids a $1.2M VA hospital renovation and submits a bank credit letter. Evaluators flag as Phase 2 deficiency — non-responsive. No remedy. The bid is excluded before technical review begins.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Required Action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Obtain a formal bond commitment letter from a Treasury Circular 570 surety. Verify the surety's underwriting limit equals or exceeds the total CLIN price. Attach as a required exhibit in the price volume.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BONDING vs. CAPACITY</w:t>
            </w:r>
          </w:p>
        </w:tc>
        <w:tc>
          <w:tcPr>
            <w:tcW w:type="dxa" w:w="81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rFonts w:ascii="Arial" w:cs="Arial" w:eastAsia="Arial" w:hAnsi="Arial"/>
                <w:color w:val="000000"/>
                <w:sz w:val="18"/>
                <w:szCs w:val="18"/>
              </w:rPr>
              <w:t xml:space="preserve">Bonding capacity is not the same as bank credit or working capital. Bonding capacity is determined by the surety based on the firm's financials, backlog, and track record — not by the bank. Many small businesses discover they cannot obtain bonding at the required level only after investing weeks in proposal development. Verify bonding capacity BEFORE the proposal kickoff.</w:t>
            </w:r>
          </w:p>
        </w:tc>
      </w:tr>
    </w:tbl>
    <w:p>
      <w:pPr>
        <w:spacing w:before="0" w:after="0"/>
      </w:pPr>
      <w:r>
        <w:t xml:space="preserve"/>
      </w:r>
    </w:p>
    <w:p>
      <w:pPr>
        <w:pStyle w:val="Heading2"/>
        <w:spacing w:before="240" w:after="80"/>
      </w:pPr>
      <w:r>
        <w:rPr>
          <w:rFonts w:ascii="Arial" w:cs="Arial" w:eastAsia="Arial" w:hAnsi="Arial"/>
          <w:b/>
          <w:bCs/>
          <w:color w:val="1F3864"/>
          <w:sz w:val="22"/>
          <w:szCs w:val="22"/>
        </w:rPr>
        <w:t xml:space="preserve">2B. Davis-Bacon Act Compliance — FAR 52.222-6</w:t>
      </w:r>
    </w:p>
    <w:p>
      <w:pPr>
        <w:spacing w:before="60" w:after="60"/>
      </w:pPr>
      <w:r>
        <w:rPr>
          <w:rFonts w:ascii="Arial" w:cs="Arial" w:eastAsia="Arial" w:hAnsi="Arial"/>
          <w:sz w:val="20"/>
          <w:szCs w:val="20"/>
        </w:rPr>
        <w:t xml:space="preserve">The Davis-Bacon Act (40 U.S.C. § 3141) requires payment of prevailing wages on federal construction contracts over $2,000. FAR 52.222-6 implements this requirement. For proposal purposes, Davis-Bacon compliance has two distinct components — and missing either one is a binary Phase 2 deficiency.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Component 1: Wage Determination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The solicitation will include applicable Wage Determination(s) from the Department of Labor. The offeror must confirm in the proposal that the correct Wage Determination has been incorporated into labor pricing. Proposals that reference the wrong WD number, or that fail to reference any WD, are non-compliant.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Component 2: Certification Language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proposal must include specific certification language committing to Davis-Bacon compliance. 'We will comply with all applicable labor laws' is NOT sufficient — evaluators look for FAR 52.222-6 specifically cited and the Davis-Bacon wage rates confirmed.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Where to Check</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Locate the Davis-Bacon Wage Determination in Section J attachments or integrated into the PWS. Verify it matches the county and construction type for the project location. Check SAM.gov Wage Determinations Online (WDOL) to confirm the WD is current.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Common Failure Mode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Offeror acknowledges Davis-Bacon in the technical narrative but fails to include the required certification language in the representations and certifications volume. Evaluators flag as a missing mandatory exhibit — Deficiency.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Required Action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Add explicit Davis-Bacon certification to the representations and certifications section. Reference FAR 52.222-6 by number. Confirm the Wage Determination number from the solicitation is incorporated into labor pricing calculations.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NON-REMEDIABLE DEFICIENCY</w:t>
            </w:r>
          </w:p>
        </w:tc>
        <w:tc>
          <w:tcPr>
            <w:tcW w:type="dxa" w:w="79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color w:val="000000"/>
                <w:sz w:val="18"/>
                <w:szCs w:val="18"/>
              </w:rPr>
              <w:t xml:space="preserve">Davis-Bacon non-certification is a material failure to meet a mandatory Government requirement under FAR 15.001. It cannot be corrected after submission and cannot be remedied in discussions. Agencies are not required to seek clarification. A missing or deficient Davis-Bacon certification results in an Unacceptable rating before technical evaluation begins.</w:t>
            </w:r>
          </w:p>
        </w:tc>
      </w:tr>
    </w:tbl>
    <w:p>
      <w:pPr>
        <w:spacing w:before="0" w:after="0"/>
      </w:pPr>
      <w:r>
        <w:t xml:space="preserve"/>
      </w:r>
    </w:p>
    <w:p>
      <w:pPr>
        <w:pStyle w:val="Heading2"/>
        <w:spacing w:before="240" w:after="80"/>
      </w:pPr>
      <w:r>
        <w:rPr>
          <w:rFonts w:ascii="Arial" w:cs="Arial" w:eastAsia="Arial" w:hAnsi="Arial"/>
          <w:b/>
          <w:bCs/>
          <w:color w:val="1F3864"/>
          <w:sz w:val="22"/>
          <w:szCs w:val="22"/>
        </w:rPr>
        <w:t xml:space="preserve">2C. Construction-Specific Section L Compliance Sweep</w:t>
      </w:r>
    </w:p>
    <w:p>
      <w:pPr>
        <w:spacing w:before="60" w:after="60"/>
      </w:pPr>
      <w:r>
        <w:rPr>
          <w:rFonts w:ascii="Arial" w:cs="Arial" w:eastAsia="Arial" w:hAnsi="Arial"/>
          <w:sz w:val="20"/>
          <w:szCs w:val="20"/>
        </w:rPr>
        <w:t xml:space="preserve">In addition to the standard Phase 2 formatting and shall/must sweep, run these construction-specific checks before any other evaluation work begins.</w:t>
      </w:r>
    </w:p>
    <w:p>
      <w:pPr>
        <w:spacing w:before="0" w:after="0"/>
      </w:pPr>
      <w:r>
        <w:t xml:space="preserve"/>
      </w:r>
    </w:p>
    <w:p>
      <w:pPr>
        <w:pStyle w:val="ListParagraph"/>
        <w:numPr>
          <w:ilvl w:val="0"/>
          <w:numId w:val="2"/>
        </w:numPr>
        <w:spacing w:before="40" w:after="40"/>
      </w:pPr>
      <w:r>
        <w:rPr>
          <w:rFonts w:ascii="Arial" w:cs="Arial" w:eastAsia="Arial" w:hAnsi="Arial"/>
          <w:sz w:val="20"/>
          <w:szCs w:val="20"/>
        </w:rPr>
        <w:t xml:space="preserve">Bid Guarantee form (SF-24) present and signed — verify it matches the surety commitment letter</w:t>
      </w:r>
    </w:p>
    <w:p>
      <w:pPr>
        <w:pStyle w:val="ListParagraph"/>
        <w:numPr>
          <w:ilvl w:val="0"/>
          <w:numId w:val="2"/>
        </w:numPr>
        <w:spacing w:before="40" w:after="40"/>
      </w:pPr>
      <w:r>
        <w:rPr>
          <w:rFonts w:ascii="Arial" w:cs="Arial" w:eastAsia="Arial" w:hAnsi="Arial"/>
          <w:sz w:val="20"/>
          <w:szCs w:val="20"/>
        </w:rPr>
        <w:t xml:space="preserve">Performance Bond commitment from Treasury Circular 570 surety attached — verify underwriting limit</w:t>
      </w:r>
    </w:p>
    <w:p>
      <w:pPr>
        <w:pStyle w:val="ListParagraph"/>
        <w:numPr>
          <w:ilvl w:val="0"/>
          <w:numId w:val="2"/>
        </w:numPr>
        <w:spacing w:before="40" w:after="40"/>
      </w:pPr>
      <w:r>
        <w:rPr>
          <w:rFonts w:ascii="Arial" w:cs="Arial" w:eastAsia="Arial" w:hAnsi="Arial"/>
          <w:sz w:val="20"/>
          <w:szCs w:val="20"/>
        </w:rPr>
        <w:t xml:space="preserve">Payment Bond commitment attached separately if required by Section L</w:t>
      </w:r>
    </w:p>
    <w:p>
      <w:pPr>
        <w:pStyle w:val="ListParagraph"/>
        <w:numPr>
          <w:ilvl w:val="0"/>
          <w:numId w:val="2"/>
        </w:numPr>
        <w:spacing w:before="40" w:after="40"/>
      </w:pPr>
      <w:r>
        <w:rPr>
          <w:rFonts w:ascii="Arial" w:cs="Arial" w:eastAsia="Arial" w:hAnsi="Arial"/>
          <w:sz w:val="20"/>
          <w:szCs w:val="20"/>
        </w:rPr>
        <w:t xml:space="preserve">Davis-Bacon Wage Determination number cited in price volume labor calculations</w:t>
      </w:r>
    </w:p>
    <w:p>
      <w:pPr>
        <w:pStyle w:val="ListParagraph"/>
        <w:numPr>
          <w:ilvl w:val="0"/>
          <w:numId w:val="2"/>
        </w:numPr>
        <w:spacing w:before="40" w:after="40"/>
      </w:pPr>
      <w:r>
        <w:rPr>
          <w:rFonts w:ascii="Arial" w:cs="Arial" w:eastAsia="Arial" w:hAnsi="Arial"/>
          <w:sz w:val="20"/>
          <w:szCs w:val="20"/>
        </w:rPr>
        <w:t xml:space="preserve">Davis-Bacon certification language present in representations and certifications</w:t>
      </w:r>
    </w:p>
    <w:p>
      <w:pPr>
        <w:pStyle w:val="ListParagraph"/>
        <w:numPr>
          <w:ilvl w:val="0"/>
          <w:numId w:val="2"/>
        </w:numPr>
        <w:spacing w:before="40" w:after="40"/>
      </w:pPr>
      <w:r>
        <w:rPr>
          <w:rFonts w:ascii="Arial" w:cs="Arial" w:eastAsia="Arial" w:hAnsi="Arial"/>
          <w:sz w:val="20"/>
          <w:szCs w:val="20"/>
        </w:rPr>
        <w:t xml:space="preserve">Site visit attendance documented if mandatory pre-proposal site visit was required</w:t>
      </w:r>
    </w:p>
    <w:p>
      <w:pPr>
        <w:pStyle w:val="ListParagraph"/>
        <w:numPr>
          <w:ilvl w:val="0"/>
          <w:numId w:val="2"/>
        </w:numPr>
        <w:spacing w:before="40" w:after="40"/>
      </w:pPr>
      <w:r>
        <w:rPr>
          <w:rFonts w:ascii="Arial" w:cs="Arial" w:eastAsia="Arial" w:hAnsi="Arial"/>
          <w:sz w:val="20"/>
          <w:szCs w:val="20"/>
        </w:rPr>
        <w:t xml:space="preserve">OSHA 300 log or equivalent safety record submitted if required by Section L</w:t>
      </w:r>
    </w:p>
    <w:p>
      <w:pPr>
        <w:pStyle w:val="ListParagraph"/>
        <w:numPr>
          <w:ilvl w:val="0"/>
          <w:numId w:val="2"/>
        </w:numPr>
        <w:spacing w:before="40" w:after="40"/>
      </w:pPr>
      <w:r>
        <w:rPr>
          <w:rFonts w:ascii="Arial" w:cs="Arial" w:eastAsia="Arial" w:hAnsi="Arial"/>
          <w:sz w:val="20"/>
          <w:szCs w:val="20"/>
        </w:rPr>
        <w:t xml:space="preserve">Experience Modification Rate (EMR) certificate from insurer attached if required</w:t>
      </w:r>
    </w:p>
    <w:p>
      <w:pPr>
        <w:pStyle w:val="ListParagraph"/>
        <w:numPr>
          <w:ilvl w:val="0"/>
          <w:numId w:val="2"/>
        </w:numPr>
        <w:spacing w:before="40" w:after="40"/>
      </w:pPr>
      <w:r>
        <w:rPr>
          <w:rFonts w:ascii="Arial" w:cs="Arial" w:eastAsia="Arial" w:hAnsi="Arial"/>
          <w:sz w:val="20"/>
          <w:szCs w:val="20"/>
        </w:rPr>
        <w:t xml:space="preserve">Subcontracting plan attached if contract value triggers FAR 52.219-9 requirement</w:t>
      </w:r>
    </w:p>
    <w:p>
      <w:pPr>
        <w:pStyle w:val="ListParagraph"/>
        <w:numPr>
          <w:ilvl w:val="0"/>
          <w:numId w:val="2"/>
        </w:numPr>
        <w:spacing w:before="40" w:after="40"/>
      </w:pPr>
      <w:r>
        <w:rPr>
          <w:rFonts w:ascii="Arial" w:cs="Arial" w:eastAsia="Arial" w:hAnsi="Arial"/>
          <w:sz w:val="20"/>
          <w:szCs w:val="20"/>
        </w:rPr>
        <w:t xml:space="preserve">Section 3 compliance plan present if this is a HUD-related or public housing adjacent project</w:t>
      </w:r>
    </w:p>
    <w:p>
      <w:pPr>
        <w:spacing w:before="0" w:after="0"/>
      </w:pPr>
      <w:r>
        <w:t xml:space="preserve"/>
      </w:r>
    </w:p>
    <w:p>
      <w:pPr>
        <w:pBdr>
          <w:bottom w:val="single" w:color="1F3864" w:sz="6"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A8C4E0"/>
                <w:sz w:val="20"/>
                <w:szCs w:val="20"/>
              </w:rPr>
              <w:t xml:space="preserve">PHASE 3</w:t>
            </w:r>
            <w:r>
              <w:rPr>
                <w:rFonts w:ascii="Arial" w:cs="Arial" w:eastAsia="Arial" w:hAnsi="Arial"/>
                <w:b/>
                <w:bCs/>
                <w:color w:val="FFFFFF"/>
                <w:sz w:val="20"/>
                <w:szCs w:val="20"/>
              </w:rPr>
              <w:t xml:space="preserve">  |  Readiness Assessment — Construction Additions</w:t>
            </w:r>
          </w:p>
          <w:p>
            <w:pPr>
              <w:spacing w:before="40"/>
            </w:pPr>
            <w:r>
              <w:rPr>
                <w:rFonts w:ascii="Arial" w:cs="Arial" w:eastAsia="Arial" w:hAnsi="Arial"/>
                <w:i/>
                <w:iCs/>
                <w:color w:val="C0C0C0"/>
                <w:sz w:val="18"/>
                <w:szCs w:val="18"/>
              </w:rPr>
              <w:t xml:space="preserve">Evaluating safety record, bonding capacity, and credentials against stated minimums.</w:t>
            </w:r>
          </w:p>
        </w:tc>
      </w:tr>
    </w:tbl>
    <w:p>
      <w:pPr>
        <w:spacing w:before="0" w:after="0"/>
      </w:pPr>
      <w:r>
        <w:t xml:space="preserve"/>
      </w:r>
    </w:p>
    <w:p>
      <w:pPr>
        <w:pStyle w:val="Heading2"/>
        <w:spacing w:before="240" w:after="80"/>
      </w:pPr>
      <w:r>
        <w:rPr>
          <w:rFonts w:ascii="Arial" w:cs="Arial" w:eastAsia="Arial" w:hAnsi="Arial"/>
          <w:b/>
          <w:bCs/>
          <w:color w:val="1F3864"/>
          <w:sz w:val="22"/>
          <w:szCs w:val="22"/>
        </w:rPr>
        <w:t xml:space="preserve">3A. Experience Modification Rate (EMR) — Safety Record Threshold</w:t>
      </w:r>
    </w:p>
    <w:p>
      <w:pPr>
        <w:spacing w:before="60" w:after="60"/>
      </w:pPr>
      <w:r>
        <w:rPr>
          <w:rFonts w:ascii="Arial" w:cs="Arial" w:eastAsia="Arial" w:hAnsi="Arial"/>
          <w:sz w:val="20"/>
          <w:szCs w:val="20"/>
        </w:rPr>
        <w:t xml:space="preserve">The Experience Modification Rate (EMR) is a workers' compensation insurance metric that measures a firm's safety record relative to industry averages. An EMR of 1.0 is the industry baseline. EMR below 1.0 indicates a better-than-average safety record. EMR above 1.0 indicates worse-than-average safety record relative to peers.</w:t>
      </w:r>
    </w:p>
    <w:p>
      <w:pPr>
        <w:spacing w:before="60" w:after="60"/>
      </w:pPr>
      <w:r>
        <w:rPr>
          <w:rFonts w:ascii="Arial" w:cs="Arial" w:eastAsia="Arial" w:hAnsi="Arial"/>
          <w:sz w:val="20"/>
          <w:szCs w:val="20"/>
        </w:rPr>
        <w:t xml:space="preserve">VA, USACE, and many GSA construction solicitations specify a maximum EMR threshold — frequently 1.0 or 1.2 — as a pass/fail eligibility requirement or as a Section M evaluation factor. Exceeding this threshold can result in immediate disqualification or a Significant Weakness that excludes the firm from the competitive range.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Where to Find the Threshold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Section L eligibility requirements, Section M evaluation criteria, or the PWS/SOW safety requirements. USACE solicitations frequently embed EMR thresholds in EM 385-1-1 safety plan references. VA solicitations often list it as a pass/fail in Section 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Document Required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 EMR certificate from the firm's workers' compensation insurer. Must reflect the current policy year. The certificate must show the EMR number — not just the coverage amount.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Threshold Scenarios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EMR ≤ 1.0: Typically a Strength or at minimum a Pass. EMR 1.01-1.20: Flag for review — may still pass if threshold is 1.2. EMR &gt; 1.20: High probability of exclusion on VA/USACE bids. Evaluate teaming options.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If EMR is Unfavorable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 not hide it. If the RFP requires disclosure, non-disclosure is itself a Deficiency. Instead, provide a narrative explaining corrective actions taken, current safety program improvements, and trend data showing improvement. A credible improvement narrative can mitigate a Significant Weakness to a Weakness.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Required Action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Obtain current EMR certificate from insurer before proposal kickoff. Compare against threshold stated in solicitation. If EMR is above threshold, evaluate whether teaming with a lower-EMR prime or subcontractor resolves the issue before investing in proposal development.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EMR TREND MATTERS</w:t>
            </w:r>
          </w:p>
        </w:tc>
        <w:tc>
          <w:tcPr>
            <w:tcW w:type="dxa" w:w="81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color w:val="000000"/>
                <w:sz w:val="18"/>
                <w:szCs w:val="18"/>
              </w:rPr>
              <w:t xml:space="preserve">If the firm's EMR has improved from 1.4 to 1.1 over three years, a risk mitigation narrative that shows the trend is more compelling to evaluators than the raw current number. Include year-over-year EMR data and name the specific safety program changes that drove the improvement.</w:t>
            </w:r>
          </w:p>
        </w:tc>
      </w:tr>
    </w:tbl>
    <w:p>
      <w:pPr>
        <w:spacing w:before="0" w:after="0"/>
      </w:pPr>
      <w:r>
        <w:t xml:space="preserve"/>
      </w:r>
    </w:p>
    <w:p>
      <w:pPr>
        <w:pStyle w:val="Heading2"/>
        <w:spacing w:before="240" w:after="80"/>
      </w:pPr>
      <w:r>
        <w:rPr>
          <w:rFonts w:ascii="Arial" w:cs="Arial" w:eastAsia="Arial" w:hAnsi="Arial"/>
          <w:b/>
          <w:bCs/>
          <w:color w:val="1F3864"/>
          <w:sz w:val="22"/>
          <w:szCs w:val="22"/>
        </w:rPr>
        <w:t xml:space="preserve">3B. Accident Prevention Plan (APP) and OSHA Safety Plan Requirements</w:t>
      </w:r>
    </w:p>
    <w:p>
      <w:pPr>
        <w:spacing w:before="60" w:after="60"/>
      </w:pPr>
      <w:r>
        <w:rPr>
          <w:rFonts w:ascii="Arial" w:cs="Arial" w:eastAsia="Arial" w:hAnsi="Arial"/>
          <w:sz w:val="20"/>
          <w:szCs w:val="20"/>
        </w:rPr>
        <w:t xml:space="preserve">On USACE contracts, the Accident Prevention Plan (APP) is governed by Engineer Manual EM 385-1-1. On VA construction contracts, the safety plan requirements are specified in the solicitation's Special Contract Requirements (Section H) or PWS. Missing, superficial, or generic safety plans are one of the highest-frequency Significant Weaknesses documented in construction evaluations.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USACE Requirement (EM 385-1-1)</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The APP must comply with the specific sections of EM 385-1-1 cited in the solicitation. A generic safety plan that does not reference EM 385-1-1 by section number is immediately identifiable as a copied document — evaluators document this as a Weakness.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VA Requirement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 construction solicitations frequently require a site-specific safety narrative. Generic language ('we are committed to safety') scores Marginal. A plan that names the specific VA facility, identifies project-specific hazards (asbestos, lead paint, active patient areas), and describes mitigation by hazard category can score a Strength.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Discriminator Opportunity</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Unlike most technical factors, the safety plan is an area where small businesses can legitimately differentiate. A plan that names the firm's safety officer, cites their OSHA 30 or OSHA 500 credentials, references incident rates from named prior contracts, and addresses project-specific hazards by name is a documented Strength.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Common Failure Mode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Safety plan is one page of generic commitments. No named safety officer. No project-specific hazard identification. No incident rate data. Evaluators document as Weakness on every factor where safety is scored — which on VA/USACE bids is often its own sub-factor.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Required Action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Name the designated Safety Officer and cite their credentials (OSHA 30, OSHA 500, CHST, or equivalent). Identify project-specific hazards by category. Reference EM 385-1-1 sections by number if USACE. Include OSHA incident rate (TRIR/DART) from the last three years on comparable projects.</w:t>
            </w:r>
          </w:p>
        </w:tc>
      </w:tr>
    </w:tbl>
    <w:p>
      <w:pPr>
        <w:spacing w:before="0" w:after="0"/>
      </w:pPr>
      <w:r>
        <w:t xml:space="preserve"/>
      </w:r>
    </w:p>
    <w:p>
      <w:pPr>
        <w:pBdr>
          <w:bottom w:val="single" w:color="1F3864" w:sz="6"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A8C4E0"/>
                <w:sz w:val="20"/>
                <w:szCs w:val="20"/>
              </w:rPr>
              <w:t xml:space="preserve">PHASE 4</w:t>
            </w:r>
            <w:r>
              <w:rPr>
                <w:rFonts w:ascii="Arial" w:cs="Arial" w:eastAsia="Arial" w:hAnsi="Arial"/>
                <w:b/>
                <w:bCs/>
                <w:color w:val="FFFFFF"/>
                <w:sz w:val="20"/>
                <w:szCs w:val="20"/>
              </w:rPr>
              <w:t xml:space="preserve">  |  Adjectival Scoring — Construction-Specific Weakness Triggers</w:t>
            </w:r>
          </w:p>
          <w:p>
            <w:pPr>
              <w:spacing w:before="40"/>
            </w:pPr>
            <w:r>
              <w:rPr>
                <w:rFonts w:ascii="Arial" w:cs="Arial" w:eastAsia="Arial" w:hAnsi="Arial"/>
                <w:i/>
                <w:iCs/>
                <w:color w:val="C0C0C0"/>
                <w:sz w:val="18"/>
                <w:szCs w:val="18"/>
              </w:rPr>
              <w:t xml:space="preserve">How SSEB evaluators rate construction proposals on safety, management, and past performance factors.</w:t>
            </w:r>
          </w:p>
        </w:tc>
      </w:tr>
    </w:tbl>
    <w:p>
      <w:pPr>
        <w:spacing w:before="0" w:after="0"/>
      </w:pPr>
      <w:r>
        <w:t xml:space="preserve"/>
      </w:r>
    </w:p>
    <w:p>
      <w:pPr>
        <w:pStyle w:val="Heading2"/>
        <w:spacing w:before="240" w:after="80"/>
      </w:pPr>
      <w:r>
        <w:rPr>
          <w:rFonts w:ascii="Arial" w:cs="Arial" w:eastAsia="Arial" w:hAnsi="Arial"/>
          <w:b/>
          <w:bCs/>
          <w:color w:val="1F3864"/>
          <w:sz w:val="22"/>
          <w:szCs w:val="22"/>
        </w:rPr>
        <w:t xml:space="preserve">4A. Construction-Specific Weakness Triggers</w:t>
      </w:r>
    </w:p>
    <w:p>
      <w:pPr>
        <w:spacing w:before="60" w:after="60"/>
      </w:pPr>
      <w:r>
        <w:rPr>
          <w:rFonts w:ascii="Arial" w:cs="Arial" w:eastAsia="Arial" w:hAnsi="Arial"/>
          <w:sz w:val="20"/>
          <w:szCs w:val="20"/>
        </w:rPr>
        <w:t xml:space="preserve">The following phrases, when found in construction proposals, trigger documented Weaknesses. They are construction equivalents of the generic language triggers in the core framework.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Weakness Trigger</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 are committed to maintaining a safe work environment."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Why It Fails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Universal claim. Every competitor submits this sentence. Evaluator cannot write a 'because' statement. No evidence of safety record, named program, or incident data.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Replace With</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"[Firm] holds a [X.XX] EMR as of [year], reflecting a [Y]% improvement over three years. Our Safety Officer, [Name], holds OSHA 500 certification and managed zero lost-time incidents on [Contract #] for [Agency] ([dates])."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Weakness Trigger</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 have successfully completed similar construction projects."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Why It Fails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project named. No dollar value. No square footage or scope descriptor. No agency cited. Evaluator cannot verify relevance. Scores as an unsupported assertion — Marginal at best.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Replace With</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"[Firm] completed [Contract #], a $[X]M renovation of [Building Type] for [Agency], [dates], [square footage], achieving Substantial Completion [X] days ahead of schedule. CPARS rating: [rating]."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Weakness Trigger</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 will coordinate closely with the Contracting Officer's Representative."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Why It Fails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communication cadence defined. No reporting format. No escalation path. No RFI response time. Evaluator documents as a vague management approach — Weakness.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Replace With</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"[Firm] will conduct weekly progress meetings with the COR using a [named format] status report, submit RFIs within [X] hours, and provide a 3-week look-ahead schedule updated every Friday. This cadence was implemented on [Contract #] for [Agency] with zero schedule disputes."</w:t>
            </w:r>
          </w:p>
        </w:tc>
      </w:tr>
    </w:tbl>
    <w:p>
      <w:pPr>
        <w:spacing w:before="0" w:after="0"/>
      </w:pPr>
      <w:r>
        <w:t xml:space="preserve"/>
      </w:r>
    </w:p>
    <w:p>
      <w:pPr>
        <w:pStyle w:val="Heading2"/>
        <w:spacing w:before="240" w:after="80"/>
      </w:pPr>
      <w:r>
        <w:rPr>
          <w:rFonts w:ascii="Arial" w:cs="Arial" w:eastAsia="Arial" w:hAnsi="Arial"/>
          <w:b/>
          <w:bCs/>
          <w:color w:val="1F3864"/>
          <w:sz w:val="22"/>
          <w:szCs w:val="22"/>
        </w:rPr>
        <w:t xml:space="preserve">4B. Construction Past Performance — Scope Comparability Flags</w:t>
      </w:r>
    </w:p>
    <w:p>
      <w:pPr>
        <w:spacing w:before="60" w:after="60"/>
      </w:pPr>
      <w:r>
        <w:rPr>
          <w:rFonts w:ascii="Arial" w:cs="Arial" w:eastAsia="Arial" w:hAnsi="Arial"/>
          <w:sz w:val="20"/>
          <w:szCs w:val="20"/>
        </w:rPr>
        <w:t xml:space="preserve">Past performance evaluation in construction procurement places particular weight on scope comparability — not just dollar value. An evaluator on a $1.2M VA hospital renovation will look for prior work in occupied federal healthcare facilities, not just general renovation contracts of similar dollar value.</w:t>
      </w:r>
    </w:p>
    <w:p>
      <w:pPr>
        <w:spacing w:before="0" w:after="0"/>
      </w:pPr>
      <w:r>
        <w:t xml:space="preserve"/>
      </w:r>
    </w:p>
    <w:p>
      <w:pPr>
        <w:pStyle w:val="ListParagraph"/>
        <w:numPr>
          <w:ilvl w:val="0"/>
          <w:numId w:val="2"/>
        </w:numPr>
        <w:spacing w:before="40" w:after="40"/>
      </w:pPr>
      <w:r>
        <w:rPr>
          <w:rFonts w:ascii="Arial" w:cs="Arial" w:eastAsia="Arial" w:hAnsi="Arial"/>
          <w:sz w:val="20"/>
          <w:szCs w:val="20"/>
        </w:rPr>
        <w:t xml:space="preserve">Dollar value match is necessary but not sufficient. Scope type, facility category, and operational complexity must also be comparable.</w:t>
      </w:r>
    </w:p>
    <w:p>
      <w:pPr>
        <w:pStyle w:val="ListParagraph"/>
        <w:numPr>
          <w:ilvl w:val="0"/>
          <w:numId w:val="2"/>
        </w:numPr>
        <w:spacing w:before="40" w:after="40"/>
      </w:pPr>
      <w:r>
        <w:rPr>
          <w:rFonts w:ascii="Arial" w:cs="Arial" w:eastAsia="Arial" w:hAnsi="Arial"/>
          <w:sz w:val="20"/>
          <w:szCs w:val="20"/>
        </w:rPr>
        <w:t xml:space="preserve">Occupied building renovations are evaluated differently from new construction. If the requirement involves work in an active federal facility (hospital, courthouse, military installation), cite prior experience in occupied buildings specifically.</w:t>
      </w:r>
    </w:p>
    <w:p>
      <w:pPr>
        <w:pStyle w:val="ListParagraph"/>
        <w:numPr>
          <w:ilvl w:val="0"/>
          <w:numId w:val="2"/>
        </w:numPr>
        <w:spacing w:before="40" w:after="40"/>
      </w:pPr>
      <w:r>
        <w:rPr>
          <w:rFonts w:ascii="Arial" w:cs="Arial" w:eastAsia="Arial" w:hAnsi="Arial"/>
          <w:sz w:val="20"/>
          <w:szCs w:val="20"/>
        </w:rPr>
        <w:t xml:space="preserve">Name every access restriction overcome in past performance narratives — badging requirements, after-hours work constraints, infection control protocols, security clearance coordination. These are the details evaluators use to assess risk.</w:t>
      </w:r>
    </w:p>
    <w:p>
      <w:pPr>
        <w:pStyle w:val="ListParagraph"/>
        <w:numPr>
          <w:ilvl w:val="0"/>
          <w:numId w:val="2"/>
        </w:numPr>
        <w:spacing w:before="40" w:after="40"/>
      </w:pPr>
      <w:r>
        <w:rPr>
          <w:rFonts w:ascii="Arial" w:cs="Arial" w:eastAsia="Arial" w:hAnsi="Arial"/>
          <w:sz w:val="20"/>
          <w:szCs w:val="20"/>
        </w:rPr>
        <w:t xml:space="preserve">Square footage: if the RFP states a minimum square footage threshold, every reference must explicitly state the square footage of that project. Per Team J's LLC (B-415090, GAO), if the square footage is not stated in the proposal, the evaluator is not required to verify it from external sources. It does not exist for evaluation purposes.</w:t>
      </w:r>
    </w:p>
    <w:p>
      <w:pPr>
        <w:pStyle w:val="ListParagraph"/>
        <w:numPr>
          <w:ilvl w:val="0"/>
          <w:numId w:val="2"/>
        </w:numPr>
        <w:spacing w:before="40" w:after="40"/>
      </w:pPr>
      <w:r>
        <w:rPr>
          <w:rFonts w:ascii="Arial" w:cs="Arial" w:eastAsia="Arial" w:hAnsi="Arial"/>
          <w:sz w:val="20"/>
          <w:szCs w:val="20"/>
        </w:rPr>
        <w:t xml:space="preserve">For USACE bids: cite prior projects by USACE district and installation name if possible. Agency-specific knowledge demonstrated through named facilities is a Strength trigger.</w:t>
      </w:r>
    </w:p>
    <w:p>
      <w:pPr>
        <w:spacing w:before="0" w:after="0"/>
      </w:pPr>
      <w:r>
        <w:t xml:space="preserve"/>
      </w:r>
    </w:p>
    <w:p>
      <w:pPr>
        <w:pBdr>
          <w:bottom w:val="single" w:color="1F3864" w:sz="6"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A8C4E0"/>
                <w:sz w:val="20"/>
                <w:szCs w:val="20"/>
              </w:rPr>
              <w:t xml:space="preserve">PHASE </w:t>
            </w:r>
            <w:r>
              <w:rPr>
                <w:rFonts w:ascii="Arial" w:cs="Arial" w:eastAsia="Arial" w:hAnsi="Arial"/>
                <w:b/>
                <w:bCs/>
                <w:color w:val="FFFFFF"/>
                <w:sz w:val="20"/>
                <w:szCs w:val="20"/>
              </w:rPr>
              <w:t xml:space="preserve">  |  GAO Case Law — Construction Sector</w:t>
            </w:r>
          </w:p>
          <w:p>
            <w:pPr>
              <w:spacing w:before="40"/>
            </w:pPr>
            <w:r>
              <w:rPr>
                <w:rFonts w:ascii="Arial" w:cs="Arial" w:eastAsia="Arial" w:hAnsi="Arial"/>
                <w:i/>
                <w:iCs/>
                <w:color w:val="C0C0C0"/>
                <w:sz w:val="18"/>
                <w:szCs w:val="18"/>
              </w:rPr>
              <w:t xml:space="preserve">Key bid protest decisions governing construction proposal evaluation.</w:t>
            </w:r>
          </w:p>
        </w:tc>
      </w:tr>
    </w:tbl>
    <w:p>
      <w:pPr>
        <w:spacing w:before="0" w:after="0"/>
      </w:pPr>
      <w:r>
        <w:t xml:space="preserve"/>
      </w:r>
    </w:p>
    <w:p>
      <w:pPr>
        <w:pStyle w:val="Heading2"/>
        <w:spacing w:before="240" w:after="80"/>
      </w:pPr>
      <w:r>
        <w:rPr>
          <w:rFonts w:ascii="Arial" w:cs="Arial" w:eastAsia="Arial" w:hAnsi="Arial"/>
          <w:b/>
          <w:bCs/>
          <w:color w:val="1F3864"/>
          <w:sz w:val="22"/>
          <w:szCs w:val="22"/>
        </w:rPr>
        <w:t xml:space="preserve">Controlling Precedents</w:t>
      </w:r>
    </w:p>
    <w:p>
      <w:pPr>
        <w:spacing w:before="60" w:after="60"/>
      </w:pPr>
      <w:r>
        <w:rPr>
          <w:rFonts w:ascii="Arial" w:cs="Arial" w:eastAsia="Arial" w:hAnsi="Arial"/>
          <w:sz w:val="20"/>
          <w:szCs w:val="20"/>
        </w:rPr>
        <w:t xml:space="preserve">The following GAO decisions establish the legal standards that evaluators and contracting officers apply in construction source selections. These cases are cited in the BidReady evaluation output when the corresponding finding is triggered.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Case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Red Team Lesson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Team J's LLC (B-415090)</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If a past performance reference does not explicitly state the square footage (or other required scope metric) in the proposal, the evaluator is not required to verify it externally. The metric does not exist for evaluation purposes. Every scope threshold metric must be explicitly stated in the proposal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M.C. Dean, Inc. (GAO)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 offeror has a material obligation to notify the agency if a key person named in the proposal becomes unavailable before award. Failure to disclose is treated as material misrepresentation — Bait and Switch — which results in disqualification even if the replacement candidate is more qualified.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Arlluk Technology Solutions (GAO)</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Silent substitution of key personnel pre-award is grounds for award termination even after contract execution begins. The obligation to disclose runs from proposal submission through contract award.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FYI Precedent (B-423774, 2025)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 offeror may avoid disqualification for key personnel unavailability ONLY if the firm maintains documented intent from the departing candidate to return upon award, and discloses the situation proactively to the agency. Silence eliminates this defense.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Criterion Corporation (2024)</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 price more than 15% below the IGCE must be accompanied by a cost narrative explaining the labor mix and efficiency methodology that makes the price realistic. Math alone is not sufficient. Applied to construction: below-market labor rates must be explained with a narrative — they cannot be justified by the price schedule alone.</w:t>
            </w:r>
          </w:p>
        </w:tc>
      </w:tr>
    </w:tbl>
    <w:p>
      <w:pPr>
        <w:spacing w:before="0" w:after="0"/>
      </w:pPr>
      <w:r>
        <w:t xml:space="preserve"/>
      </w:r>
    </w:p>
    <w:p>
      <w:pPr>
        <w:pBdr>
          <w:bottom w:val="single" w:color="1F3864" w:sz="6" w:space="1"/>
        </w:pBdr>
        <w:spacing w:before="160" w:after="160"/>
      </w:pPr>
    </w:p>
    <w:p>
      <w:pPr>
        <w:pStyle w:val="Heading1"/>
        <w:spacing w:before="320" w:after="120"/>
      </w:pPr>
      <w:r>
        <w:rPr>
          <w:rFonts w:ascii="Arial" w:cs="Arial" w:eastAsia="Arial" w:hAnsi="Arial"/>
          <w:b/>
          <w:bCs/>
          <w:color w:val="1F3864"/>
          <w:sz w:val="28"/>
          <w:szCs w:val="28"/>
        </w:rPr>
        <w:t xml:space="preserve">Construction Sector Quick Reference</w:t>
      </w:r>
    </w:p>
    <w:p>
      <w:pPr>
        <w:spacing w:before="60" w:after="60"/>
      </w:pPr>
      <w:r>
        <w:rPr>
          <w:rFonts w:ascii="Arial" w:cs="Arial" w:eastAsia="Arial" w:hAnsi="Arial"/>
          <w:sz w:val="20"/>
          <w:szCs w:val="20"/>
        </w:rPr>
        <w:t xml:space="preserve">Use this checklist at proposal kickoff — before any writing begins. Every item that cannot be confirmed is a fatal flaw waiting to happen.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Checkpoint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If Failed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Treasury Circular 570 surety confirmed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Verify surety name at fiscal.treasury.gov. Confirm underwriting limit ≥ total CLIN price.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Non-responsive. No remedy.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Bank credit letter present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Remove immediately. Substitute formal surety commitment letter.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Non-responsive if bank letter is only bond document.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Davis-Bacon WD number confirmed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Cross-reference solicitation WD number against WDOL. Verify WD is current.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Deficiency. Unawardable.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Davis-Bacon certification language present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Cite FAR 52.222-6 explicitly in representations and certifications.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Deficiency. Unawardable.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EMR certificate obtained from insurer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Current policy year. EMR number visible. Compare to solicitation threshold.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Exclusion from competitive range if above threshold.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Safety Officer named with credentials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OSHA 30 / OSHA 500 / CHST. Named individual, not 'a qualified safety officer.'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Weakness on safety factor.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Project-specific hazards identified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List hazard categories by type. Do not use generic safety language.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Weakness on safety factor.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TRIR/DART incident rates included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3-year historical rates from named prior projects.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Weakness if omitted on VA/USACE bids.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Square footage stated for every PP reference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Explicit number. Do not assume evaluator will verify.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Reference excluded from threshold evaluation (Team J's).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Key personnel commitment letters attached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Signed by proposed individual. Current 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L Deficiency if required and missing.</w:t>
            </w:r>
          </w:p>
        </w:tc>
      </w:tr>
    </w:tbl>
    <w:p>
      <w:pPr>
        <w:spacing w:before="0" w:after="0"/>
      </w:pPr>
      <w:r>
        <w:t xml:space="preserve"/>
      </w:r>
    </w:p>
    <w:p>
      <w:pPr>
        <w:spacing w:before="240"/>
        <w:jc w:val="center"/>
      </w:pPr>
      <w:r>
        <w:rPr>
          <w:rFonts w:ascii="Arial" w:cs="Arial" w:eastAsia="Arial" w:hAnsi="Arial"/>
          <w:i/>
          <w:iCs/>
          <w:color w:val="888888"/>
          <w:sz w:val="16"/>
          <w:szCs w:val="16"/>
        </w:rPr>
        <w:t xml:space="preserve">BidReady Construction Appendix v1.0  |  Supplement to BidReady RFP Framework v2.1  |  March 2026</w:t>
      </w:r>
    </w:p>
    <w:p>
      <w:pPr>
        <w:jc w:val="center"/>
      </w:pPr>
      <w:r>
        <w:rPr>
          <w:rFonts w:ascii="Arial" w:cs="Arial" w:eastAsia="Arial" w:hAnsi="Arial"/>
          <w:i/>
          <w:iCs/>
          <w:color w:val="888888"/>
          <w:sz w:val="16"/>
          <w:szCs w:val="16"/>
        </w:rPr>
        <w:t xml:space="preserve">Next: Facilities Appendix (NAICS 561210/561720) | Professional Services Appendix (NAICS 541519/541611)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2026-03-09T17:34:27.529Z</dcterms:created>
  <dcterms:modified xsi:type="dcterms:W3CDTF">2026-03-09T17:34:27.552Z</dcterms:modified>
</cp:coreProperties>
</file>

<file path=docProps/custom.xml><?xml version="1.0" encoding="utf-8"?>
<Properties xmlns="http://schemas.openxmlformats.org/officeDocument/2006/custom-properties" xmlns:vt="http://schemas.openxmlformats.org/officeDocument/2006/docPropsVTypes"/>
</file>