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pPr>
      <w:r>
        <w:rPr>
          <w:rFonts w:ascii="Arial" w:cs="Arial" w:eastAsia="Arial" w:hAnsi="Arial"/>
          <w:b/>
          <w:bCs/>
          <w:color w:val="1B4F72"/>
          <w:sz w:val="80"/>
          <w:szCs w:val="80"/>
        </w:rPr>
        <w:t xml:space="preserve">BidReady</w:t>
      </w:r>
    </w:p>
    <w:p>
      <w:pPr>
        <w:spacing w:before="0" w:after="100"/>
      </w:pPr>
      <w:r>
        <w:rPr>
          <w:rFonts w:ascii="Arial" w:cs="Arial" w:eastAsia="Arial" w:hAnsi="Arial"/>
          <w:color w:val="2E75B6"/>
          <w:sz w:val="38"/>
          <w:szCs w:val="38"/>
        </w:rPr>
        <w:t xml:space="preserve">Federal RFP Evaluation Framework</w:t>
      </w:r>
    </w:p>
    <w:p>
      <w:pPr>
        <w:pBdr>
          <w:bottom w:val="single" w:color="2E75B6" w:sz="8" w:space="8"/>
        </w:pBdr>
        <w:spacing w:before="0" w:after="480"/>
      </w:pPr>
      <w:r>
        <w:rPr>
          <w:rFonts w:ascii="Arial" w:cs="Arial" w:eastAsia="Arial" w:hAnsi="Arial"/>
          <w:i/>
          <w:iCs/>
          <w:color w:val="566573"/>
          <w:sz w:val="21"/>
          <w:szCs w:val="21"/>
        </w:rPr>
        <w:t xml:space="preserve">A Red Team Reviewer’s Methodology — Enhanced with GAO Case Law, FAR Regulatory Analysis, and DoD Source Selection Procedures</w:t>
      </w:r>
    </w:p>
    <w:p>
      <w:pPr>
        <w:spacing w:before="80" w:after="80"/>
      </w:pPr>
      <w:r>
        <w:rPr>
          <w:rFonts w:ascii="Arial" w:cs="Arial" w:eastAsia="Arial" w:hAnsi="Arial"/>
          <w:color w:val="2C3E50"/>
          <w:sz w:val="20"/>
          <w:szCs w:val="20"/>
        </w:rPr>
        <w:t xml:space="preserve">This framework replicates the adversarial perspective of a government Source Selection Evaluation Board (SSEB). It is structured to find every reason a proposal could be rejected, scored lower, or overlooked — before submission, not after. It draws on FAR Part 15, DoD Source Selection Procedures (2022), GAO bid protest decisions through FY 2025, and practitioner frameworks from Lohfeld Consulting, Hinz Consulting, and PropLibrary.</w:t>
      </w:r>
    </w:p>
    <w:p>
      <w:pPr>
        <w:spacing w:before="100" w:after="100"/>
      </w:pPr>
      <w:r>
        <w:t xml:space="preserve"/>
      </w:r>
    </w:p>
    <w:p>
      <w:pPr>
        <w:spacing w:before="80" w:after="80"/>
      </w:pPr>
      <w:r>
        <w:rPr>
          <w:rFonts w:ascii="Arial" w:cs="Arial" w:eastAsia="Arial" w:hAnsi="Arial"/>
          <w:b/>
          <w:bCs/>
          <w:color w:val="2C3E50"/>
          <w:sz w:val="20"/>
          <w:szCs w:val="20"/>
        </w:rPr>
        <w:t xml:space="preserve">Critical principle: </w:t>
      </w:r>
      <w:r>
        <w:rPr>
          <w:rFonts w:ascii="Arial" w:cs="Arial" w:eastAsia="Arial" w:hAnsi="Arial"/>
          <w:color w:val="2C3E50"/>
          <w:sz w:val="20"/>
          <w:szCs w:val="20"/>
        </w:rPr>
        <w:t xml:space="preserve">Evaluators do not read proposals end-to-end. They search assigned sections like an encyclopedia, hunting for evidence to document findings on their scoresheets. Every section of a proposal must be written to make it effortless for an evaluator to find and document a Strength. If the evaluator has to work to find a strength, they will not find one.</w:t>
      </w:r>
    </w:p>
    <w:p>
      <w:pPr>
        <w:spacing w:before="100" w:after="100"/>
      </w:pPr>
      <w:r>
        <w:t xml:space="preserve"/>
      </w:r>
    </w:p>
    <w:p>
      <w:pPr>
        <w:pStyle w:val="Heading1"/>
        <w:spacing w:before="480" w:after="160"/>
      </w:pPr>
      <w:r>
        <w:rPr>
          <w:rFonts w:ascii="Arial" w:cs="Arial" w:eastAsia="Arial" w:hAnsi="Arial"/>
          <w:b/>
          <w:bCs/>
          <w:color w:val="1B4F72"/>
          <w:sz w:val="34"/>
          <w:szCs w:val="34"/>
        </w:rPr>
        <w:t xml:space="preserve">Framework Overview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200"/>
        <w:gridCol w:w="4760"/>
      </w:tblGrid>
      <w:tr>
        <w:trPr>
          <w:tblHeader/>
        </w:trPr>
        <w:tc>
          <w:tcPr>
            <w:tcW w:type="dxa" w:w="5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Primary Regulatory Basis</w:t>
            </w:r>
          </w:p>
        </w:tc>
        <w:tc>
          <w:tcPr>
            <w:tcW w:type="dxa" w:w="4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What It Catches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Procurement Strategy Assessment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FAR 6.203, FAR 19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Wrong bid vehicle, ineligible opportunity, LPTA vs. Tradeoff mismatch</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1</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Pre-Read Intelligence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FAR 15.304, FAR 15.305</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Agency hot buttons, unstated priorities, recompete context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Fatal Flaw Scan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FAR 52.215-1, Section 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Hard compliance errors that trigger automatic rejection before evaluation</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3</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Readiness Assessment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FAR 15.305(a)(2), 13 CFR 125.2</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Business eligibility, past performance thresholds, certifications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Adjectival Scoring Simulation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DoD SSP 2022, FAR 15.001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How SSEB evaluators would rate each Section M factor</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5</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Win Theme &amp; Discriminator Analysis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FAR 15.304, OFPP guidance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Competitive differentiation gaps and agency-specific strength opportunities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Price Evaluation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FAR 15.402, FAR 15.404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Price reasonableness and realism flags that trigger evaluation concerns</w:t>
            </w:r>
          </w:p>
        </w:tc>
      </w:tr>
    </w:tbl>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280"/>
              <w:bottom w:type="dxa" w:w="200"/>
              <w:right w:type="dxa" w:w="280"/>
            </w:tcMar>
          </w:tcPr>
          <w:p>
            <w:r>
              <w:rPr>
                <w:rFonts w:ascii="Arial" w:cs="Arial" w:eastAsia="Arial" w:hAnsi="Arial"/>
                <w:b/>
                <w:bCs/>
                <w:color w:val="A9CCE3"/>
                <w:sz w:val="18"/>
                <w:szCs w:val="18"/>
              </w:rPr>
              <w:t xml:space="preserve">PHASE 0</w:t>
            </w:r>
          </w:p>
          <w:p>
            <w:r>
              <w:rPr>
                <w:rFonts w:ascii="Arial" w:cs="Arial" w:eastAsia="Arial" w:hAnsi="Arial"/>
                <w:b/>
                <w:bCs/>
                <w:color w:val="FFFFFF"/>
                <w:sz w:val="30"/>
                <w:szCs w:val="30"/>
              </w:rPr>
              <w:t xml:space="preserve">Procurement Strategy Assessment</w:t>
            </w:r>
          </w:p>
          <w:p>
            <w:r>
              <w:rPr>
                <w:rFonts w:ascii="Arial" w:cs="Arial" w:eastAsia="Arial" w:hAnsi="Arial"/>
                <w:i/>
                <w:iCs/>
                <w:color w:val="AED6F1"/>
                <w:sz w:val="19"/>
                <w:szCs w:val="19"/>
              </w:rPr>
              <w:t xml:space="preserve">Determining whether this opportunity is worth pursuing before any proposal investment</w:t>
            </w:r>
          </w:p>
        </w:tc>
      </w:tr>
    </w:tbl>
    <w:p>
      <w:pPr>
        <w:spacing w:before="100" w:after="100"/>
      </w:pPr>
      <w:r>
        <w:t xml:space="preserve"/>
      </w:r>
    </w:p>
    <w:p>
      <w:pPr>
        <w:spacing w:before="80" w:after="80"/>
      </w:pPr>
      <w:r>
        <w:rPr>
          <w:rFonts w:ascii="Arial" w:cs="Arial" w:eastAsia="Arial" w:hAnsi="Arial"/>
          <w:color w:val="2C3E50"/>
          <w:sz w:val="20"/>
          <w:szCs w:val="20"/>
        </w:rPr>
        <w:t xml:space="preserve">Phase 0 is the most neglected phase in small business contracting. Significant proposal effort is wasted on opportunities that are structurally ineligible, incorrectly vehicles, or strategically wrong for the bidder’s current position. This phase must be completed before any proposal writing begins.</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0.1 Procurement Method: LPTA vs. Tradeoff</w:t>
      </w:r>
    </w:p>
    <w:p>
      <w:pPr>
        <w:spacing w:before="80" w:after="80"/>
      </w:pPr>
      <w:r>
        <w:rPr>
          <w:rFonts w:ascii="Arial" w:cs="Arial" w:eastAsia="Arial" w:hAnsi="Arial"/>
          <w:color w:val="2C3E50"/>
          <w:sz w:val="20"/>
          <w:szCs w:val="20"/>
        </w:rPr>
        <w:t xml:space="preserve">Identifying the evaluation method is the single most important strategic decision in proposal planning. The two methods require completely different writing strategies.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Definition</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Proposal Strategy</w:t>
            </w:r>
          </w:p>
        </w:tc>
        <w:tc>
          <w:tcPr>
            <w:tcW w:type="dxa" w:w="2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Fatal Mistake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Lowest Price Technically Acceptable (LPTA)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Once technical acceptability is achieved, price is the sole award factor. Tradeoffs are strictly prohibited.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Write to meet every requirement — nothing more. Elaborate technical approaches and innovation add zero value and waste page space.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Submitting a tradeoff-style proposal packed with strengths and differentiators. The evaluator ignores everything above the acceptability threshold and awards to the lowest price.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Best Value Tradeoff</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Government pays a premium for superior technical merit, lower risk, or better past performance. Non-cost factors explicitly outweigh or equal price.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Identify and substantiate discriminators in every evaluation factor. Generic compliance scores Acceptable — which loses.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Submitting a compliance-only proposal in a tradeoff environment. Meeting requirements without exceeding them scores Acceptable, which is a losing score when competitors have documented Strengths.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CRITICAL</w:t>
            </w:r>
          </w:p>
        </w:tc>
        <w:tc>
          <w:tcPr>
            <w:tcW w:type="dxa" w:w="8260"/>
            <w:tcBorders>
              <w:top w:val="single" w:color="1B4F72" w:sz="1"/>
              <w:left w:val="single" w:color="1B4F72" w:sz="1"/>
              <w:bottom w:val="single" w:color="1B4F72" w:sz="1"/>
              <w:right w:val="single" w:color="1B4F72" w:sz="1"/>
            </w:tcBorders>
            <w:shd w:fill="FADBD8" w:val="clear"/>
            <w:tcMar>
              <w:top w:type="dxa" w:w="120"/>
              <w:left w:type="dxa" w:w="160"/>
              <w:bottom w:type="dxa" w:w="120"/>
              <w:right w:type="dxa" w:w="160"/>
            </w:tcMar>
          </w:tcPr>
          <w:p>
            <w:r>
              <w:rPr>
                <w:rFonts w:ascii="Arial" w:cs="Arial" w:eastAsia="Arial" w:hAnsi="Arial"/>
                <w:color w:val="2C3E50"/>
                <w:sz w:val="19"/>
                <w:szCs w:val="19"/>
              </w:rPr>
              <w:t xml:space="preserve">Confirm the procurement method in Section M before writing a single word of the proposal. The words 'tradeoff' or 'best value' in Section M mean you must pursue Strengths. The words 'lowest price technically acceptable' or 'LPTA' mean you must not waste proposal space on differentiation.</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0.2 Set-Aside Eligibility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Set-Aside Type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Eligibility Requirement</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Verification Step</w:t>
            </w:r>
          </w:p>
        </w:tc>
        <w:tc>
          <w:tcPr>
            <w:tcW w:type="dxa" w:w="2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Disqualification Risk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Total Small 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Below NAICS size standard (employees or revenue)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Cross-reference SBA size standard table. Check for affiliation that could push over the threshold.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Very High — most common ineligibility failure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8(a) Program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Active SBA 8(a) certification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Verify current certification status in SAM.gov — SAM registration alone is insufficient.</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High — SAM registration does not equal 8(a) certification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SDVOSB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Service-disabled veteran ownership, active SDVOSB verification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Verify in VA CVE database or SAM.gov self-certification. Some agencies require CVE verification.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Medium — depends on agency verification requirements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WOSB / EDWOSB</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Women-owned business in underrepresented NAICS, or economically disadvantaged</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Verify NAICS is on SBA WOSB eligible list. EDWOSB requires additional financial documentation.</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Medium — NAICS eligibility is frequently missed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HUBZone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Principal office in HUBZone, 35% employees resident in HUBZone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Verify current HUBZone certification in SAM.gov.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Low if certified, but certification lapses are common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IDIQ / GWAC Task Order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Must already hold the base contract vehicle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Confirm the bidder holds the required contract vehicle (e.g., GSA MAS, SEWP, Alliant).</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Absolute — cannot bid without the vehicle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280"/>
              <w:bottom w:type="dxa" w:w="200"/>
              <w:right w:type="dxa" w:w="280"/>
            </w:tcMar>
          </w:tcPr>
          <w:p>
            <w:r>
              <w:rPr>
                <w:rFonts w:ascii="Arial" w:cs="Arial" w:eastAsia="Arial" w:hAnsi="Arial"/>
                <w:b/>
                <w:bCs/>
                <w:color w:val="A9CCE3"/>
                <w:sz w:val="18"/>
                <w:szCs w:val="18"/>
              </w:rPr>
              <w:t xml:space="preserve">PHASE 1</w:t>
            </w:r>
          </w:p>
          <w:p>
            <w:r>
              <w:rPr>
                <w:rFonts w:ascii="Arial" w:cs="Arial" w:eastAsia="Arial" w:hAnsi="Arial"/>
                <w:b/>
                <w:bCs/>
                <w:color w:val="FFFFFF"/>
                <w:sz w:val="30"/>
                <w:szCs w:val="30"/>
              </w:rPr>
              <w:t xml:space="preserve">Pre-Read Intelligence</w:t>
            </w:r>
          </w:p>
          <w:p>
            <w:r>
              <w:rPr>
                <w:rFonts w:ascii="Arial" w:cs="Arial" w:eastAsia="Arial" w:hAnsi="Arial"/>
                <w:i/>
                <w:iCs/>
                <w:color w:val="AED6F1"/>
                <w:sz w:val="19"/>
                <w:szCs w:val="19"/>
              </w:rPr>
              <w:t xml:space="preserve">Extracting the agency's real priorities before reading the proposal draft</w:t>
            </w:r>
          </w:p>
        </w:tc>
      </w:tr>
    </w:tbl>
    <w:p>
      <w:pPr>
        <w:spacing w:before="100" w:after="100"/>
      </w:pPr>
      <w:r>
        <w:t xml:space="preserve"/>
      </w:r>
    </w:p>
    <w:p>
      <w:pPr>
        <w:spacing w:before="80" w:after="80"/>
      </w:pPr>
      <w:r>
        <w:rPr>
          <w:rFonts w:ascii="Arial" w:cs="Arial" w:eastAsia="Arial" w:hAnsi="Arial"/>
          <w:color w:val="2C3E50"/>
          <w:sz w:val="20"/>
          <w:szCs w:val="20"/>
        </w:rPr>
        <w:t xml:space="preserve">Before evaluating a single word of the proposal draft, an expert reviewer extracts context from the RFP itself. This phase identifies the unstated priorities that drive award decisions — and that most proposals completely miss.</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1.1 NAICS Code and Size Standard Verification</w:t>
      </w:r>
    </w:p>
    <w:p>
      <w:pPr>
        <w:pStyle w:val="ListParagraph"/>
        <w:numPr>
          <w:ilvl w:val="0"/>
          <w:numId w:val="2"/>
        </w:numPr>
        <w:spacing w:before="60" w:after="60"/>
      </w:pPr>
      <w:r>
        <w:rPr>
          <w:rFonts w:ascii="Arial" w:cs="Arial" w:eastAsia="Arial" w:hAnsi="Arial"/>
          <w:color w:val="2C3E50"/>
          <w:sz w:val="20"/>
          <w:szCs w:val="20"/>
        </w:rPr>
        <w:t xml:space="preserve">Locate the NAICS code in the solicitation header or Section B.</w:t>
      </w:r>
    </w:p>
    <w:p>
      <w:pPr>
        <w:pStyle w:val="ListParagraph"/>
        <w:numPr>
          <w:ilvl w:val="0"/>
          <w:numId w:val="2"/>
        </w:numPr>
        <w:spacing w:before="60" w:after="60"/>
      </w:pPr>
      <w:r>
        <w:rPr>
          <w:rFonts w:ascii="Arial" w:cs="Arial" w:eastAsia="Arial" w:hAnsi="Arial"/>
          <w:color w:val="2C3E50"/>
          <w:sz w:val="20"/>
          <w:szCs w:val="20"/>
        </w:rPr>
        <w:t xml:space="preserve">Cross-reference against the current SBA size standard table at sba.gov/size-standards.</w:t>
      </w:r>
    </w:p>
    <w:p>
      <w:pPr>
        <w:pStyle w:val="ListParagraph"/>
        <w:numPr>
          <w:ilvl w:val="0"/>
          <w:numId w:val="2"/>
        </w:numPr>
        <w:spacing w:before="60" w:after="60"/>
      </w:pPr>
      <w:r>
        <w:rPr>
          <w:rFonts w:ascii="Arial" w:cs="Arial" w:eastAsia="Arial" w:hAnsi="Arial"/>
          <w:color w:val="2C3E50"/>
          <w:sz w:val="20"/>
          <w:szCs w:val="20"/>
        </w:rPr>
        <w:t xml:space="preserve">Flag if the bidder is within 20% of the size standard ceiling — affiliation rules (FAR 19.101) can push them over.</w:t>
      </w:r>
    </w:p>
    <w:p>
      <w:pPr>
        <w:pStyle w:val="ListParagraph"/>
        <w:numPr>
          <w:ilvl w:val="0"/>
          <w:numId w:val="2"/>
        </w:numPr>
        <w:spacing w:before="60" w:after="60"/>
      </w:pPr>
      <w:r>
        <w:rPr>
          <w:rFonts w:ascii="Arial" w:cs="Arial" w:eastAsia="Arial" w:hAnsi="Arial"/>
          <w:color w:val="2C3E50"/>
          <w:sz w:val="20"/>
          <w:szCs w:val="20"/>
        </w:rPr>
        <w:t xml:space="preserve">Check for NAICS mismatch between the solicitation and the bidder’s primary NAICS in SAM.gov.</w:t>
      </w:r>
    </w:p>
    <w:p>
      <w:pPr>
        <w:pStyle w:val="ListParagraph"/>
        <w:numPr>
          <w:ilvl w:val="0"/>
          <w:numId w:val="2"/>
        </w:numPr>
        <w:spacing w:before="60" w:after="60"/>
      </w:pPr>
      <w:r>
        <w:rPr>
          <w:rFonts w:ascii="Arial" w:cs="Arial" w:eastAsia="Arial" w:hAnsi="Arial"/>
          <w:color w:val="2C3E50"/>
          <w:sz w:val="20"/>
          <w:szCs w:val="20"/>
        </w:rPr>
        <w:t xml:space="preserve">Verify the NAICS code is listed on the bidder’s SAM.gov profile — agencies occasionally check this.</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1.2 Agency Hot Button Extraction</w:t>
      </w:r>
    </w:p>
    <w:p>
      <w:pPr>
        <w:spacing w:before="80" w:after="80"/>
      </w:pPr>
      <w:r>
        <w:rPr>
          <w:rFonts w:ascii="Arial" w:cs="Arial" w:eastAsia="Arial" w:hAnsi="Arial"/>
          <w:color w:val="2C3E50"/>
          <w:sz w:val="20"/>
          <w:szCs w:val="20"/>
        </w:rPr>
        <w:t xml:space="preserve">Hot buttons are core challenges, pain points, or priorities that keep agency officials awake at night. They are rarely listed as primary evaluation factors — they are buried in the Background or Statement of Need sections and signaled by repeated language.</w:t>
      </w:r>
    </w:p>
    <w:p>
      <w:pPr>
        <w:spacing w:before="100" w:after="100"/>
      </w:pPr>
      <w:r>
        <w:t xml:space="preserve"/>
      </w:r>
    </w:p>
    <w:p>
      <w:pPr>
        <w:pStyle w:val="ListParagraph"/>
        <w:numPr>
          <w:ilvl w:val="0"/>
          <w:numId w:val="2"/>
        </w:numPr>
        <w:spacing w:before="60" w:after="60"/>
      </w:pPr>
      <w:r>
        <w:rPr>
          <w:rFonts w:ascii="Arial" w:cs="Arial" w:eastAsia="Arial" w:hAnsi="Arial"/>
          <w:color w:val="2C3E50"/>
          <w:sz w:val="20"/>
          <w:szCs w:val="20"/>
        </w:rPr>
        <w:t xml:space="preserve">Read the Background and Overview sections for recent program history, prior contract failures, or transition context.</w:t>
      </w:r>
    </w:p>
    <w:p>
      <w:pPr>
        <w:pStyle w:val="ListParagraph"/>
        <w:numPr>
          <w:ilvl w:val="0"/>
          <w:numId w:val="2"/>
        </w:numPr>
        <w:spacing w:before="60" w:after="60"/>
      </w:pPr>
      <w:r>
        <w:rPr>
          <w:rFonts w:ascii="Arial" w:cs="Arial" w:eastAsia="Arial" w:hAnsi="Arial"/>
          <w:color w:val="2C3E50"/>
          <w:sz w:val="20"/>
          <w:szCs w:val="20"/>
        </w:rPr>
        <w:t xml:space="preserve">Identify whether this is a recompete. If so, the incumbent’s weaknesses are frequently embedded in the new requirements.</w:t>
      </w:r>
    </w:p>
    <w:p>
      <w:pPr>
        <w:pStyle w:val="ListParagraph"/>
        <w:numPr>
          <w:ilvl w:val="0"/>
          <w:numId w:val="2"/>
        </w:numPr>
        <w:spacing w:before="60" w:after="60"/>
      </w:pPr>
      <w:r>
        <w:rPr>
          <w:rFonts w:ascii="Arial" w:cs="Arial" w:eastAsia="Arial" w:hAnsi="Arial"/>
          <w:color w:val="2C3E50"/>
          <w:sz w:val="20"/>
          <w:szCs w:val="20"/>
        </w:rPr>
        <w:t xml:space="preserve">Count keyword frequency in the PWS/SOW. High-frequency terms signal evaluation priority even when not weighted.</w:t>
      </w:r>
    </w:p>
    <w:p>
      <w:pPr>
        <w:pStyle w:val="ListParagraph"/>
        <w:numPr>
          <w:ilvl w:val="0"/>
          <w:numId w:val="2"/>
        </w:numPr>
        <w:spacing w:before="60" w:after="60"/>
      </w:pPr>
      <w:r>
        <w:rPr>
          <w:rFonts w:ascii="Arial" w:cs="Arial" w:eastAsia="Arial" w:hAnsi="Arial"/>
          <w:color w:val="2C3E50"/>
          <w:sz w:val="20"/>
          <w:szCs w:val="20"/>
        </w:rPr>
        <w:t xml:space="preserve">Compare draft RFP to final RFP (if both available). Changes between versions signal agency concerns about responses to the draft.</w:t>
      </w:r>
    </w:p>
    <w:p>
      <w:pPr>
        <w:pStyle w:val="ListParagraph"/>
        <w:numPr>
          <w:ilvl w:val="0"/>
          <w:numId w:val="2"/>
        </w:numPr>
        <w:spacing w:before="60" w:after="60"/>
      </w:pPr>
      <w:r>
        <w:rPr>
          <w:rFonts w:ascii="Arial" w:cs="Arial" w:eastAsia="Arial" w:hAnsi="Arial"/>
          <w:color w:val="2C3E50"/>
          <w:sz w:val="20"/>
          <w:szCs w:val="20"/>
        </w:rPr>
        <w:t xml:space="preserve">Check USASpending.gov for the prior contract award. The incumbent’s size, past performance ratings, and pricing are often public.</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Hot Button Signal</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Where It Appears</w:t>
            </w:r>
          </w:p>
        </w:tc>
        <w:tc>
          <w:tcPr>
            <w:tcW w:type="dxa" w:w="4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Proposal Response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'Legacy system stability' or 'minimizing disruption'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Background, transition requirements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Detailed transition plan with specific milestones. Zero-Day continuity guarantee with named backup procedures.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Energy efficiency metrics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Background, special contract requirements, SOW</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Quantify energy savings from comparable past work. Reference agency sustainability targets by name if published.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'Rapid response' or tight SLA 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PWS with specific response time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Propose specific SLA metrics with penalty/remedy structure. Cite past performance demonstrating compliance at similar scale.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Cybersecurity / data protection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Section C, CMMC references, IT security clauses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Name specific frameworks (NIST 800-171, CMMC Level). Reference current assessment scores or certifications.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Small business utilization goals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Section M evaluation criteria, special requirements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Named subcontractors with defined roles — not just target percentages.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Local presence or hiring requirements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Place of performance, local hiring preferences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Name specific local facilities, staff, or partnerships. Generic 'we will support local hiring' is scored as a weakness.</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1.3 Mandatory Pre-Submission Requirements</w:t>
      </w:r>
    </w:p>
    <w:p>
      <w:pPr>
        <w:pStyle w:val="ListParagraph"/>
        <w:numPr>
          <w:ilvl w:val="0"/>
          <w:numId w:val="2"/>
        </w:numPr>
        <w:spacing w:before="60" w:after="60"/>
      </w:pPr>
      <w:r>
        <w:rPr>
          <w:rFonts w:ascii="Arial" w:cs="Arial" w:eastAsia="Arial" w:hAnsi="Arial"/>
          <w:color w:val="2C3E50"/>
          <w:sz w:val="20"/>
          <w:szCs w:val="20"/>
        </w:rPr>
        <w:t xml:space="preserve">Check for mandatory pre-proposal conference. Missing a mandatory conference can disqualify.</w:t>
      </w:r>
    </w:p>
    <w:p>
      <w:pPr>
        <w:pStyle w:val="ListParagraph"/>
        <w:numPr>
          <w:ilvl w:val="0"/>
          <w:numId w:val="2"/>
        </w:numPr>
        <w:spacing w:before="60" w:after="60"/>
      </w:pPr>
      <w:r>
        <w:rPr>
          <w:rFonts w:ascii="Arial" w:cs="Arial" w:eastAsia="Arial" w:hAnsi="Arial"/>
          <w:color w:val="2C3E50"/>
          <w:sz w:val="20"/>
          <w:szCs w:val="20"/>
        </w:rPr>
        <w:t xml:space="preserve">Verify any required site visits have been completed and documented.</w:t>
      </w:r>
    </w:p>
    <w:p>
      <w:pPr>
        <w:pStyle w:val="ListParagraph"/>
        <w:numPr>
          <w:ilvl w:val="0"/>
          <w:numId w:val="2"/>
        </w:numPr>
        <w:spacing w:before="60" w:after="60"/>
      </w:pPr>
      <w:r>
        <w:rPr>
          <w:rFonts w:ascii="Arial" w:cs="Arial" w:eastAsia="Arial" w:hAnsi="Arial"/>
          <w:color w:val="2C3E50"/>
          <w:sz w:val="20"/>
          <w:szCs w:val="20"/>
        </w:rPr>
        <w:t xml:space="preserve">Check for mandatory registrations beyond SAM.gov (specific agency vendor portals, security clearance pre-screening, CMMC certification).</w:t>
      </w:r>
    </w:p>
    <w:p>
      <w:pPr>
        <w:pStyle w:val="ListParagraph"/>
        <w:numPr>
          <w:ilvl w:val="0"/>
          <w:numId w:val="2"/>
        </w:numPr>
        <w:spacing w:before="60" w:after="60"/>
      </w:pPr>
      <w:r>
        <w:rPr>
          <w:rFonts w:ascii="Arial" w:cs="Arial" w:eastAsia="Arial" w:hAnsi="Arial"/>
          <w:color w:val="2C3E50"/>
          <w:sz w:val="20"/>
          <w:szCs w:val="20"/>
        </w:rPr>
        <w:t xml:space="preserve">Identify teaming or subcontracting requirements — mandatory small business subcontracting plans for large primes, mentor-protégé agreements.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280"/>
              <w:bottom w:type="dxa" w:w="200"/>
              <w:right w:type="dxa" w:w="280"/>
            </w:tcMar>
          </w:tcPr>
          <w:p>
            <w:r>
              <w:rPr>
                <w:rFonts w:ascii="Arial" w:cs="Arial" w:eastAsia="Arial" w:hAnsi="Arial"/>
                <w:b/>
                <w:bCs/>
                <w:color w:val="A9CCE3"/>
                <w:sz w:val="18"/>
                <w:szCs w:val="18"/>
              </w:rPr>
              <w:t xml:space="preserve">PHASE 2</w:t>
            </w:r>
          </w:p>
          <w:p>
            <w:r>
              <w:rPr>
                <w:rFonts w:ascii="Arial" w:cs="Arial" w:eastAsia="Arial" w:hAnsi="Arial"/>
                <w:b/>
                <w:bCs/>
                <w:color w:val="FFFFFF"/>
                <w:sz w:val="30"/>
                <w:szCs w:val="30"/>
              </w:rPr>
              <w:t xml:space="preserve">Fatal Flaw Scan — Section L Compliance</w:t>
            </w:r>
          </w:p>
          <w:p>
            <w:r>
              <w:rPr>
                <w:rFonts w:ascii="Arial" w:cs="Arial" w:eastAsia="Arial" w:hAnsi="Arial"/>
                <w:i/>
                <w:iCs/>
                <w:color w:val="AED6F1"/>
                <w:sz w:val="19"/>
                <w:szCs w:val="19"/>
              </w:rPr>
              <w:t xml:space="preserve">The binary screen that eliminates proposals before substantive evaluation begins</w:t>
            </w:r>
          </w:p>
        </w:tc>
      </w:tr>
    </w:tbl>
    <w:p>
      <w:pPr>
        <w:spacing w:before="100" w:after="100"/>
      </w:pPr>
      <w:r>
        <w:t xml:space="preserve"/>
      </w:r>
    </w:p>
    <w:p>
      <w:pPr>
        <w:spacing w:before="80" w:after="80"/>
      </w:pPr>
      <w:r>
        <w:rPr>
          <w:rFonts w:ascii="Arial" w:cs="Arial" w:eastAsia="Arial" w:hAnsi="Arial"/>
          <w:color w:val="2C3E50"/>
          <w:sz w:val="20"/>
          <w:szCs w:val="20"/>
        </w:rPr>
        <w:t xml:space="preserve">Section L compliance is a binary pass/fail gate. A proposal that fails Section L is never evaluated against Section M, regardless of technical merit. GAO bid protest data confirms that formatting and administrative errors are among the most common — and entirely preventable — causes of proposal disqualification.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RED TEAM RULE</w:t>
            </w:r>
          </w:p>
        </w:tc>
        <w:tc>
          <w:tcPr>
            <w:tcW w:type="dxa" w:w="8260"/>
            <w:tcBorders>
              <w:top w:val="single" w:color="1B4F72" w:sz="1"/>
              <w:left w:val="single" w:color="1B4F72" w:sz="1"/>
              <w:bottom w:val="single" w:color="1B4F72" w:sz="1"/>
              <w:right w:val="single" w:color="1B4F72" w:sz="1"/>
            </w:tcBorders>
            <w:shd w:fill="FADBD8" w:val="clear"/>
            <w:tcMar>
              <w:top w:type="dxa" w:w="120"/>
              <w:left w:type="dxa" w:w="160"/>
              <w:bottom w:type="dxa" w:w="120"/>
              <w:right w:type="dxa" w:w="160"/>
            </w:tcMar>
          </w:tcPr>
          <w:p>
            <w:r>
              <w:rPr>
                <w:rFonts w:ascii="Arial" w:cs="Arial" w:eastAsia="Arial" w:hAnsi="Arial"/>
                <w:color w:val="2C3E50"/>
                <w:sz w:val="19"/>
                <w:szCs w:val="19"/>
              </w:rPr>
              <w:t xml:space="preserve">Read Section L with a compliance matrix mentality. Every instance of 'shall,' 'must,' and 'will' is a mandatory requirement. Every instance of 'should' and 'may' is discretionary. This distinction is legally defined in FAR 1.108 and FAR 2.101. A Deficiency under FAR 15.001 is a material failure to meet a Government requirement — rendering the proposal unawardable.</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2.1 The Shall / Must / Will / Should / May Hierarchy</w:t>
      </w:r>
    </w:p>
    <w:p>
      <w:pPr>
        <w:spacing w:before="80" w:after="80"/>
      </w:pPr>
      <w:r>
        <w:rPr>
          <w:rFonts w:ascii="Arial" w:cs="Arial" w:eastAsia="Arial" w:hAnsi="Arial"/>
          <w:color w:val="2C3E50"/>
          <w:sz w:val="20"/>
          <w:szCs w:val="20"/>
        </w:rPr>
        <w:t xml:space="preserve">Per FAR 1.108(c), 'shall' and 'must' carry identical legal weight as mandatory obligations. This hierarchy is the most important language rule in federal contracting and the source of more proposal failures than any other single factor.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800"/>
        <w:gridCol w:w="4560"/>
      </w:tblGrid>
      <w:tr>
        <w:trPr>
          <w:tblHeader/>
        </w:trPr>
        <w:tc>
          <w:tcPr>
            <w:tcW w:type="dxa" w:w="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Term</w:t>
            </w:r>
          </w:p>
        </w:tc>
        <w:tc>
          <w:tcPr>
            <w:tcW w:type="dxa" w:w="11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FAR Basis</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Legal Standing</w:t>
            </w:r>
          </w:p>
        </w:tc>
        <w:tc>
          <w:tcPr>
            <w:tcW w:type="dxa" w:w="4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Consequence of Non-Compliance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Shall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FAR 1.108(c)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Mandatory obligation. Traditional standard for legal requirements.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Missing a 'shall' requirement = Deficiency (FAR 15.001). Proposal rated Unacceptable. Unawardable.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Must</w:t>
            </w:r>
          </w:p>
        </w:tc>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FAR 1.108(c)</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Mandatory obligation. Modern preference over 'shall' for clarity per Plain Language guidance.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Same as 'shall.' Binary failure — immediate disqualification.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Will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Context-dependent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When describing offeror future action: mandatory intent. When describing Government action: a commitment.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If used as an offeror commitment, must be backed by credible approach or rated Marginal.</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Should</w:t>
            </w:r>
          </w:p>
        </w:tc>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FAR 1.108(c)</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Recommended / preferred. Expected unless inappropriate for specific circumstances.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Non-compliance is a Weakness, not a Deficiency. Lowers score but does not trigger rejection.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FAR 1.108(c)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Discretionary / permissive.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No negative impact for not acting upon a 'may' statement. Offeror’s choice.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B7950B"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SCOPE TRAP</w:t>
            </w:r>
          </w:p>
        </w:tc>
        <w:tc>
          <w:tcPr>
            <w:tcW w:type="dxa" w:w="8260"/>
            <w:tcBorders>
              <w:top w:val="single" w:color="1B4F72" w:sz="1"/>
              <w:left w:val="single" w:color="1B4F72" w:sz="1"/>
              <w:bottom w:val="single" w:color="1B4F72" w:sz="1"/>
              <w:right w:val="single" w:color="1B4F72" w:sz="1"/>
            </w:tcBorders>
            <w:shd w:fill="FEF9E7" w:val="clear"/>
            <w:tcMar>
              <w:top w:type="dxa" w:w="120"/>
              <w:left w:type="dxa" w:w="160"/>
              <w:bottom w:type="dxa" w:w="120"/>
              <w:right w:type="dxa" w:w="160"/>
            </w:tcMar>
          </w:tcPr>
          <w:p>
            <w:r>
              <w:rPr>
                <w:rFonts w:ascii="Arial" w:cs="Arial" w:eastAsia="Arial" w:hAnsi="Arial"/>
                <w:color w:val="2C3E50"/>
                <w:sz w:val="19"/>
                <w:szCs w:val="19"/>
              </w:rPr>
              <w:t xml:space="preserve">The 'shall/must' sweep must cover the ENTIRE solicitation — not just Sections L and M. Mandatory requirements are frequently buried in the SOW/PWS, Section C (Contract Clauses), Section G (Contract Administration), Section H (Special Requirements), and all attachments. A compliance matrix that only covers Sections L and M misses a significant share of mandatory requirements.</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2.2 Formatting Compliance — GAO-Confirmed Fatal Flaws</w:t>
      </w:r>
    </w:p>
    <w:p>
      <w:pPr>
        <w:spacing w:before="80" w:after="80"/>
      </w:pPr>
      <w:r>
        <w:rPr>
          <w:rFonts w:ascii="Arial" w:cs="Arial" w:eastAsia="Arial" w:hAnsi="Arial"/>
          <w:color w:val="2C3E50"/>
          <w:sz w:val="20"/>
          <w:szCs w:val="20"/>
        </w:rPr>
        <w:t xml:space="preserve">GAO consistently upholds strict enforcement of formatting rules. Agencies use formatting compliance as a proxy for evaluating a contractor’s attention to detail and operational reliability. Non-compliance is never excused by technical merit.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Requirement</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What to Check</w:t>
            </w:r>
          </w:p>
        </w:tc>
        <w:tc>
          <w:tcPr>
            <w:tcW w:type="dxa" w:w="2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GAO Precedent</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Result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Page Limits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Count every page including graphics, charts, tables, appendices, and TOC unless explicitly exempted. Page limits apply to all proposal iterations including Final Proposal Revisions.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Tipping Point Solutions (B-422570, 2024): Table of contents counted against 50-page limit. 7 deficiencies, Unacceptable rating.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Excess pages are unread. Content on page 51+ does not exist for evaluation purposes.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Font Type and Size ⚠ HIGH RISK</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Typeface and minimum size (typically 10-12pt) are mandated. SPECIFIC CHECK: Verify no condensed or narrow font variants are used — Arial Narrow, Times New Roman Condensed, or any compressed variant counts as a different font and is treated as deliberate circumvention. Check captions, figures, footnotes, and headers separately — they sometimes carry different minimums.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Horizons Youth Services: Used Arial Narrow instead of Arial to fit more text within page limits. GAO held this provided an unfair competitive advantage. Automatic disqualification with no remedy.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Automatic exclusion. Treated as intentional non-compliance, not an error. No clarification offered. No remedy available.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Margin 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Minimum margins (typically 1 inch) are specified. Verify headers and footers comply.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Compressed margins to gain page space has been found to provide unfair competitive advantage by GAO.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Can lead to disqualification if agency determines non-compliance.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Branding and Logos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Some RFPs prohibit images containing text, corporate logos in specific sections, or any branding beyond cover page.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FI Consulting (B-423274, 2025): Corporate logo with embedded text on cover page caused elimination. Agency treated formatting compliance as proxy for performance quality.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Deficiency rating. Rejection of proposal.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File Format and Naming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PDF vs. Word vs. specific portal format. File naming conventions are sometimes mandated.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Electronic submission portals close automatically at deadline. Late uploads due to large file sizes receive no exceptions.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Wrong format = non-compliant submission. Late upload = rejected under 'late is late' rule.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Volume Structure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Many RFPs require separate volumes as separate files with specific titles.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JJ Global Services (2020): Layout and printing errors caused content to exceed page limits. GAO held agency had no duty to seek clarification.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Combined volumes when separation is required = non-compliant submission.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PROCESS RULE</w:t>
            </w:r>
          </w:p>
        </w:tc>
        <w:tc>
          <w:tcPr>
            <w:tcW w:type="dxa" w:w="8260"/>
            <w:tcBorders>
              <w:top w:val="single" w:color="1B4F72" w:sz="1"/>
              <w:left w:val="single" w:color="1B4F72" w:sz="1"/>
              <w:bottom w:val="single" w:color="1B4F72" w:sz="1"/>
              <w:right w:val="single" w:color="1B4F72" w:sz="1"/>
            </w:tcBorders>
            <w:shd w:fill="D6E4F0" w:val="clear"/>
            <w:tcMar>
              <w:top w:type="dxa" w:w="120"/>
              <w:left w:type="dxa" w:w="160"/>
              <w:bottom w:type="dxa" w:w="120"/>
              <w:right w:type="dxa" w:w="160"/>
            </w:tcMar>
          </w:tcPr>
          <w:p>
            <w:r>
              <w:rPr>
                <w:rFonts w:ascii="Arial" w:cs="Arial" w:eastAsia="Arial" w:hAnsi="Arial"/>
                <w:color w:val="2C3E50"/>
                <w:sz w:val="19"/>
                <w:szCs w:val="19"/>
              </w:rPr>
              <w:t xml:space="preserve">Apply Section L formatting requirements as a document template BEFORE writing any proposal content. Do not write the proposal then attempt to reformat. Font, margin, and page limit compliance must be built into the document structure from the first word.</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2.3 Mandatory Exhibits, Forms, and Certifications</w:t>
      </w:r>
    </w:p>
    <w:p>
      <w:pPr>
        <w:pStyle w:val="ListParagraph"/>
        <w:numPr>
          <w:ilvl w:val="0"/>
          <w:numId w:val="2"/>
        </w:numPr>
        <w:spacing w:before="60" w:after="60"/>
      </w:pPr>
      <w:r>
        <w:rPr>
          <w:rFonts w:ascii="Arial" w:cs="Arial" w:eastAsia="Arial" w:hAnsi="Arial"/>
          <w:color w:val="2C3E50"/>
          <w:sz w:val="20"/>
          <w:szCs w:val="20"/>
        </w:rPr>
        <w:t xml:space="preserve">Create a compliance checklist of every 'shall include,' 'must provide,' and 'is required' statement in Section L.</w:t>
      </w:r>
    </w:p>
    <w:p>
      <w:pPr>
        <w:pStyle w:val="ListParagraph"/>
        <w:numPr>
          <w:ilvl w:val="0"/>
          <w:numId w:val="2"/>
        </w:numPr>
        <w:spacing w:before="60" w:after="60"/>
      </w:pPr>
      <w:r>
        <w:rPr>
          <w:rFonts w:ascii="Arial" w:cs="Arial" w:eastAsia="Arial" w:hAnsi="Arial"/>
          <w:color w:val="2C3E50"/>
          <w:sz w:val="20"/>
          <w:szCs w:val="20"/>
        </w:rPr>
        <w:t xml:space="preserve">Verify required government forms are completed: SF-1449, SF-30, representations and certifications (Section K).</w:t>
      </w:r>
    </w:p>
    <w:p>
      <w:pPr>
        <w:pStyle w:val="ListParagraph"/>
        <w:numPr>
          <w:ilvl w:val="0"/>
          <w:numId w:val="2"/>
        </w:numPr>
        <w:spacing w:before="60" w:after="60"/>
      </w:pPr>
      <w:r>
        <w:rPr>
          <w:rFonts w:ascii="Arial" w:cs="Arial" w:eastAsia="Arial" w:hAnsi="Arial"/>
          <w:color w:val="2C3E50"/>
          <w:sz w:val="20"/>
          <w:szCs w:val="20"/>
        </w:rPr>
        <w:t xml:space="preserve">Confirm key personnel resumes meet any specified format, page limit, or content requirements.</w:t>
      </w:r>
    </w:p>
    <w:p>
      <w:pPr>
        <w:pStyle w:val="ListParagraph"/>
        <w:numPr>
          <w:ilvl w:val="0"/>
          <w:numId w:val="2"/>
        </w:numPr>
        <w:spacing w:before="60" w:after="60"/>
      </w:pPr>
      <w:r>
        <w:rPr>
          <w:rFonts w:ascii="Arial" w:cs="Arial" w:eastAsia="Arial" w:hAnsi="Arial"/>
          <w:color w:val="2C3E50"/>
          <w:sz w:val="20"/>
          <w:szCs w:val="20"/>
        </w:rPr>
        <w:t xml:space="preserve">Verify signed letters of commitment for key personnel — many RFPs require commitment letters, not just names. Absence is a Section L deficiency.</w:t>
      </w:r>
    </w:p>
    <w:p>
      <w:pPr>
        <w:pStyle w:val="ListParagraph"/>
        <w:numPr>
          <w:ilvl w:val="0"/>
          <w:numId w:val="2"/>
        </w:numPr>
        <w:spacing w:before="60" w:after="60"/>
      </w:pPr>
      <w:r>
        <w:rPr>
          <w:rFonts w:ascii="Arial" w:cs="Arial" w:eastAsia="Arial" w:hAnsi="Arial"/>
          <w:color w:val="2C3E50"/>
          <w:sz w:val="20"/>
          <w:szCs w:val="20"/>
        </w:rPr>
        <w:t xml:space="preserve">Confirm teaming agreements, MOUs, or subcontractor consent letters are attached if required.</w:t>
      </w:r>
    </w:p>
    <w:p>
      <w:pPr>
        <w:pStyle w:val="ListParagraph"/>
        <w:numPr>
          <w:ilvl w:val="0"/>
          <w:numId w:val="2"/>
        </w:numPr>
        <w:spacing w:before="60" w:after="60"/>
      </w:pPr>
      <w:r>
        <w:rPr>
          <w:rFonts w:ascii="Arial" w:cs="Arial" w:eastAsia="Arial" w:hAnsi="Arial"/>
          <w:color w:val="2C3E50"/>
          <w:sz w:val="20"/>
          <w:szCs w:val="20"/>
        </w:rPr>
        <w:t xml:space="preserve">Verify the Price/Cost volume uses the exact CLIN structure from Section B. Any deviation makes pricing non-responsive.</w:t>
      </w:r>
    </w:p>
    <w:p>
      <w:pPr>
        <w:pStyle w:val="ListParagraph"/>
        <w:numPr>
          <w:ilvl w:val="0"/>
          <w:numId w:val="2"/>
        </w:numPr>
        <w:spacing w:before="60" w:after="60"/>
      </w:pPr>
      <w:r>
        <w:rPr>
          <w:rFonts w:ascii="Arial" w:cs="Arial" w:eastAsia="Arial" w:hAnsi="Arial"/>
          <w:color w:val="2C3E50"/>
          <w:sz w:val="20"/>
          <w:szCs w:val="20"/>
        </w:rPr>
        <w:t xml:space="preserve">Check for placeholder text — visible '' or 'Lorem ipsum' triggers immediate evaluator doubt and severe credibility loss.</w:t>
      </w:r>
    </w:p>
    <w:p>
      <w:pPr>
        <w:pStyle w:val="ListParagraph"/>
        <w:numPr>
          <w:ilvl w:val="0"/>
          <w:numId w:val="2"/>
        </w:numPr>
        <w:spacing w:before="60" w:after="60"/>
      </w:pPr>
      <w:r>
        <w:rPr>
          <w:rFonts w:ascii="Arial" w:cs="Arial" w:eastAsia="Arial" w:hAnsi="Arial"/>
          <w:color w:val="2C3E50"/>
          <w:sz w:val="20"/>
          <w:szCs w:val="20"/>
        </w:rPr>
        <w:t xml:space="preserve">Verify pricing consistency: the total price in the Executive Summary must match the total in the Price Volume exactly. Inconsistency is disqualifying.</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2.4 Security, Clearance, and Compliance Requirements</w:t>
      </w:r>
    </w:p>
    <w:p>
      <w:pPr>
        <w:pStyle w:val="ListParagraph"/>
        <w:numPr>
          <w:ilvl w:val="0"/>
          <w:numId w:val="2"/>
        </w:numPr>
        <w:spacing w:before="60" w:after="60"/>
      </w:pPr>
      <w:r>
        <w:rPr>
          <w:rFonts w:ascii="Arial" w:cs="Arial" w:eastAsia="Arial" w:hAnsi="Arial"/>
          <w:color w:val="2C3E50"/>
          <w:sz w:val="20"/>
          <w:szCs w:val="20"/>
        </w:rPr>
        <w:t xml:space="preserve">Identify facility clearance (FCL) requirements — the company must hold the clearance, not just individual employees.</w:t>
      </w:r>
    </w:p>
    <w:p>
      <w:pPr>
        <w:pStyle w:val="ListParagraph"/>
        <w:numPr>
          <w:ilvl w:val="0"/>
          <w:numId w:val="2"/>
        </w:numPr>
        <w:spacing w:before="60" w:after="60"/>
      </w:pPr>
      <w:r>
        <w:rPr>
          <w:rFonts w:ascii="Arial" w:cs="Arial" w:eastAsia="Arial" w:hAnsi="Arial"/>
          <w:color w:val="2C3E50"/>
          <w:sz w:val="20"/>
          <w:szCs w:val="20"/>
        </w:rPr>
        <w:t xml:space="preserve">Identify personnel clearance levels (Secret, Top Secret, TS/SCI) and verify the number of cleared personnel proposed meets the requirement.</w:t>
      </w:r>
    </w:p>
    <w:p>
      <w:pPr>
        <w:pStyle w:val="ListParagraph"/>
        <w:numPr>
          <w:ilvl w:val="0"/>
          <w:numId w:val="2"/>
        </w:numPr>
        <w:spacing w:before="60" w:after="60"/>
      </w:pPr>
      <w:r>
        <w:rPr>
          <w:rFonts w:ascii="Arial" w:cs="Arial" w:eastAsia="Arial" w:hAnsi="Arial"/>
          <w:color w:val="2C3E50"/>
          <w:sz w:val="20"/>
          <w:szCs w:val="20"/>
        </w:rPr>
        <w:t xml:space="preserve">Check Investigation tier requirements: Tier 1 (low risk), Tier 3 (non-critical sensitive), Tier 5 (critical sensitive/TS). Listing the wrong tier is a weakness.</w:t>
      </w:r>
    </w:p>
    <w:p>
      <w:pPr>
        <w:pStyle w:val="ListParagraph"/>
        <w:numPr>
          <w:ilvl w:val="0"/>
          <w:numId w:val="2"/>
        </w:numPr>
        <w:spacing w:before="60" w:after="60"/>
      </w:pPr>
      <w:r>
        <w:rPr>
          <w:rFonts w:ascii="Arial" w:cs="Arial" w:eastAsia="Arial" w:hAnsi="Arial"/>
          <w:color w:val="2C3E50"/>
          <w:sz w:val="20"/>
          <w:szCs w:val="20"/>
        </w:rPr>
        <w:t xml:space="preserve">Verify CMMC level requirements for DoD contracts handling Controlled Unclassified Information (CUI). CMMC became mandatory for many DoD contracts in 2025.</w:t>
      </w:r>
    </w:p>
    <w:p>
      <w:pPr>
        <w:pStyle w:val="ListParagraph"/>
        <w:numPr>
          <w:ilvl w:val="0"/>
          <w:numId w:val="2"/>
        </w:numPr>
        <w:spacing w:before="60" w:after="60"/>
      </w:pPr>
      <w:r>
        <w:rPr>
          <w:rFonts w:ascii="Arial" w:cs="Arial" w:eastAsia="Arial" w:hAnsi="Arial"/>
          <w:color w:val="2C3E50"/>
          <w:sz w:val="20"/>
          <w:szCs w:val="20"/>
        </w:rPr>
        <w:t xml:space="preserve">Check ITAR / export control compliance requirements, common in defense and aerospace.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CMMC WARNING</w:t>
            </w:r>
          </w:p>
        </w:tc>
        <w:tc>
          <w:tcPr>
            <w:tcW w:type="dxa" w:w="8260"/>
            <w:tcBorders>
              <w:top w:val="single" w:color="1B4F72" w:sz="1"/>
              <w:left w:val="single" w:color="1B4F72" w:sz="1"/>
              <w:bottom w:val="single" w:color="1B4F72" w:sz="1"/>
              <w:right w:val="single" w:color="1B4F72" w:sz="1"/>
            </w:tcBorders>
            <w:shd w:fill="FADBD8" w:val="clear"/>
            <w:tcMar>
              <w:top w:type="dxa" w:w="120"/>
              <w:left w:type="dxa" w:w="160"/>
              <w:bottom w:type="dxa" w:w="120"/>
              <w:right w:type="dxa" w:w="160"/>
            </w:tcMar>
          </w:tcPr>
          <w:p>
            <w:r>
              <w:rPr>
                <w:rFonts w:ascii="Arial" w:cs="Arial" w:eastAsia="Arial" w:hAnsi="Arial"/>
                <w:color w:val="2C3E50"/>
                <w:sz w:val="19"/>
                <w:szCs w:val="19"/>
              </w:rPr>
              <w:t xml:space="preserve">A proposal for a DoD contract handling CUI without demonstrating the required CMMC level will be rated Unacceptable regardless of technical strength. CMMC compliance cannot be remedied after submission. Verify CMMC requirements before investing in proposal development.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280"/>
              <w:bottom w:type="dxa" w:w="200"/>
              <w:right w:type="dxa" w:w="280"/>
            </w:tcMar>
          </w:tcPr>
          <w:p>
            <w:r>
              <w:rPr>
                <w:rFonts w:ascii="Arial" w:cs="Arial" w:eastAsia="Arial" w:hAnsi="Arial"/>
                <w:b/>
                <w:bCs/>
                <w:color w:val="A9CCE3"/>
                <w:sz w:val="18"/>
                <w:szCs w:val="18"/>
              </w:rPr>
              <w:t xml:space="preserve">PHASE 3</w:t>
            </w:r>
          </w:p>
          <w:p>
            <w:r>
              <w:rPr>
                <w:rFonts w:ascii="Arial" w:cs="Arial" w:eastAsia="Arial" w:hAnsi="Arial"/>
                <w:b/>
                <w:bCs/>
                <w:color w:val="FFFFFF"/>
                <w:sz w:val="30"/>
                <w:szCs w:val="30"/>
              </w:rPr>
              <w:t xml:space="preserve">Readiness Assessment</w:t>
            </w:r>
          </w:p>
          <w:p>
            <w:r>
              <w:rPr>
                <w:rFonts w:ascii="Arial" w:cs="Arial" w:eastAsia="Arial" w:hAnsi="Arial"/>
                <w:i/>
                <w:iCs/>
                <w:color w:val="AED6F1"/>
                <w:sz w:val="19"/>
                <w:szCs w:val="19"/>
              </w:rPr>
              <w:t xml:space="preserve">Evaluating business eligibility, credentials, and capacity against stated minimums</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3.1 Past Performance Threshold Verification</w:t>
      </w:r>
    </w:p>
    <w:p>
      <w:pPr>
        <w:spacing w:before="80" w:after="80"/>
      </w:pPr>
      <w:r>
        <w:rPr>
          <w:rFonts w:ascii="Arial" w:cs="Arial" w:eastAsia="Arial" w:hAnsi="Arial"/>
          <w:color w:val="2C3E50"/>
          <w:sz w:val="20"/>
          <w:szCs w:val="20"/>
        </w:rPr>
        <w:t xml:space="preserve">Past performance is the most commonly cited reason small businesses lose government contracts. Before evaluating quality, verify the bidder meets the minimum threshold requirements stated in the RFP.</w:t>
      </w:r>
    </w:p>
    <w:p>
      <w:pPr>
        <w:spacing w:before="100" w:after="100"/>
      </w:pPr>
      <w:r>
        <w:t xml:space="preserve"/>
      </w:r>
    </w:p>
    <w:p>
      <w:pPr>
        <w:pStyle w:val="ListParagraph"/>
        <w:numPr>
          <w:ilvl w:val="0"/>
          <w:numId w:val="2"/>
        </w:numPr>
        <w:spacing w:before="60" w:after="60"/>
      </w:pPr>
      <w:r>
        <w:rPr>
          <w:rFonts w:ascii="Arial" w:cs="Arial" w:eastAsia="Arial" w:hAnsi="Arial"/>
          <w:color w:val="2C3E50"/>
          <w:sz w:val="20"/>
          <w:szCs w:val="20"/>
        </w:rPr>
        <w:t xml:space="preserve">Identify exact past performance requirements: minimum contract count, minimum dollar values, required scope similarity, and recency window (typically 3-5 years).</w:t>
      </w:r>
    </w:p>
    <w:p>
      <w:pPr>
        <w:pStyle w:val="ListParagraph"/>
        <w:numPr>
          <w:ilvl w:val="0"/>
          <w:numId w:val="2"/>
        </w:numPr>
        <w:spacing w:before="60" w:after="60"/>
      </w:pPr>
      <w:r>
        <w:rPr>
          <w:rFonts w:ascii="Arial" w:cs="Arial" w:eastAsia="Arial" w:hAnsi="Arial"/>
          <w:color w:val="2C3E50"/>
          <w:sz w:val="20"/>
          <w:szCs w:val="20"/>
        </w:rPr>
        <w:t xml:space="preserve">Assess whether each cited reference meets every threshold. One gap in one reference can drop the entire past performance evaluation.</w:t>
      </w:r>
    </w:p>
    <w:p>
      <w:pPr>
        <w:pStyle w:val="ListParagraph"/>
        <w:numPr>
          <w:ilvl w:val="0"/>
          <w:numId w:val="2"/>
        </w:numPr>
        <w:spacing w:before="60" w:after="60"/>
      </w:pPr>
      <w:r>
        <w:rPr>
          <w:rFonts w:ascii="Arial" w:cs="Arial" w:eastAsia="Arial" w:hAnsi="Arial"/>
          <w:color w:val="2C3E50"/>
          <w:sz w:val="20"/>
          <w:szCs w:val="20"/>
        </w:rPr>
        <w:t xml:space="preserve">Verify CPARS records exist for federal contracts. Evaluators check CPARS directly — references without CPARS records receive lower confidence ratings.</w:t>
      </w:r>
    </w:p>
    <w:p>
      <w:pPr>
        <w:pStyle w:val="ListParagraph"/>
        <w:numPr>
          <w:ilvl w:val="0"/>
          <w:numId w:val="2"/>
        </w:numPr>
        <w:spacing w:before="60" w:after="60"/>
      </w:pPr>
      <w:r>
        <w:rPr>
          <w:rFonts w:ascii="Arial" w:cs="Arial" w:eastAsia="Arial" w:hAnsi="Arial"/>
          <w:color w:val="2C3E50"/>
          <w:sz w:val="20"/>
          <w:szCs w:val="20"/>
        </w:rPr>
        <w:t xml:space="preserve">Assess commercial work relevance: civilian agencies are more flexible than DoD in accepting commercial equivalents under FAR 15.305(a)(2)(iii).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CPARS Rating</w:t>
            </w:r>
          </w:p>
        </w:tc>
        <w:tc>
          <w:tcPr>
            <w:tcW w:type="dxa" w:w="2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Performance Standard</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Evaluation Translation</w:t>
            </w:r>
          </w:p>
        </w:tc>
        <w:tc>
          <w:tcPr>
            <w:tcW w:type="dxa" w:w="2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Competitive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Exceptional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Exceeds many requirements. Few minor problems. Highly effective corrective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Low Risk. Translates to multiple Strengths.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Strong competitive advantage. Evaluators document as evidence for Good or Outstanding.</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Very Good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Exceeds some requirements. Minor problems with effective corrective actions.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Low to Moderate Risk. At least one Strength.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Positive. Supports Acceptable or Good rating on Past Performance factor.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Satisfactory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Meets contractual requirements. Minor problems remedied without contract impact.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'Satisfactory is not satisfactory' in competitive bids. Maintains eligibility but offers no edge.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Neutral. Evaluators document as meeting requirements — nothing more.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Marginal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Does not meet some requirements. Corrective actions only marginally effective.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High Risk. Evaluators will probe proposal for mitigation plan.</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Significant Weakness. May result in exclusion from competitive range.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Unsatisfactory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Does not meet most requirements. Corrective actions ineffective.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Very High Risk.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Often disqualifying. Evaluators have documented basis to rate Past Performance Unacceptable.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Neutral / No Record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No relevant past performance history. Per FAR 15.305(a)(2)(iv).</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Cannot be evaluated favorably OR unfavorably. GAO held in Ryan P. Slaughter (B-411168, 2015) that excluding based solely on Neutral rating is improper.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Unknown Risk. Not Outstanding but not disqualifying. Neutral is survivable.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B7950B"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IMPORTANT: 14-DAY CPARS VISIBILITY RULE</w:t>
            </w:r>
          </w:p>
        </w:tc>
        <w:tc>
          <w:tcPr>
            <w:tcW w:type="dxa" w:w="8260"/>
            <w:tcBorders>
              <w:top w:val="single" w:color="1B4F72" w:sz="1"/>
              <w:left w:val="single" w:color="1B4F72" w:sz="1"/>
              <w:bottom w:val="single" w:color="1B4F72" w:sz="1"/>
              <w:right w:val="single" w:color="1B4F72" w:sz="1"/>
            </w:tcBorders>
            <w:shd w:fill="FEF9E7" w:val="clear"/>
            <w:tcMar>
              <w:top w:type="dxa" w:w="120"/>
              <w:left w:type="dxa" w:w="160"/>
              <w:bottom w:type="dxa" w:w="120"/>
              <w:right w:type="dxa" w:w="160"/>
            </w:tcMar>
          </w:tcPr>
          <w:p>
            <w:r>
              <w:rPr>
                <w:rFonts w:ascii="Arial" w:cs="Arial" w:eastAsia="Arial" w:hAnsi="Arial"/>
                <w:color w:val="2C3E50"/>
                <w:sz w:val="19"/>
                <w:szCs w:val="19"/>
              </w:rPr>
              <w:t xml:space="preserve">Once a CPARS evaluation is submitted, the contractor has 60 days to comment — but the rating becomes visible to all source selection officials across the Government after only 14 days, with or without the contractor's response. If a CPARS rating is unfair or inaccurate, the contractor must non-concur immediately. Waiting 60 days means competing on an unfavorable rating for 46 days. Non-concurrence triggers review by a higher-level Reviewing Official (RO).</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3.2 Small Business Past Performance Rights — SBA Rule 13 CFR 125.2</w:t>
      </w:r>
    </w:p>
    <w:p>
      <w:pPr>
        <w:spacing w:before="80" w:after="80"/>
      </w:pPr>
      <w:r>
        <w:rPr>
          <w:rFonts w:ascii="Arial" w:cs="Arial" w:eastAsia="Arial" w:hAnsi="Arial"/>
          <w:color w:val="2C3E50"/>
          <w:sz w:val="20"/>
          <w:szCs w:val="20"/>
        </w:rPr>
        <w:t xml:space="preserve">A critical regulatory development that most small businesses are unaware of: SBA Rule 13 CFR 125.2 provides new mechanisms for small businesses to obtain and use past performance ratings.</w:t>
      </w:r>
    </w:p>
    <w:p>
      <w:pPr>
        <w:spacing w:before="100" w:after="100"/>
      </w:pPr>
      <w:r>
        <w:t xml:space="preserve"/>
      </w:r>
    </w:p>
    <w:p>
      <w:pPr>
        <w:pStyle w:val="ListParagraph"/>
        <w:numPr>
          <w:ilvl w:val="0"/>
          <w:numId w:val="2"/>
        </w:numPr>
        <w:spacing w:before="60" w:after="60"/>
      </w:pPr>
      <w:r>
        <w:rPr>
          <w:rFonts w:ascii="Arial" w:cs="Arial" w:eastAsia="Arial" w:hAnsi="Arial"/>
          <w:color w:val="2C3E50"/>
          <w:sz w:val="20"/>
          <w:szCs w:val="20"/>
        </w:rPr>
        <w:t xml:space="preserve">A small business may use a past performance rating for work performed as a member of a joint venture (JV) or as a first-tier subcontractor.</w:t>
      </w:r>
    </w:p>
    <w:p>
      <w:pPr>
        <w:pStyle w:val="ListParagraph"/>
        <w:numPr>
          <w:ilvl w:val="0"/>
          <w:numId w:val="2"/>
        </w:numPr>
        <w:spacing w:before="60" w:after="60"/>
      </w:pPr>
      <w:r>
        <w:rPr>
          <w:rFonts w:ascii="Arial" w:cs="Arial" w:eastAsia="Arial" w:hAnsi="Arial"/>
          <w:color w:val="2C3E50"/>
          <w:sz w:val="20"/>
          <w:szCs w:val="20"/>
        </w:rPr>
        <w:t xml:space="preserve">Prime contractors are now required to provide a past performance rating to a small business subcontractor within 15 days of request.</w:t>
      </w:r>
    </w:p>
    <w:p>
      <w:pPr>
        <w:pStyle w:val="ListParagraph"/>
        <w:numPr>
          <w:ilvl w:val="0"/>
          <w:numId w:val="2"/>
        </w:numPr>
        <w:spacing w:before="60" w:after="60"/>
      </w:pPr>
      <w:r>
        <w:rPr>
          <w:rFonts w:ascii="Arial" w:cs="Arial" w:eastAsia="Arial" w:hAnsi="Arial"/>
          <w:color w:val="2C3E50"/>
          <w:sz w:val="20"/>
          <w:szCs w:val="20"/>
        </w:rPr>
        <w:t xml:space="preserve">Contracting officers must consider this subcontractor-derived rating in prime contract evaluations.</w:t>
      </w:r>
    </w:p>
    <w:p>
      <w:pPr>
        <w:pStyle w:val="ListParagraph"/>
        <w:numPr>
          <w:ilvl w:val="0"/>
          <w:numId w:val="2"/>
        </w:numPr>
        <w:spacing w:before="60" w:after="60"/>
      </w:pPr>
      <w:r>
        <w:rPr>
          <w:rFonts w:ascii="Arial" w:cs="Arial" w:eastAsia="Arial" w:hAnsi="Arial"/>
          <w:color w:val="2C3E50"/>
          <w:sz w:val="20"/>
          <w:szCs w:val="20"/>
        </w:rPr>
        <w:t xml:space="preserve">This rule means small businesses that have performed significant subcontract work can now formally claim that experience in proposals — which was previously left entirely to the prime’s discretion.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STRATEGY</w:t>
            </w:r>
          </w:p>
        </w:tc>
        <w:tc>
          <w:tcPr>
            <w:tcW w:type="dxa" w:w="8260"/>
            <w:tcBorders>
              <w:top w:val="single" w:color="1B4F72" w:sz="1"/>
              <w:left w:val="single" w:color="1B4F72" w:sz="1"/>
              <w:bottom w:val="single" w:color="1B4F72" w:sz="1"/>
              <w:right w:val="single" w:color="1B4F72" w:sz="1"/>
            </w:tcBorders>
            <w:shd w:fill="D5F5E3" w:val="clear"/>
            <w:tcMar>
              <w:top w:type="dxa" w:w="120"/>
              <w:left w:type="dxa" w:w="160"/>
              <w:bottom w:type="dxa" w:w="120"/>
              <w:right w:type="dxa" w:w="160"/>
            </w:tcMar>
          </w:tcPr>
          <w:p>
            <w:r>
              <w:rPr>
                <w:rFonts w:ascii="Arial" w:cs="Arial" w:eastAsia="Arial" w:hAnsi="Arial"/>
                <w:color w:val="2C3E50"/>
                <w:sz w:val="19"/>
                <w:szCs w:val="19"/>
              </w:rPr>
              <w:t xml:space="preserve">If the bidder has relevant subcontract experience, request CPARS-equivalent ratings from prime contractors under 13 CFR 125.2 before proposal submission. This converts invisible experience into documentable past performance. Many small businesses do not know this mechanism exists.</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3.3 Key Personnel Credential Verification</w:t>
      </w:r>
    </w:p>
    <w:p>
      <w:pPr>
        <w:pStyle w:val="ListParagraph"/>
        <w:numPr>
          <w:ilvl w:val="0"/>
          <w:numId w:val="2"/>
        </w:numPr>
        <w:spacing w:before="60" w:after="60"/>
      </w:pPr>
      <w:r>
        <w:rPr>
          <w:rFonts w:ascii="Arial" w:cs="Arial" w:eastAsia="Arial" w:hAnsi="Arial"/>
          <w:color w:val="2C3E50"/>
          <w:sz w:val="20"/>
          <w:szCs w:val="20"/>
        </w:rPr>
        <w:t xml:space="preserve">Extract every named position with a specific qualification requirement from Section L or the PWS.</w:t>
      </w:r>
    </w:p>
    <w:p>
      <w:pPr>
        <w:pStyle w:val="ListParagraph"/>
        <w:numPr>
          <w:ilvl w:val="0"/>
          <w:numId w:val="2"/>
        </w:numPr>
        <w:spacing w:before="60" w:after="60"/>
      </w:pPr>
      <w:r>
        <w:rPr>
          <w:rFonts w:ascii="Arial" w:cs="Arial" w:eastAsia="Arial" w:hAnsi="Arial"/>
          <w:color w:val="2C3E50"/>
          <w:sz w:val="20"/>
          <w:szCs w:val="20"/>
        </w:rPr>
        <w:t xml:space="preserve">Verify each proposed person meets every minimum qualification: degree, years of experience, specific certification.</w:t>
      </w:r>
    </w:p>
    <w:p>
      <w:pPr>
        <w:pStyle w:val="ListParagraph"/>
        <w:numPr>
          <w:ilvl w:val="0"/>
          <w:numId w:val="2"/>
        </w:numPr>
        <w:spacing w:before="60" w:after="60"/>
      </w:pPr>
      <w:r>
        <w:rPr>
          <w:rFonts w:ascii="Arial" w:cs="Arial" w:eastAsia="Arial" w:hAnsi="Arial"/>
          <w:color w:val="2C3E50"/>
          <w:sz w:val="20"/>
          <w:szCs w:val="20"/>
        </w:rPr>
        <w:t xml:space="preserve">Flag any position where the proposed person meets 'most' but not all requirements — evaluators document this as a Weakness.</w:t>
      </w:r>
    </w:p>
    <w:p>
      <w:pPr>
        <w:pStyle w:val="ListParagraph"/>
        <w:numPr>
          <w:ilvl w:val="0"/>
          <w:numId w:val="2"/>
        </w:numPr>
        <w:spacing w:before="60" w:after="60"/>
      </w:pPr>
      <w:r>
        <w:rPr>
          <w:rFonts w:ascii="Arial" w:cs="Arial" w:eastAsia="Arial" w:hAnsi="Arial"/>
          <w:color w:val="2C3E50"/>
          <w:sz w:val="20"/>
          <w:szCs w:val="20"/>
        </w:rPr>
        <w:t xml:space="preserve">Verify professional license requirements: PE stamps, master trade licenses, medical credentials, CISSP/PMP and similar.</w:t>
      </w:r>
    </w:p>
    <w:p>
      <w:pPr>
        <w:pStyle w:val="ListParagraph"/>
        <w:numPr>
          <w:ilvl w:val="0"/>
          <w:numId w:val="2"/>
        </w:numPr>
        <w:spacing w:before="60" w:after="60"/>
      </w:pPr>
      <w:r>
        <w:rPr>
          <w:rFonts w:ascii="Arial" w:cs="Arial" w:eastAsia="Arial" w:hAnsi="Arial"/>
          <w:color w:val="2C3E50"/>
          <w:sz w:val="20"/>
          <w:szCs w:val="20"/>
        </w:rPr>
        <w:t xml:space="preserve">Confirm proposed key personnel are available for the contract start date. Proposals listing personnel 'contingent on award' are rated lower.</w:t>
      </w:r>
    </w:p>
    <w:p>
      <w:pPr>
        <w:pStyle w:val="ListParagraph"/>
        <w:numPr>
          <w:ilvl w:val="0"/>
          <w:numId w:val="2"/>
        </w:numPr>
        <w:spacing w:before="60" w:after="60"/>
      </w:pPr>
      <w:r>
        <w:rPr>
          <w:rFonts w:ascii="Arial" w:cs="Arial" w:eastAsia="Arial" w:hAnsi="Arial"/>
          <w:color w:val="2C3E50"/>
          <w:sz w:val="20"/>
          <w:szCs w:val="20"/>
        </w:rPr>
        <w:t xml:space="preserve">Verify signed commitment letters are attached if required by Section L — absence is a Section L deficiency, not just a scoring weakness.</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3.4 Financial and Bonding Capacity</w:t>
      </w:r>
    </w:p>
    <w:p>
      <w:pPr>
        <w:pStyle w:val="ListParagraph"/>
        <w:numPr>
          <w:ilvl w:val="0"/>
          <w:numId w:val="2"/>
        </w:numPr>
        <w:spacing w:before="60" w:after="60"/>
      </w:pPr>
      <w:r>
        <w:rPr>
          <w:rFonts w:ascii="Arial" w:cs="Arial" w:eastAsia="Arial" w:hAnsi="Arial"/>
          <w:color w:val="2C3E50"/>
          <w:sz w:val="20"/>
          <w:szCs w:val="20"/>
        </w:rPr>
        <w:t xml:space="preserve">Check for bonding requirements (construction contracts over $150K require performance and payment bonds per the Miller Act).</w:t>
      </w:r>
    </w:p>
    <w:p>
      <w:pPr>
        <w:pStyle w:val="ListParagraph"/>
        <w:numPr>
          <w:ilvl w:val="0"/>
          <w:numId w:val="2"/>
        </w:numPr>
        <w:spacing w:before="60" w:after="60"/>
      </w:pPr>
      <w:r>
        <w:rPr>
          <w:rFonts w:ascii="Arial" w:cs="Arial" w:eastAsia="Arial" w:hAnsi="Arial"/>
          <w:color w:val="2C3E50"/>
          <w:sz w:val="20"/>
          <w:szCs w:val="20"/>
        </w:rPr>
        <w:t xml:space="preserve">Verify bond capacity matches or exceeds contract value. Bonding capacity is distinct from bank credit.</w:t>
      </w:r>
    </w:p>
    <w:p>
      <w:pPr>
        <w:pStyle w:val="ListParagraph"/>
        <w:numPr>
          <w:ilvl w:val="0"/>
          <w:numId w:val="2"/>
        </w:numPr>
        <w:spacing w:before="60" w:after="60"/>
      </w:pPr>
      <w:r>
        <w:rPr>
          <w:rFonts w:ascii="Arial" w:cs="Arial" w:eastAsia="Arial" w:hAnsi="Arial"/>
          <w:color w:val="2C3E50"/>
          <w:sz w:val="20"/>
          <w:szCs w:val="20"/>
        </w:rPr>
        <w:t xml:space="preserve">For contracts with significant upfront costs, assess whether working capital supports the contract through the first payment.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280"/>
              <w:bottom w:type="dxa" w:w="200"/>
              <w:right w:type="dxa" w:w="280"/>
            </w:tcMar>
          </w:tcPr>
          <w:p>
            <w:r>
              <w:rPr>
                <w:rFonts w:ascii="Arial" w:cs="Arial" w:eastAsia="Arial" w:hAnsi="Arial"/>
                <w:b/>
                <w:bCs/>
                <w:color w:val="A9CCE3"/>
                <w:sz w:val="18"/>
                <w:szCs w:val="18"/>
              </w:rPr>
              <w:t xml:space="preserve">PHASE 4</w:t>
            </w:r>
          </w:p>
          <w:p>
            <w:r>
              <w:rPr>
                <w:rFonts w:ascii="Arial" w:cs="Arial" w:eastAsia="Arial" w:hAnsi="Arial"/>
                <w:b/>
                <w:bCs/>
                <w:color w:val="FFFFFF"/>
                <w:sz w:val="30"/>
                <w:szCs w:val="30"/>
              </w:rPr>
              <w:t xml:space="preserve">Adjectival Scoring Simulation</w:t>
            </w:r>
          </w:p>
          <w:p>
            <w:r>
              <w:rPr>
                <w:rFonts w:ascii="Arial" w:cs="Arial" w:eastAsia="Arial" w:hAnsi="Arial"/>
                <w:i/>
                <w:iCs/>
                <w:color w:val="AED6F1"/>
                <w:sz w:val="19"/>
                <w:szCs w:val="19"/>
              </w:rPr>
              <w:t xml:space="preserve">Simulating how a Source Selection Evaluation Board rates each Section M factor</w:t>
            </w:r>
          </w:p>
        </w:tc>
      </w:tr>
    </w:tbl>
    <w:p>
      <w:pPr>
        <w:spacing w:before="100" w:after="100"/>
      </w:pPr>
      <w:r>
        <w:t xml:space="preserve"/>
      </w:r>
    </w:p>
    <w:p>
      <w:pPr>
        <w:spacing w:before="80" w:after="80"/>
      </w:pPr>
      <w:r>
        <w:rPr>
          <w:rFonts w:ascii="Arial" w:cs="Arial" w:eastAsia="Arial" w:hAnsi="Arial"/>
          <w:color w:val="2C3E50"/>
          <w:sz w:val="20"/>
          <w:szCs w:val="20"/>
        </w:rPr>
        <w:t xml:space="preserve">This phase applies DoD Source Selection Procedures (August 2022) adjectival rating definitions to each Section M evaluation factor. These definitions are widely adopted by civilian agencies. The simulation must be conducted factor-by-factor — each factor is rated independently before an overall assessment is formed.</w:t>
      </w:r>
    </w:p>
    <w:p>
      <w:pPr>
        <w:spacing w:before="100" w:after="100"/>
      </w:pPr>
      <w:r>
        <w:t xml:space="preserve"/>
      </w:r>
    </w:p>
    <w:p>
      <w:pPr>
        <w:spacing w:before="80" w:after="80"/>
      </w:pPr>
      <w:r>
        <w:rPr>
          <w:rFonts w:ascii="Arial" w:cs="Arial" w:eastAsia="Arial" w:hAnsi="Arial"/>
          <w:b/>
          <w:bCs/>
          <w:color w:val="2C3E50"/>
          <w:sz w:val="20"/>
          <w:szCs w:val="20"/>
        </w:rPr>
        <w:t xml:space="preserve">Key insight from evaluator psychology: </w:t>
      </w:r>
      <w:r>
        <w:rPr>
          <w:rFonts w:ascii="Arial" w:cs="Arial" w:eastAsia="Arial" w:hAnsi="Arial"/>
          <w:color w:val="2C3E50"/>
          <w:sz w:val="20"/>
          <w:szCs w:val="20"/>
        </w:rPr>
        <w:t xml:space="preserve">Evaluators do not assign a rating and then back into justification. They identify Strengths, Weaknesses, and Deficiencies first, then derive the adjectival rating from those findings. A Red Team review must follow the same process — find the findings, then derive the score.</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4.1 Adjectival Rating Scale — DoD Source Selection Procedures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800"/>
        <w:gridCol w:w="4460"/>
      </w:tblGrid>
      <w:tr>
        <w:trPr>
          <w:tblHeader/>
        </w:trPr>
        <w:tc>
          <w:tcPr>
            <w:tcW w:type="dxa" w:w="1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Rating</w:t>
            </w:r>
          </w:p>
        </w:tc>
        <w:tc>
          <w:tcPr>
            <w:tcW w:type="dxa" w:w="7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Code</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Evaluator Standard</w:t>
            </w:r>
          </w:p>
        </w:tc>
        <w:tc>
          <w:tcPr>
            <w:tcW w:type="dxa" w:w="44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What Moves the Score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Outstanding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Blue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Exceptional approach. Multiple strengths and/or ≥1 Significant Strength. Very low risk of unsuccessful performance.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Multiple discriminating, quantified strengths. Proprietary methodology or unique capability. Deep agency-specific knowledge. No weaknesses.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Good</w:t>
            </w:r>
          </w:p>
        </w:tc>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Purple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Thorough approach. At least one documented Strength. Low to moderate risk.</w:t>
            </w:r>
          </w:p>
        </w:tc>
        <w:tc>
          <w:tcPr>
            <w:tcW w:type="dxa" w:w="4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At least one Strength with specific evidence (named contract, quantified outcome). No Significant Weaknesses. Strengths outweigh weaknesses.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Acceptable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Green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Adequate approach. Meets requirements. Strengths and weaknesses offset. No worse than moderate risk.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Meets all requirements. Generic or surface-level approach. No discriminating Strengths but no disqualifying weaknesses. The floor, not the goal.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Marginal</w:t>
            </w:r>
          </w:p>
        </w:tc>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Yellow</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Does not clearly meet requirements. Has correctable weaknesses. High risk.</w:t>
            </w:r>
          </w:p>
        </w:tc>
        <w:tc>
          <w:tcPr>
            <w:tcW w:type="dxa" w:w="4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Missing key requirements. Vague, unsubstantiated claims. Inconsistent data. Can be corrected in discussions.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Unacceptable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Fails to meet requirements. One or more Deficiencies. Very high risk. Unawardable.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Missing mandatory requirements. Fundamental inconsistencies. Unrealistic approach. Cannot be corrected without major revision.</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4.2 Strength, Weakness, and Deficiency Identification — FAR 15.001</w:t>
      </w:r>
    </w:p>
    <w:p>
      <w:pPr>
        <w:spacing w:before="80" w:after="80"/>
      </w:pPr>
      <w:r>
        <w:rPr>
          <w:rFonts w:ascii="Arial" w:cs="Arial" w:eastAsia="Arial" w:hAnsi="Arial"/>
          <w:color w:val="2C3E50"/>
          <w:sz w:val="20"/>
          <w:szCs w:val="20"/>
        </w:rPr>
        <w:t xml:space="preserve">Evaluators are required to document findings using 'because' statements traceable to specific evaluation criteria. Generic observations do not constitute documentable findings. This means every proposal section must provide specific, verifiable evidence that gives an evaluator language they can copy into their evaluation notes.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Finding</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FAR Definition</w:t>
            </w:r>
          </w:p>
        </w:tc>
        <w:tc>
          <w:tcPr>
            <w:tcW w:type="dxa" w:w="2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Evaluator Documentation Test</w:t>
            </w:r>
          </w:p>
        </w:tc>
        <w:tc>
          <w:tcPr>
            <w:tcW w:type="dxa" w:w="3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What Triggers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Strength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Aspect that exceeds requirements in a way advantageous to the Government.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Can the evaluator write: 'The offeror’s [X] exceeds the requirement for [Y] because [Z], which reduces risk of [W]'?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Quantified results from named contracts. Proprietary tools or processes. Agency-specific experience. Innovative methodology with proven outcomes.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Significant Strength</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Appreciably enhances proposal merit or significantly reduces risk. Has important positive impact on performance.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Same as Strength but evaluator can document 'appreciable' or 'significant' benefit.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Multiple quantified examples of the same capability. Unique asset no competitor likely has. Directly addresses a stated agency concern.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Weakness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Flaw that increases risk of unsuccessful performance. Can be corrected.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Can the evaluator write: 'The proposal’s treatment of [X] is inadequate because [Y], which increases risk of [Z]'?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Vague claims ('we will coordinate closely'). Missing methodology. Generic approach. Unsubstantiated assertions.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Significant Weakness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Appreciably increases risk of unsuccessful performance.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Same as Weakness but with 'appreciable' risk increase.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Single point of failure in technical approach. Key personnel missing required credential. Past performance gap relative to contract scope.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Deficiency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Material failure to meet a Government requirement OR combination of Significant Weaknesses creating unacceptable risk.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Evaluator can document: 'The proposal fails to meet [mandatory requirement] as specified in [Section L/M/C reference].'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Missing mandatory Section L requirement. Contradictory pricing. Factually impossible technical approach. Missing required certification.</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4.3 Scoring the Technical Approach Factor</w:t>
      </w:r>
    </w:p>
    <w:p>
      <w:pPr>
        <w:pStyle w:val="ListParagraph"/>
        <w:numPr>
          <w:ilvl w:val="0"/>
          <w:numId w:val="2"/>
        </w:numPr>
        <w:spacing w:before="60" w:after="60"/>
      </w:pPr>
      <w:r>
        <w:rPr>
          <w:rFonts w:ascii="Arial" w:cs="Arial" w:eastAsia="Arial" w:hAnsi="Arial"/>
          <w:color w:val="2C3E50"/>
          <w:sz w:val="20"/>
          <w:szCs w:val="20"/>
        </w:rPr>
        <w:t xml:space="preserve">Does the approach address each PWS/SOW task directly? Evaluate section-by-section. Generic 'we understand the requirement' language is a Weakness trigger.</w:t>
      </w:r>
    </w:p>
    <w:p>
      <w:pPr>
        <w:pStyle w:val="ListParagraph"/>
        <w:numPr>
          <w:ilvl w:val="0"/>
          <w:numId w:val="2"/>
        </w:numPr>
        <w:spacing w:before="60" w:after="60"/>
      </w:pPr>
      <w:r>
        <w:rPr>
          <w:rFonts w:ascii="Arial" w:cs="Arial" w:eastAsia="Arial" w:hAnsi="Arial"/>
          <w:color w:val="2C3E50"/>
          <w:sz w:val="20"/>
          <w:szCs w:val="20"/>
        </w:rPr>
        <w:t xml:space="preserve">Are claims substantiated with evidence — past performance examples, data, case studies — or are they unsupported assertions?</w:t>
      </w:r>
    </w:p>
    <w:p>
      <w:pPr>
        <w:pStyle w:val="ListParagraph"/>
        <w:numPr>
          <w:ilvl w:val="0"/>
          <w:numId w:val="2"/>
        </w:numPr>
        <w:spacing w:before="60" w:after="60"/>
      </w:pPr>
      <w:r>
        <w:rPr>
          <w:rFonts w:ascii="Arial" w:cs="Arial" w:eastAsia="Arial" w:hAnsi="Arial"/>
          <w:color w:val="2C3E50"/>
          <w:sz w:val="20"/>
          <w:szCs w:val="20"/>
        </w:rPr>
        <w:t xml:space="preserve">Does the approach demonstrate agency-specific understanding, or is it lifted from a prior proposal?</w:t>
      </w:r>
    </w:p>
    <w:p>
      <w:pPr>
        <w:pStyle w:val="ListParagraph"/>
        <w:numPr>
          <w:ilvl w:val="0"/>
          <w:numId w:val="2"/>
        </w:numPr>
        <w:spacing w:before="60" w:after="60"/>
      </w:pPr>
      <w:r>
        <w:rPr>
          <w:rFonts w:ascii="Arial" w:cs="Arial" w:eastAsia="Arial" w:hAnsi="Arial"/>
          <w:color w:val="2C3E50"/>
          <w:sz w:val="20"/>
          <w:szCs w:val="20"/>
        </w:rPr>
        <w:t xml:space="preserve">Are quantified performance metrics proposed? 'We respond quickly' is Marginal. 'We commit to 4-hour response time with 95% SLA compliance, demonstrated on Contract N00178-24-C-0012' is a Strength.</w:t>
      </w:r>
    </w:p>
    <w:p>
      <w:pPr>
        <w:pStyle w:val="ListParagraph"/>
        <w:numPr>
          <w:ilvl w:val="0"/>
          <w:numId w:val="2"/>
        </w:numPr>
        <w:spacing w:before="60" w:after="60"/>
      </w:pPr>
      <w:r>
        <w:rPr>
          <w:rFonts w:ascii="Arial" w:cs="Arial" w:eastAsia="Arial" w:hAnsi="Arial"/>
          <w:color w:val="2C3E50"/>
          <w:sz w:val="20"/>
          <w:szCs w:val="20"/>
        </w:rPr>
        <w:t xml:space="preserve">Does the proposal identify risks with credible mitigation? Proposals acknowledging no risks are viewed with skepticism by experienced evaluators.</w:t>
      </w:r>
    </w:p>
    <w:p>
      <w:pPr>
        <w:pStyle w:val="ListParagraph"/>
        <w:numPr>
          <w:ilvl w:val="0"/>
          <w:numId w:val="2"/>
        </w:numPr>
        <w:spacing w:before="60" w:after="60"/>
      </w:pPr>
      <w:r>
        <w:rPr>
          <w:rFonts w:ascii="Arial" w:cs="Arial" w:eastAsia="Arial" w:hAnsi="Arial"/>
          <w:color w:val="2C3E50"/>
          <w:sz w:val="20"/>
          <w:szCs w:val="20"/>
        </w:rPr>
        <w:t xml:space="preserve">Is the approach feasible given the proposed period of performance and staffing? Evaluators calculate implied workload and flag mathematically impossible approaches.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SCORING SIGNAL</w:t>
            </w:r>
          </w:p>
        </w:tc>
        <w:tc>
          <w:tcPr>
            <w:tcW w:type="dxa" w:w="8260"/>
            <w:tcBorders>
              <w:top w:val="single" w:color="1B4F72" w:sz="1"/>
              <w:left w:val="single" w:color="1B4F72" w:sz="1"/>
              <w:bottom w:val="single" w:color="1B4F72" w:sz="1"/>
              <w:right w:val="single" w:color="1B4F72" w:sz="1"/>
            </w:tcBorders>
            <w:shd w:fill="D6E4F0" w:val="clear"/>
            <w:tcMar>
              <w:top w:type="dxa" w:w="120"/>
              <w:left w:type="dxa" w:w="160"/>
              <w:bottom w:type="dxa" w:w="120"/>
              <w:right w:type="dxa" w:w="160"/>
            </w:tcMar>
          </w:tcPr>
          <w:p>
            <w:r>
              <w:rPr>
                <w:rFonts w:ascii="Arial" w:cs="Arial" w:eastAsia="Arial" w:hAnsi="Arial"/>
                <w:color w:val="2C3E50"/>
                <w:sz w:val="19"/>
                <w:szCs w:val="19"/>
              </w:rPr>
              <w:t xml:space="preserve">The jump from Acceptable (Green) to Good (Purple) requires at least one specific, quantified example of superior past performance applied directly to this requirement. Generic language holds at Acceptable. Numbers and named contracts drive toward Good. Multiple quantified strengths with zero weaknesses reach Outstanding. There is no shortcut around specificity.</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4.4 Scoring the Management Approach Factor</w:t>
      </w:r>
    </w:p>
    <w:p>
      <w:pPr>
        <w:pStyle w:val="ListParagraph"/>
        <w:numPr>
          <w:ilvl w:val="0"/>
          <w:numId w:val="2"/>
        </w:numPr>
        <w:spacing w:before="60" w:after="60"/>
      </w:pPr>
      <w:r>
        <w:rPr>
          <w:rFonts w:ascii="Arial" w:cs="Arial" w:eastAsia="Arial" w:hAnsi="Arial"/>
          <w:color w:val="2C3E50"/>
          <w:sz w:val="20"/>
          <w:szCs w:val="20"/>
        </w:rPr>
        <w:t xml:space="preserve">Is there a Quality Control Plan (QCP)? For service contracts, a QCP is frequently a Section L requirement. Missing or superficial QCP = Significant Weakness.</w:t>
      </w:r>
    </w:p>
    <w:p>
      <w:pPr>
        <w:pStyle w:val="ListParagraph"/>
        <w:numPr>
          <w:ilvl w:val="0"/>
          <w:numId w:val="2"/>
        </w:numPr>
        <w:spacing w:before="60" w:after="60"/>
      </w:pPr>
      <w:r>
        <w:rPr>
          <w:rFonts w:ascii="Arial" w:cs="Arial" w:eastAsia="Arial" w:hAnsi="Arial"/>
          <w:color w:val="2C3E50"/>
          <w:sz w:val="20"/>
          <w:szCs w:val="20"/>
        </w:rPr>
        <w:t xml:space="preserve">Does the org chart show reporting relationships, not just names? Flat org charts with no reporting lines are a Weakness.</w:t>
      </w:r>
    </w:p>
    <w:p>
      <w:pPr>
        <w:pStyle w:val="ListParagraph"/>
        <w:numPr>
          <w:ilvl w:val="0"/>
          <w:numId w:val="2"/>
        </w:numPr>
        <w:spacing w:before="60" w:after="60"/>
      </w:pPr>
      <w:r>
        <w:rPr>
          <w:rFonts w:ascii="Arial" w:cs="Arial" w:eastAsia="Arial" w:hAnsi="Arial"/>
          <w:color w:val="2C3E50"/>
          <w:sz w:val="20"/>
          <w:szCs w:val="20"/>
        </w:rPr>
        <w:t xml:space="preserve">Is there a transition plan for recompetes? Absence is an automatic Weakness — evaluators expect to see it even without explicit Section L requirement.</w:t>
      </w:r>
    </w:p>
    <w:p>
      <w:pPr>
        <w:pStyle w:val="ListParagraph"/>
        <w:numPr>
          <w:ilvl w:val="0"/>
          <w:numId w:val="2"/>
        </w:numPr>
        <w:spacing w:before="60" w:after="60"/>
      </w:pPr>
      <w:r>
        <w:rPr>
          <w:rFonts w:ascii="Arial" w:cs="Arial" w:eastAsia="Arial" w:hAnsi="Arial"/>
          <w:color w:val="2C3E50"/>
          <w:sz w:val="20"/>
          <w:szCs w:val="20"/>
        </w:rPr>
        <w:t xml:space="preserve">Are subcontractor relationships defined with specific roles and oversight mechanisms? 'We will use qualified subcontractors as needed' is a Weakness.</w:t>
      </w:r>
    </w:p>
    <w:p>
      <w:pPr>
        <w:pStyle w:val="ListParagraph"/>
        <w:numPr>
          <w:ilvl w:val="0"/>
          <w:numId w:val="2"/>
        </w:numPr>
        <w:spacing w:before="60" w:after="60"/>
      </w:pPr>
      <w:r>
        <w:rPr>
          <w:rFonts w:ascii="Arial" w:cs="Arial" w:eastAsia="Arial" w:hAnsi="Arial"/>
          <w:color w:val="2C3E50"/>
          <w:sz w:val="20"/>
          <w:szCs w:val="20"/>
        </w:rPr>
        <w:t xml:space="preserve">Does the management approach address the specific performance standards in the PWS, or is it generic narrative?</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4.5 Scoring the Past Performance Factor</w:t>
      </w:r>
    </w:p>
    <w:p>
      <w:pPr>
        <w:pStyle w:val="ListParagraph"/>
        <w:numPr>
          <w:ilvl w:val="0"/>
          <w:numId w:val="2"/>
        </w:numPr>
        <w:spacing w:before="60" w:after="60"/>
      </w:pPr>
      <w:r>
        <w:rPr>
          <w:rFonts w:ascii="Arial" w:cs="Arial" w:eastAsia="Arial" w:hAnsi="Arial"/>
          <w:color w:val="2C3E50"/>
          <w:sz w:val="20"/>
          <w:szCs w:val="20"/>
        </w:rPr>
        <w:t xml:space="preserve">Evaluate each reference against Section M relevancy criteria: scope, complexity, dollar value, recency.</w:t>
      </w:r>
    </w:p>
    <w:p>
      <w:pPr>
        <w:pStyle w:val="ListParagraph"/>
        <w:numPr>
          <w:ilvl w:val="0"/>
          <w:numId w:val="2"/>
        </w:numPr>
        <w:spacing w:before="60" w:after="60"/>
      </w:pPr>
      <w:r>
        <w:rPr>
          <w:rFonts w:ascii="Arial" w:cs="Arial" w:eastAsia="Arial" w:hAnsi="Arial"/>
          <w:color w:val="2C3E50"/>
          <w:sz w:val="20"/>
          <w:szCs w:val="20"/>
        </w:rPr>
        <w:t xml:space="preserve">Relevancy ratings (Very Relevant, Relevant, Somewhat Relevant, Not Relevant) directly determine confidence ratings.</w:t>
      </w:r>
    </w:p>
    <w:p>
      <w:pPr>
        <w:pStyle w:val="ListParagraph"/>
        <w:numPr>
          <w:ilvl w:val="0"/>
          <w:numId w:val="2"/>
        </w:numPr>
        <w:spacing w:before="60" w:after="60"/>
      </w:pPr>
      <w:r>
        <w:rPr>
          <w:rFonts w:ascii="Arial" w:cs="Arial" w:eastAsia="Arial" w:hAnsi="Arial"/>
          <w:color w:val="2C3E50"/>
          <w:sz w:val="20"/>
          <w:szCs w:val="20"/>
        </w:rPr>
        <w:t xml:space="preserve">Three 'Relevant' examples frequently outscores one 'Very Relevant' example in most agency methodologies.</w:t>
      </w:r>
    </w:p>
    <w:p>
      <w:pPr>
        <w:pStyle w:val="ListParagraph"/>
        <w:numPr>
          <w:ilvl w:val="0"/>
          <w:numId w:val="2"/>
        </w:numPr>
        <w:spacing w:before="60" w:after="60"/>
      </w:pPr>
      <w:r>
        <w:rPr>
          <w:rFonts w:ascii="Arial" w:cs="Arial" w:eastAsia="Arial" w:hAnsi="Arial"/>
          <w:color w:val="2C3E50"/>
          <w:sz w:val="20"/>
          <w:szCs w:val="20"/>
        </w:rPr>
        <w:t xml:space="preserve">Flag citations without CPARS reference — evaluators may default to a lower confidence rating for unverifiable references.</w:t>
      </w:r>
    </w:p>
    <w:p>
      <w:pPr>
        <w:pStyle w:val="ListParagraph"/>
        <w:numPr>
          <w:ilvl w:val="0"/>
          <w:numId w:val="2"/>
        </w:numPr>
        <w:spacing w:before="60" w:after="60"/>
      </w:pPr>
      <w:r>
        <w:rPr>
          <w:rFonts w:ascii="Arial" w:cs="Arial" w:eastAsia="Arial" w:hAnsi="Arial"/>
          <w:color w:val="2C3E50"/>
          <w:sz w:val="20"/>
          <w:szCs w:val="20"/>
        </w:rPr>
        <w:t xml:space="preserve">For commercial past performance: assess scope comparability in complexity, not just dollar value.</w:t>
      </w:r>
    </w:p>
    <w:p>
      <w:pPr>
        <w:pStyle w:val="ListParagraph"/>
        <w:numPr>
          <w:ilvl w:val="0"/>
          <w:numId w:val="2"/>
        </w:numPr>
        <w:spacing w:before="60" w:after="60"/>
      </w:pPr>
      <w:r>
        <w:rPr>
          <w:rFonts w:ascii="Arial" w:cs="Arial" w:eastAsia="Arial" w:hAnsi="Arial"/>
          <w:color w:val="2C3E50"/>
          <w:sz w:val="20"/>
          <w:szCs w:val="20"/>
        </w:rPr>
        <w:t xml:space="preserve">Neutral rating strategy: when no relevant past performance exists, propose a risk mitigation approach. A credible mitigation plan for a Neutral rating can hold a Good technical rating; no mitigation plan at all triggers additional Weaknesses.</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4.6 The Consensus Meeting — Evaluator Psychology</w:t>
      </w:r>
    </w:p>
    <w:p>
      <w:pPr>
        <w:spacing w:before="80" w:after="80"/>
      </w:pPr>
      <w:r>
        <w:rPr>
          <w:rFonts w:ascii="Arial" w:cs="Arial" w:eastAsia="Arial" w:hAnsi="Arial"/>
          <w:color w:val="2C3E50"/>
          <w:sz w:val="20"/>
          <w:szCs w:val="20"/>
        </w:rPr>
        <w:t xml:space="preserve">Proposals are evaluated through a consensus process. Understanding how consensus works reveals what proposal language actually drives scores.</w:t>
      </w:r>
    </w:p>
    <w:p>
      <w:pPr>
        <w:spacing w:before="100" w:after="100"/>
      </w:pPr>
      <w:r>
        <w:t xml:space="preserve"/>
      </w:r>
    </w:p>
    <w:p>
      <w:pPr>
        <w:pStyle w:val="ListParagraph"/>
        <w:numPr>
          <w:ilvl w:val="0"/>
          <w:numId w:val="2"/>
        </w:numPr>
        <w:spacing w:before="60" w:after="60"/>
      </w:pPr>
      <w:r>
        <w:rPr>
          <w:rFonts w:ascii="Arial" w:cs="Arial" w:eastAsia="Arial" w:hAnsi="Arial"/>
          <w:color w:val="2C3E50"/>
          <w:sz w:val="20"/>
          <w:szCs w:val="20"/>
        </w:rPr>
        <w:t xml:space="preserve">Individual evaluators independently review and assign preliminary findings. They then reconcile differences as a team.</w:t>
      </w:r>
    </w:p>
    <w:p>
      <w:pPr>
        <w:pStyle w:val="ListParagraph"/>
        <w:numPr>
          <w:ilvl w:val="0"/>
          <w:numId w:val="2"/>
        </w:numPr>
        <w:spacing w:before="60" w:after="60"/>
      </w:pPr>
      <w:r>
        <w:rPr>
          <w:rFonts w:ascii="Arial" w:cs="Arial" w:eastAsia="Arial" w:hAnsi="Arial"/>
          <w:color w:val="2C3E50"/>
          <w:sz w:val="20"/>
          <w:szCs w:val="20"/>
        </w:rPr>
        <w:t xml:space="preserve">Consensus requires 'meeting of the minds' — not averaging scores. Evaluators must agree on the rationale for each finding.</w:t>
      </w:r>
    </w:p>
    <w:p>
      <w:pPr>
        <w:pStyle w:val="ListParagraph"/>
        <w:numPr>
          <w:ilvl w:val="0"/>
          <w:numId w:val="2"/>
        </w:numPr>
        <w:spacing w:before="60" w:after="60"/>
      </w:pPr>
      <w:r>
        <w:rPr>
          <w:rFonts w:ascii="Arial" w:cs="Arial" w:eastAsia="Arial" w:hAnsi="Arial"/>
          <w:color w:val="2C3E50"/>
          <w:sz w:val="20"/>
          <w:szCs w:val="20"/>
        </w:rPr>
        <w:t xml:space="preserve">Ratings must be supported by the underlying narrative — evaluators cannot assign a rating and back into it.</w:t>
      </w:r>
    </w:p>
    <w:p>
      <w:pPr>
        <w:pStyle w:val="ListParagraph"/>
        <w:numPr>
          <w:ilvl w:val="0"/>
          <w:numId w:val="2"/>
        </w:numPr>
        <w:spacing w:before="60" w:after="60"/>
      </w:pPr>
      <w:r>
        <w:rPr>
          <w:rFonts w:ascii="Arial" w:cs="Arial" w:eastAsia="Arial" w:hAnsi="Arial"/>
          <w:b/>
          <w:bCs/>
          <w:color w:val="2C3E50"/>
          <w:sz w:val="20"/>
          <w:szCs w:val="20"/>
        </w:rPr>
        <w:t xml:space="preserve">Implication: </w:t>
      </w:r>
      <w:r>
        <w:rPr>
          <w:rFonts w:ascii="Arial" w:cs="Arial" w:eastAsia="Arial" w:hAnsi="Arial"/>
          <w:color w:val="2C3E50"/>
          <w:sz w:val="20"/>
          <w:szCs w:val="20"/>
        </w:rPr>
        <w:t xml:space="preserve">Proposal language that multiple evaluators can independently identify and agree on is more valuable than language that requires interpretation. Unmistakable value propositions outperform sophisticated ones buried in narrative passages.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280"/>
              <w:bottom w:type="dxa" w:w="200"/>
              <w:right w:type="dxa" w:w="280"/>
            </w:tcMar>
          </w:tcPr>
          <w:p>
            <w:r>
              <w:rPr>
                <w:rFonts w:ascii="Arial" w:cs="Arial" w:eastAsia="Arial" w:hAnsi="Arial"/>
                <w:b/>
                <w:bCs/>
                <w:color w:val="A9CCE3"/>
                <w:sz w:val="18"/>
                <w:szCs w:val="18"/>
              </w:rPr>
              <w:t xml:space="preserve">PHASE 5</w:t>
            </w:r>
          </w:p>
          <w:p>
            <w:r>
              <w:rPr>
                <w:rFonts w:ascii="Arial" w:cs="Arial" w:eastAsia="Arial" w:hAnsi="Arial"/>
                <w:b/>
                <w:bCs/>
                <w:color w:val="FFFFFF"/>
                <w:sz w:val="30"/>
                <w:szCs w:val="30"/>
              </w:rPr>
              <w:t xml:space="preserve">Win Theme &amp; Discriminator Analysis</w:t>
            </w:r>
          </w:p>
          <w:p>
            <w:r>
              <w:rPr>
                <w:rFonts w:ascii="Arial" w:cs="Arial" w:eastAsia="Arial" w:hAnsi="Arial"/>
                <w:i/>
                <w:iCs/>
                <w:color w:val="AED6F1"/>
                <w:sz w:val="19"/>
                <w:szCs w:val="19"/>
              </w:rPr>
              <w:t xml:space="preserve">Identifying competitive differentiation gaps and agency-specific strength opportunities</w:t>
            </w:r>
          </w:p>
        </w:tc>
      </w:tr>
    </w:tbl>
    <w:p>
      <w:pPr>
        <w:spacing w:before="100" w:after="100"/>
      </w:pPr>
      <w:r>
        <w:t xml:space="preserve"/>
      </w:r>
    </w:p>
    <w:p>
      <w:pPr>
        <w:spacing w:before="80" w:after="80"/>
      </w:pPr>
      <w:r>
        <w:rPr>
          <w:rFonts w:ascii="Arial" w:cs="Arial" w:eastAsia="Arial" w:hAnsi="Arial"/>
          <w:color w:val="2C3E50"/>
          <w:sz w:val="20"/>
          <w:szCs w:val="20"/>
        </w:rPr>
        <w:t xml:space="preserve">A proposal that scores Acceptable on every factor is a losing proposal in a competitive procurement. Winning proposals contain discriminators — specific, verifiable advantages evaluators can document as Strengths and competitors are unlikely to match. This phase identifies where discriminators exist and where they are conspicuously absent.</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5.1 The Three-Criterion Discriminator Test</w:t>
      </w:r>
    </w:p>
    <w:p>
      <w:pPr>
        <w:spacing w:before="80" w:after="80"/>
      </w:pPr>
      <w:r>
        <w:rPr>
          <w:rFonts w:ascii="Arial" w:cs="Arial" w:eastAsia="Arial" w:hAnsi="Arial"/>
          <w:color w:val="2C3E50"/>
          <w:sz w:val="20"/>
          <w:szCs w:val="20"/>
        </w:rPr>
        <w:t xml:space="preserve">A true discriminator must meet all three criteria. One or two out of three is not a discriminator.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rPr>
          <w:tblHeader/>
        </w:trPr>
        <w:tc>
          <w:tcPr>
            <w:tcW w:type="dxa" w:w="1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Criterion</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Test Question</w:t>
            </w:r>
          </w:p>
        </w:tc>
        <w:tc>
          <w:tcPr>
            <w:tcW w:type="dxa" w:w="2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Fail Indicator</w:t>
            </w:r>
          </w:p>
        </w:tc>
        <w:tc>
          <w:tcPr>
            <w:tcW w:type="dxa" w:w="3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Pass Indicator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Unique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Could any qualified competitor make this exact claim?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'We have 20 years of experience in cybersecurity.' Any competitor can say this.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'We have managed the legacy XYZ firewall system used by this agency for 5 years.' No competitor can say this.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Valued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Does this claim directly address a stated or implied agency concern?</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 strength in a capability the agency doesn’t prioritize generates no scoring benefit.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 15% latency reduction directly addressing the agency’s stated mission impact concern is a scoring strength.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Provable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Is the claim backed by specific, verifiable evidence?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'Our team is highly qualified and committed to excellence.' Unverifiable assertion.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'Contract N00178-24-C-0012, $4.2M, Navy, 2022-2024, Exceptional CPARS.' Verifiable and specific.</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5.2 Generic Language Inventory — Replace These Immediately</w:t>
      </w:r>
    </w:p>
    <w:p>
      <w:pPr>
        <w:spacing w:before="80" w:after="80"/>
      </w:pPr>
      <w:r>
        <w:rPr>
          <w:rFonts w:ascii="Arial" w:cs="Arial" w:eastAsia="Arial" w:hAnsi="Arial"/>
          <w:color w:val="2C3E50"/>
          <w:sz w:val="20"/>
          <w:szCs w:val="20"/>
        </w:rPr>
        <w:t xml:space="preserve">The following phrases represent the most common generic language found in losing proposals. Every instance must be replaced with specific, verifiable claims. Evaluators have been explicitly trained to identify these as weakness triggers.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420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Generic Phrase</w:t>
            </w:r>
          </w:p>
        </w:tc>
        <w:tc>
          <w:tcPr>
            <w:tcW w:type="dxa" w:w="2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Why It Fails</w:t>
            </w:r>
          </w:p>
        </w:tc>
        <w:tc>
          <w:tcPr>
            <w:tcW w:type="dxa" w:w="4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Replace With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'We will leverage our extensive experience...'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Not a discriminator. Any bidder can claim experience.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Name the specific experience: '[Company] managed [Contract #], [scope], for [Agency], [dates], achieving [measurable outcome].'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'Our team is highly qualified...'</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Unverifiable assertion. Evaluators need evidence.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Name team members, cite credentials, reference specific projects where credentials were applied to equivalent 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'We understand the importance of...'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Demonstrates awareness, not capability.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'We will implement [specific methodology], which reduced [metric] by [amount] on [Contract #] for [Agency].'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'We are committed to quality...'</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Every proposal says this. Evaluators score it as noise.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Describe the specific QCP: named quality control process, inspection frequency, metrics tracked, reporting 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'We will work closely with the Government...'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No operational content.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Define the communication cadence, reporting format, escalation path, and named government points of contact.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'Our past performance demonstrates...'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Only valuable if immediately followed by specifics.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[Contract #], [Agency], [$value], [dates], [specific measurable outcome relevant to this 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'We have a proven track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Evaluators require proof, not assertion.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Cite the contracts, the CPARS ratings, and the specific performance metric that proves the track record.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'We will comply with all requirements.'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Compliance is the minimum threshold, not a strength.</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Describe HOW you will comply and what the specific mechanism, process, or staffing model is.</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5.3 The 18 Evaluator Questions — PropLibrary Framework</w:t>
      </w:r>
    </w:p>
    <w:p>
      <w:pPr>
        <w:spacing w:before="80" w:after="80"/>
      </w:pPr>
      <w:r>
        <w:rPr>
          <w:rFonts w:ascii="Arial" w:cs="Arial" w:eastAsia="Arial" w:hAnsi="Arial"/>
          <w:color w:val="2C3E50"/>
          <w:sz w:val="20"/>
          <w:szCs w:val="20"/>
        </w:rPr>
        <w:t xml:space="preserve">Expert proposal reviewers evaluate every section against the questions evaluators are actually asking. For each major proposal section, apply these questions before finalizing:</w:t>
      </w:r>
    </w:p>
    <w:p>
      <w:pPr>
        <w:spacing w:before="100" w:after="100"/>
      </w:pPr>
      <w:r>
        <w:t xml:space="preserve"/>
      </w:r>
    </w:p>
    <w:p>
      <w:pPr>
        <w:pStyle w:val="ListParagraph"/>
        <w:numPr>
          <w:ilvl w:val="0"/>
          <w:numId w:val="2"/>
        </w:numPr>
        <w:spacing w:before="60" w:after="60"/>
      </w:pPr>
      <w:r>
        <w:rPr>
          <w:rFonts w:ascii="Arial" w:cs="Arial" w:eastAsia="Arial" w:hAnsi="Arial"/>
          <w:color w:val="2C3E50"/>
          <w:sz w:val="20"/>
          <w:szCs w:val="20"/>
        </w:rPr>
        <w:t xml:space="preserve">Does this section give me language I can directly copy into my evaluation notes as a documented Strength?</w:t>
      </w:r>
    </w:p>
    <w:p>
      <w:pPr>
        <w:pStyle w:val="ListParagraph"/>
        <w:numPr>
          <w:ilvl w:val="0"/>
          <w:numId w:val="2"/>
        </w:numPr>
        <w:spacing w:before="60" w:after="60"/>
      </w:pPr>
      <w:r>
        <w:rPr>
          <w:rFonts w:ascii="Arial" w:cs="Arial" w:eastAsia="Arial" w:hAnsi="Arial"/>
          <w:color w:val="2C3E50"/>
          <w:sz w:val="20"/>
          <w:szCs w:val="20"/>
        </w:rPr>
        <w:t xml:space="preserve">If I search this section for the keyword from Section M, do I immediately find a relevant, specific response?</w:t>
      </w:r>
    </w:p>
    <w:p>
      <w:pPr>
        <w:pStyle w:val="ListParagraph"/>
        <w:numPr>
          <w:ilvl w:val="0"/>
          <w:numId w:val="2"/>
        </w:numPr>
        <w:spacing w:before="60" w:after="60"/>
      </w:pPr>
      <w:r>
        <w:rPr>
          <w:rFonts w:ascii="Arial" w:cs="Arial" w:eastAsia="Arial" w:hAnsi="Arial"/>
          <w:color w:val="2C3E50"/>
          <w:sz w:val="20"/>
          <w:szCs w:val="20"/>
        </w:rPr>
        <w:t xml:space="preserve">Is there at least one claim in this section that no competitor can make?</w:t>
      </w:r>
    </w:p>
    <w:p>
      <w:pPr>
        <w:pStyle w:val="ListParagraph"/>
        <w:numPr>
          <w:ilvl w:val="0"/>
          <w:numId w:val="2"/>
        </w:numPr>
        <w:spacing w:before="60" w:after="60"/>
      </w:pPr>
      <w:r>
        <w:rPr>
          <w:rFonts w:ascii="Arial" w:cs="Arial" w:eastAsia="Arial" w:hAnsi="Arial"/>
          <w:color w:val="2C3E50"/>
          <w:sz w:val="20"/>
          <w:szCs w:val="20"/>
        </w:rPr>
        <w:t xml:space="preserve">Is every claim in this section backed by specific, verifiable evidence?</w:t>
      </w:r>
    </w:p>
    <w:p>
      <w:pPr>
        <w:pStyle w:val="ListParagraph"/>
        <w:numPr>
          <w:ilvl w:val="0"/>
          <w:numId w:val="2"/>
        </w:numPr>
        <w:spacing w:before="60" w:after="60"/>
      </w:pPr>
      <w:r>
        <w:rPr>
          <w:rFonts w:ascii="Arial" w:cs="Arial" w:eastAsia="Arial" w:hAnsi="Arial"/>
          <w:color w:val="2C3E50"/>
          <w:sz w:val="20"/>
          <w:szCs w:val="20"/>
        </w:rPr>
        <w:t xml:space="preserve">Would multiple evaluators independently identify the same strength in this section without discussion?</w:t>
      </w:r>
    </w:p>
    <w:p>
      <w:pPr>
        <w:pStyle w:val="ListParagraph"/>
        <w:numPr>
          <w:ilvl w:val="0"/>
          <w:numId w:val="2"/>
        </w:numPr>
        <w:spacing w:before="60" w:after="60"/>
      </w:pPr>
      <w:r>
        <w:rPr>
          <w:rFonts w:ascii="Arial" w:cs="Arial" w:eastAsia="Arial" w:hAnsi="Arial"/>
          <w:color w:val="2C3E50"/>
          <w:sz w:val="20"/>
          <w:szCs w:val="20"/>
        </w:rPr>
        <w:t xml:space="preserve">Does this section address the agency’s hot buttons identified in Phase 1 — not just the stated evaluation criteria?</w:t>
      </w:r>
    </w:p>
    <w:p>
      <w:pPr>
        <w:pStyle w:val="ListParagraph"/>
        <w:numPr>
          <w:ilvl w:val="0"/>
          <w:numId w:val="2"/>
        </w:numPr>
        <w:spacing w:before="60" w:after="60"/>
      </w:pPr>
      <w:r>
        <w:rPr>
          <w:rFonts w:ascii="Arial" w:cs="Arial" w:eastAsia="Arial" w:hAnsi="Arial"/>
          <w:color w:val="2C3E50"/>
          <w:sz w:val="20"/>
          <w:szCs w:val="20"/>
        </w:rPr>
        <w:t xml:space="preserve">If the agency evaluator showed this section to a colleague who doesn’t know the offeror, would it be compelling?</w:t>
      </w:r>
    </w:p>
    <w:p>
      <w:pPr>
        <w:pStyle w:val="ListParagraph"/>
        <w:numPr>
          <w:ilvl w:val="0"/>
          <w:numId w:val="2"/>
        </w:numPr>
        <w:spacing w:before="60" w:after="60"/>
      </w:pPr>
      <w:r>
        <w:rPr>
          <w:rFonts w:ascii="Arial" w:cs="Arial" w:eastAsia="Arial" w:hAnsi="Arial"/>
          <w:color w:val="2C3E50"/>
          <w:sz w:val="20"/>
          <w:szCs w:val="20"/>
        </w:rPr>
        <w:t xml:space="preserve">Is there any language in this section that a competitor could copy and submit unchanged? (If yes — it is not a discriminator.)</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5.4 Competitive Positioning Assessment</w:t>
      </w:r>
    </w:p>
    <w:p>
      <w:pPr>
        <w:pStyle w:val="ListParagraph"/>
        <w:numPr>
          <w:ilvl w:val="0"/>
          <w:numId w:val="2"/>
        </w:numPr>
        <w:spacing w:before="60" w:after="60"/>
      </w:pPr>
      <w:r>
        <w:rPr>
          <w:rFonts w:ascii="Arial" w:cs="Arial" w:eastAsia="Arial" w:hAnsi="Arial"/>
          <w:color w:val="2C3E50"/>
          <w:sz w:val="20"/>
          <w:szCs w:val="20"/>
        </w:rPr>
        <w:t xml:space="preserve">If this is a recompete: the incumbent holds transition continuity as a structural advantage. Challenger proposals must directly address transition risk, not ignore it.</w:t>
      </w:r>
    </w:p>
    <w:p>
      <w:pPr>
        <w:pStyle w:val="ListParagraph"/>
        <w:numPr>
          <w:ilvl w:val="0"/>
          <w:numId w:val="2"/>
        </w:numPr>
        <w:spacing w:before="60" w:after="60"/>
      </w:pPr>
      <w:r>
        <w:rPr>
          <w:rFonts w:ascii="Arial" w:cs="Arial" w:eastAsia="Arial" w:hAnsi="Arial"/>
          <w:color w:val="2C3E50"/>
          <w:sz w:val="20"/>
          <w:szCs w:val="20"/>
        </w:rPr>
        <w:t xml:space="preserve">For open competitions: assess whether the proposed price point is within the competitive range. Technical superiority does not save a proposal priced significantly above all competitors in a best value tradeoff.</w:t>
      </w:r>
    </w:p>
    <w:p>
      <w:pPr>
        <w:pStyle w:val="ListParagraph"/>
        <w:numPr>
          <w:ilvl w:val="0"/>
          <w:numId w:val="2"/>
        </w:numPr>
        <w:spacing w:before="60" w:after="60"/>
      </w:pPr>
      <w:r>
        <w:rPr>
          <w:rFonts w:ascii="Arial" w:cs="Arial" w:eastAsia="Arial" w:hAnsi="Arial"/>
          <w:color w:val="2C3E50"/>
          <w:sz w:val="20"/>
          <w:szCs w:val="20"/>
        </w:rPr>
        <w:t xml:space="preserve">Assess the unstated question every evaluator has: 'Why is this team better than the alternatives for this specific requirement?' If the answer isn’t immediately clear from the proposal, it needs revision.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280"/>
              <w:bottom w:type="dxa" w:w="200"/>
              <w:right w:type="dxa" w:w="280"/>
            </w:tcMar>
          </w:tcPr>
          <w:p>
            <w:r>
              <w:rPr>
                <w:rFonts w:ascii="Arial" w:cs="Arial" w:eastAsia="Arial" w:hAnsi="Arial"/>
                <w:b/>
                <w:bCs/>
                <w:color w:val="A9CCE3"/>
                <w:sz w:val="18"/>
                <w:szCs w:val="18"/>
              </w:rPr>
              <w:t xml:space="preserve">PHASE 6</w:t>
            </w:r>
          </w:p>
          <w:p>
            <w:r>
              <w:rPr>
                <w:rFonts w:ascii="Arial" w:cs="Arial" w:eastAsia="Arial" w:hAnsi="Arial"/>
                <w:b/>
                <w:bCs/>
                <w:color w:val="FFFFFF"/>
                <w:sz w:val="30"/>
                <w:szCs w:val="30"/>
              </w:rPr>
              <w:t xml:space="preserve">Price Evaluation</w:t>
            </w:r>
          </w:p>
          <w:p>
            <w:r>
              <w:rPr>
                <w:rFonts w:ascii="Arial" w:cs="Arial" w:eastAsia="Arial" w:hAnsi="Arial"/>
                <w:i/>
                <w:iCs/>
                <w:color w:val="AED6F1"/>
                <w:sz w:val="19"/>
                <w:szCs w:val="19"/>
              </w:rPr>
              <w:t xml:space="preserve">Identifying pricing flags that trigger evaluation concerns</w:t>
            </w:r>
          </w:p>
        </w:tc>
      </w:tr>
    </w:tbl>
    <w:p>
      <w:pPr>
        <w:spacing w:before="100" w:after="100"/>
      </w:pPr>
      <w:r>
        <w:t xml:space="preserve"/>
      </w:r>
    </w:p>
    <w:p>
      <w:pPr>
        <w:spacing w:before="80" w:after="80"/>
      </w:pPr>
      <w:r>
        <w:rPr>
          <w:rFonts w:ascii="Arial" w:cs="Arial" w:eastAsia="Arial" w:hAnsi="Arial"/>
          <w:color w:val="2C3E50"/>
          <w:sz w:val="20"/>
          <w:szCs w:val="20"/>
        </w:rPr>
        <w:t xml:space="preserve">Price is evaluated separately from technical factors but can trigger concerns that affect competitiveness or credibility. There are two distinct price evaluation types — most small businesses only understand one of them.</w:t>
      </w:r>
    </w:p>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6.1 Price Reasonableness vs. Price Realism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Evaluation Type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What It Checks</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Who It Applies To</w:t>
            </w:r>
          </w:p>
        </w:tc>
        <w:tc>
          <w:tcPr>
            <w:tcW w:type="dxa" w:w="2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What Failure Looks Like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Price Reasonableness (FAR 15.402(a))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Whether the price is too HIGH. Protects the Government from overpaying.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All contract types. Required on every source selection.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Price significantly above IGCE or competitor pricing. May be excluded from competitive range or result in price negotiation.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Price Realism (FAR 15.305(a)(1))</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Whether the price is too LOW. Assesses whether the offeror understands the work and can actually perform at the proposed price.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Required when announced in the solicitation. Often on cost-plus, CPFF, or labor-hour contracts. Rarely on firm-fixed-price unless explicitly stated.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Price significantly below market rates suggests offeror has not read the PWS carefully, has unrealistic labor assumptions, or plans to use underqualified staff.</w:t>
            </w:r>
          </w:p>
        </w:tc>
      </w:tr>
    </w:tbl>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12"/>
              <w:bottom w:val="none" w:color="FFFFFF" w:sz="0"/>
              <w:right w:val="none" w:color="FFFFFF" w:sz="0"/>
            </w:tcBorders>
            <w:shd w:fill="E8DAEF" w:val="clear"/>
            <w:tcMar>
              <w:top w:type="dxa" w:w="120"/>
              <w:left w:type="dxa" w:w="200"/>
              <w:bottom w:type="dxa" w:w="60"/>
              <w:right w:type="dxa" w:w="160"/>
            </w:tcMar>
          </w:tcPr>
          <w:p>
            <w:r>
              <w:rPr>
                <w:rFonts w:ascii="Arial" w:cs="Arial" w:eastAsia="Arial" w:hAnsi="Arial"/>
                <w:b/>
                <w:bCs/>
                <w:color w:val="6C3483"/>
                <w:sz w:val="19"/>
                <w:szCs w:val="19"/>
              </w:rPr>
              <w:t xml:space="preserve">GAO Case: Criterion Corporation (2024)</w:t>
            </w:r>
          </w:p>
        </w:tc>
      </w:tr>
      <w:tr>
        <w:tc>
          <w:tcPr>
            <w:tcBorders>
              <w:top w:val="none" w:color="FFFFFF" w:sz="0"/>
              <w:left w:val="single" w:color="6C3483" w:sz="12"/>
              <w:bottom w:val="none" w:color="FFFFFF" w:sz="0"/>
              <w:right w:val="none" w:color="FFFFFF" w:sz="0"/>
            </w:tcBorders>
            <w:shd w:fill="E8DAEF" w:val="clear"/>
            <w:tcMar>
              <w:top w:type="dxa" w:w="60"/>
              <w:left w:type="dxa" w:w="200"/>
              <w:bottom w:type="dxa" w:w="60"/>
              <w:right w:type="dxa" w:w="160"/>
            </w:tcMar>
          </w:tcPr>
          <w:p>
            <w:r>
              <w:rPr>
                <w:rFonts w:ascii="Arial" w:cs="Arial" w:eastAsia="Arial" w:hAnsi="Arial"/>
                <w:b/>
                <w:bCs/>
                <w:color w:val="2C3E50"/>
                <w:sz w:val="19"/>
                <w:szCs w:val="19"/>
              </w:rPr>
              <w:t xml:space="preserve">Finding: </w:t>
            </w:r>
            <w:r>
              <w:rPr>
                <w:rFonts w:ascii="Arial" w:cs="Arial" w:eastAsia="Arial" w:hAnsi="Arial"/>
                <w:color w:val="2C3E50"/>
                <w:sz w:val="19"/>
                <w:szCs w:val="19"/>
              </w:rPr>
              <w:t xml:space="preserve">Agency rejected a low bid because the offeror proposed more staff at a lower price than the incumbent. GAO sustained the protest, finding the agency failed to consider Criterion's unique labor mix and technical efficiencies that made the lower price realistic and defensible.</w:t>
            </w:r>
          </w:p>
        </w:tc>
      </w:tr>
      <w:tr>
        <w:tc>
          <w:tcPr>
            <w:tcBorders>
              <w:top w:val="none" w:color="FFFFFF" w:sz="0"/>
              <w:left w:val="single" w:color="6C3483" w:sz="12"/>
              <w:bottom w:val="single" w:color="6C3483" w:sz="4"/>
              <w:right w:val="none" w:color="FFFFFF" w:sz="0"/>
            </w:tcBorders>
            <w:shd w:fill="E8DAEF" w:val="clear"/>
            <w:tcMar>
              <w:top w:type="dxa" w:w="60"/>
              <w:left w:type="dxa" w:w="200"/>
              <w:bottom w:type="dxa" w:w="120"/>
              <w:right w:type="dxa" w:w="160"/>
            </w:tcMar>
          </w:tcPr>
          <w:p>
            <w:r>
              <w:rPr>
                <w:rFonts w:ascii="Arial" w:cs="Arial" w:eastAsia="Arial" w:hAnsi="Arial"/>
                <w:b/>
                <w:bCs/>
                <w:color w:val="2C3E50"/>
                <w:sz w:val="19"/>
                <w:szCs w:val="19"/>
              </w:rPr>
              <w:t xml:space="preserve">Red Team Lesson: </w:t>
            </w:r>
            <w:r>
              <w:rPr>
                <w:rFonts w:ascii="Arial" w:cs="Arial" w:eastAsia="Arial" w:hAnsi="Arial"/>
                <w:i/>
                <w:iCs/>
                <w:color w:val="2C3E50"/>
                <w:sz w:val="19"/>
                <w:szCs w:val="19"/>
              </w:rPr>
              <w:t xml:space="preserve">Every price proposal must include a cost narrative that explains WHY the price is what it is. Labor mix, efficiency methodologies, and unique operational advantages must be documented — not assumed. Price realism analysis that fails to engage with the technical approach is legally deficient per GAO precedent.</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6.2 Price Volume Compliance Flags</w:t>
      </w:r>
    </w:p>
    <w:p>
      <w:pPr>
        <w:pStyle w:val="ListParagraph"/>
        <w:numPr>
          <w:ilvl w:val="0"/>
          <w:numId w:val="2"/>
        </w:numPr>
        <w:spacing w:before="60" w:after="60"/>
      </w:pPr>
      <w:r>
        <w:rPr>
          <w:rFonts w:ascii="Arial" w:cs="Arial" w:eastAsia="Arial" w:hAnsi="Arial"/>
          <w:color w:val="2C3E50"/>
          <w:sz w:val="20"/>
          <w:szCs w:val="20"/>
        </w:rPr>
        <w:t xml:space="preserve">CLIN structure must exactly match Section B. Any deviation — adding, combining, or reformatting CLINs — makes the price proposal non-responsive.</w:t>
      </w:r>
    </w:p>
    <w:p>
      <w:pPr>
        <w:pStyle w:val="ListParagraph"/>
        <w:numPr>
          <w:ilvl w:val="0"/>
          <w:numId w:val="2"/>
        </w:numPr>
        <w:spacing w:before="60" w:after="60"/>
      </w:pPr>
      <w:r>
        <w:rPr>
          <w:rFonts w:ascii="Arial" w:cs="Arial" w:eastAsia="Arial" w:hAnsi="Arial"/>
          <w:color w:val="2C3E50"/>
          <w:sz w:val="20"/>
          <w:szCs w:val="20"/>
        </w:rPr>
        <w:t xml:space="preserve">Labor rates must be realistic for the geographic area and required clearance levels. Rates significantly below market signal unrealistic assumptions.</w:t>
      </w:r>
    </w:p>
    <w:p>
      <w:pPr>
        <w:pStyle w:val="ListParagraph"/>
        <w:numPr>
          <w:ilvl w:val="0"/>
          <w:numId w:val="2"/>
        </w:numPr>
        <w:spacing w:before="60" w:after="60"/>
      </w:pPr>
      <w:r>
        <w:rPr>
          <w:rFonts w:ascii="Arial" w:cs="Arial" w:eastAsia="Arial" w:hAnsi="Arial"/>
          <w:color w:val="2C3E50"/>
          <w:sz w:val="20"/>
          <w:szCs w:val="20"/>
        </w:rPr>
        <w:t xml:space="preserve">For cost-plus contracts: structure must comply with FAR 15.408 Table 15-2. Non-compliance makes the cost proposal structurally deficient.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STRUCTURAL DEFICIENCY — CONTRACTS OVER $2M</w:t>
            </w:r>
          </w:p>
        </w:tc>
        <w:tc>
          <w:tcPr>
            <w:tcW w:type="dxa" w:w="8260"/>
            <w:tcBorders>
              <w:top w:val="single" w:color="1B4F72" w:sz="1"/>
              <w:left w:val="single" w:color="1B4F72" w:sz="1"/>
              <w:bottom w:val="single" w:color="1B4F72" w:sz="1"/>
              <w:right w:val="single" w:color="1B4F72" w:sz="1"/>
            </w:tcBorders>
            <w:shd w:fill="FADBD8" w:val="clear"/>
            <w:tcMar>
              <w:top w:type="dxa" w:w="120"/>
              <w:left w:type="dxa" w:w="160"/>
              <w:bottom w:type="dxa" w:w="120"/>
              <w:right w:type="dxa" w:w="160"/>
            </w:tcMar>
          </w:tcPr>
          <w:p>
            <w:r>
              <w:rPr>
                <w:rFonts w:ascii="Arial" w:cs="Arial" w:eastAsia="Arial" w:hAnsi="Arial"/>
                <w:color w:val="2C3E50"/>
                <w:sz w:val="19"/>
                <w:szCs w:val="19"/>
              </w:rPr>
              <w:t xml:space="preserve">The Certificate of Current Cost or Pricing Data (FAR 15.406-2) is required for contracts over $2,000,000 unless a specific exception applies (adequate price competition, catalog pricing, etc.). Its absence is a structural deficiency that cannot be remedied during evaluation — unlike most formatting errors, this cannot be corrected through discussions or clarifications after submission. Verify applicability and obtain the certificate BEFORE the submission deadline.</w:t>
            </w:r>
          </w:p>
        </w:tc>
      </w:tr>
    </w:tbl>
    <w:p>
      <w:pPr>
        <w:pStyle w:val="ListParagraph"/>
        <w:numPr>
          <w:ilvl w:val="0"/>
          <w:numId w:val="2"/>
        </w:numPr>
        <w:spacing w:before="60" w:after="60"/>
      </w:pPr>
      <w:r>
        <w:rPr>
          <w:rFonts w:ascii="Arial" w:cs="Arial" w:eastAsia="Arial" w:hAnsi="Arial"/>
          <w:color w:val="2C3E50"/>
          <w:sz w:val="20"/>
          <w:szCs w:val="20"/>
        </w:rPr>
        <w:t xml:space="preserve">Pricing consistency check: verify that every price reference across all volumes — Executive Summary, Technical Volume, Price Volume — shows exactly the same numbers. Inconsistency is disqualifying and immediately damages credibility.</w:t>
      </w:r>
    </w:p>
    <w:p>
      <w:pPr>
        <w:spacing w:before="100" w:after="100"/>
      </w:pPr>
      <w:r>
        <w:t xml:space="preserve"/>
      </w:r>
    </w:p>
    <w:p>
      <w:pPr>
        <w:pStyle w:val="Heading1"/>
        <w:spacing w:before="480" w:after="160"/>
      </w:pPr>
      <w:r>
        <w:rPr>
          <w:rFonts w:ascii="Arial" w:cs="Arial" w:eastAsia="Arial" w:hAnsi="Arial"/>
          <w:b/>
          <w:bCs/>
          <w:color w:val="1B4F72"/>
          <w:sz w:val="34"/>
          <w:szCs w:val="34"/>
        </w:rPr>
        <w:t xml:space="preserve">GAO Protest Intelligence — FY 2025 Data</w:t>
      </w:r>
    </w:p>
    <w:p>
      <w:pPr>
        <w:spacing w:before="80" w:after="80"/>
      </w:pPr>
      <w:r>
        <w:rPr>
          <w:rFonts w:ascii="Arial" w:cs="Arial" w:eastAsia="Arial" w:hAnsi="Arial"/>
          <w:color w:val="2C3E50"/>
          <w:sz w:val="20"/>
          <w:szCs w:val="20"/>
        </w:rPr>
        <w:t xml:space="preserve">GAO bid protest data provides the most reliable evidence of actual evaluation failures. The FY 2025 annual report (1,676 decisions, 14% sustain rate) identifies the most common grounds for sustained protests — which are the mirror image of the most common evaluation failures.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Sustained Protest Ground</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FY 2025 Rank</w:t>
            </w:r>
          </w:p>
        </w:tc>
        <w:tc>
          <w:tcPr>
            <w:tcW w:type="dxa" w:w="5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What It Means for Small Businesses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Unreasonable technical evaluation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Evaluators are crediting the awardee for capabilities not actually proposed. For small businesses: ensure your technical approach is explicit. Do not assume evaluators will infer capability from reputation.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Unreasonable cost/price evaluation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#2</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Agencies are conducting price realism analyses without engaging the technical approach. For small businesses: document cost rationale in price proposals.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Unreasonable rejection of proposals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#3 (new in FY25)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Agencies are rejecting proposals on grounds not stated in the solicitation. For small businesses: if rejected for a reason not in the RFP, this is potentially protestable.</w:t>
            </w:r>
          </w:p>
        </w:tc>
      </w:tr>
    </w:tbl>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12"/>
              <w:bottom w:val="none" w:color="FFFFFF" w:sz="0"/>
              <w:right w:val="none" w:color="FFFFFF" w:sz="0"/>
            </w:tcBorders>
            <w:shd w:fill="E8DAEF" w:val="clear"/>
            <w:tcMar>
              <w:top w:type="dxa" w:w="120"/>
              <w:left w:type="dxa" w:w="200"/>
              <w:bottom w:type="dxa" w:w="60"/>
              <w:right w:type="dxa" w:w="160"/>
            </w:tcMar>
          </w:tcPr>
          <w:p>
            <w:r>
              <w:rPr>
                <w:rFonts w:ascii="Arial" w:cs="Arial" w:eastAsia="Arial" w:hAnsi="Arial"/>
                <w:b/>
                <w:bCs/>
                <w:color w:val="6C3483"/>
                <w:sz w:val="19"/>
                <w:szCs w:val="19"/>
              </w:rPr>
              <w:t xml:space="preserve">GAO Case: emissary LLC (2025)</w:t>
            </w:r>
          </w:p>
        </w:tc>
      </w:tr>
      <w:tr>
        <w:tc>
          <w:tcPr>
            <w:tcBorders>
              <w:top w:val="none" w:color="FFFFFF" w:sz="0"/>
              <w:left w:val="single" w:color="6C3483" w:sz="12"/>
              <w:bottom w:val="none" w:color="FFFFFF" w:sz="0"/>
              <w:right w:val="none" w:color="FFFFFF" w:sz="0"/>
            </w:tcBorders>
            <w:shd w:fill="E8DAEF" w:val="clear"/>
            <w:tcMar>
              <w:top w:type="dxa" w:w="60"/>
              <w:left w:type="dxa" w:w="200"/>
              <w:bottom w:type="dxa" w:w="60"/>
              <w:right w:type="dxa" w:w="160"/>
            </w:tcMar>
          </w:tcPr>
          <w:p>
            <w:r>
              <w:rPr>
                <w:rFonts w:ascii="Arial" w:cs="Arial" w:eastAsia="Arial" w:hAnsi="Arial"/>
                <w:b/>
                <w:bCs/>
                <w:color w:val="2C3E50"/>
                <w:sz w:val="19"/>
                <w:szCs w:val="19"/>
              </w:rPr>
              <w:t xml:space="preserve">Finding: </w:t>
            </w:r>
            <w:r>
              <w:rPr>
                <w:rFonts w:ascii="Arial" w:cs="Arial" w:eastAsia="Arial" w:hAnsi="Arial"/>
                <w:color w:val="2C3E50"/>
                <w:sz w:val="19"/>
                <w:szCs w:val="19"/>
              </w:rPr>
              <w:t xml:space="preserve">Evaluator credited the awardee's staffing approach for a capability not actually proposed in the awardee's submission.</w:t>
            </w:r>
          </w:p>
        </w:tc>
      </w:tr>
      <w:tr>
        <w:tc>
          <w:tcPr>
            <w:tcBorders>
              <w:top w:val="none" w:color="FFFFFF" w:sz="0"/>
              <w:left w:val="single" w:color="6C3483" w:sz="12"/>
              <w:bottom w:val="single" w:color="6C3483" w:sz="4"/>
              <w:right w:val="none" w:color="FFFFFF" w:sz="0"/>
            </w:tcBorders>
            <w:shd w:fill="E8DAEF" w:val="clear"/>
            <w:tcMar>
              <w:top w:type="dxa" w:w="60"/>
              <w:left w:type="dxa" w:w="200"/>
              <w:bottom w:type="dxa" w:w="120"/>
              <w:right w:type="dxa" w:w="160"/>
            </w:tcMar>
          </w:tcPr>
          <w:p>
            <w:r>
              <w:rPr>
                <w:rFonts w:ascii="Arial" w:cs="Arial" w:eastAsia="Arial" w:hAnsi="Arial"/>
                <w:b/>
                <w:bCs/>
                <w:color w:val="2C3E50"/>
                <w:sz w:val="19"/>
                <w:szCs w:val="19"/>
              </w:rPr>
              <w:t xml:space="preserve">Red Team Lesson: </w:t>
            </w:r>
            <w:r>
              <w:rPr>
                <w:rFonts w:ascii="Arial" w:cs="Arial" w:eastAsia="Arial" w:hAnsi="Arial"/>
                <w:i/>
                <w:iCs/>
                <w:color w:val="2C3E50"/>
                <w:sz w:val="19"/>
                <w:szCs w:val="19"/>
              </w:rPr>
              <w:t xml:space="preserve">Technical evaluation must be grounded in what the proposal actually says. For reviewers: flag any evaluator finding that appears to credit implied or assumed capability rather than stated content. This is a protest vulnerability.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12"/>
              <w:bottom w:val="none" w:color="FFFFFF" w:sz="0"/>
              <w:right w:val="none" w:color="FFFFFF" w:sz="0"/>
            </w:tcBorders>
            <w:shd w:fill="E8DAEF" w:val="clear"/>
            <w:tcMar>
              <w:top w:type="dxa" w:w="120"/>
              <w:left w:type="dxa" w:w="200"/>
              <w:bottom w:type="dxa" w:w="60"/>
              <w:right w:type="dxa" w:w="160"/>
            </w:tcMar>
          </w:tcPr>
          <w:p>
            <w:r>
              <w:rPr>
                <w:rFonts w:ascii="Arial" w:cs="Arial" w:eastAsia="Arial" w:hAnsi="Arial"/>
                <w:b/>
                <w:bCs/>
                <w:color w:val="6C3483"/>
                <w:sz w:val="19"/>
                <w:szCs w:val="19"/>
              </w:rPr>
              <w:t xml:space="preserve">GAO Case: KBR Services (2025)</w:t>
            </w:r>
          </w:p>
        </w:tc>
      </w:tr>
      <w:tr>
        <w:tc>
          <w:tcPr>
            <w:tcBorders>
              <w:top w:val="none" w:color="FFFFFF" w:sz="0"/>
              <w:left w:val="single" w:color="6C3483" w:sz="12"/>
              <w:bottom w:val="none" w:color="FFFFFF" w:sz="0"/>
              <w:right w:val="none" w:color="FFFFFF" w:sz="0"/>
            </w:tcBorders>
            <w:shd w:fill="E8DAEF" w:val="clear"/>
            <w:tcMar>
              <w:top w:type="dxa" w:w="60"/>
              <w:left w:type="dxa" w:w="200"/>
              <w:bottom w:type="dxa" w:w="60"/>
              <w:right w:type="dxa" w:w="160"/>
            </w:tcMar>
          </w:tcPr>
          <w:p>
            <w:r>
              <w:rPr>
                <w:rFonts w:ascii="Arial" w:cs="Arial" w:eastAsia="Arial" w:hAnsi="Arial"/>
                <w:b/>
                <w:bCs/>
                <w:color w:val="2C3E50"/>
                <w:sz w:val="19"/>
                <w:szCs w:val="19"/>
              </w:rPr>
              <w:t xml:space="preserve">Finding: </w:t>
            </w:r>
            <w:r>
              <w:rPr>
                <w:rFonts w:ascii="Arial" w:cs="Arial" w:eastAsia="Arial" w:hAnsi="Arial"/>
                <w:color w:val="2C3E50"/>
                <w:sz w:val="19"/>
                <w:szCs w:val="19"/>
              </w:rPr>
              <w:t xml:space="preserve">Agency improperly created missing pricing data rather than reopening discussions to obtain it from the offeror.</w:t>
            </w:r>
          </w:p>
        </w:tc>
      </w:tr>
      <w:tr>
        <w:tc>
          <w:tcPr>
            <w:tcBorders>
              <w:top w:val="none" w:color="FFFFFF" w:sz="0"/>
              <w:left w:val="single" w:color="6C3483" w:sz="12"/>
              <w:bottom w:val="single" w:color="6C3483" w:sz="4"/>
              <w:right w:val="none" w:color="FFFFFF" w:sz="0"/>
            </w:tcBorders>
            <w:shd w:fill="E8DAEF" w:val="clear"/>
            <w:tcMar>
              <w:top w:type="dxa" w:w="60"/>
              <w:left w:type="dxa" w:w="200"/>
              <w:bottom w:type="dxa" w:w="120"/>
              <w:right w:type="dxa" w:w="160"/>
            </w:tcMar>
          </w:tcPr>
          <w:p>
            <w:r>
              <w:rPr>
                <w:rFonts w:ascii="Arial" w:cs="Arial" w:eastAsia="Arial" w:hAnsi="Arial"/>
                <w:b/>
                <w:bCs/>
                <w:color w:val="2C3E50"/>
                <w:sz w:val="19"/>
                <w:szCs w:val="19"/>
              </w:rPr>
              <w:t xml:space="preserve">Red Team Lesson: </w:t>
            </w:r>
            <w:r>
              <w:rPr>
                <w:rFonts w:ascii="Arial" w:cs="Arial" w:eastAsia="Arial" w:hAnsi="Arial"/>
                <w:i/>
                <w:iCs/>
                <w:color w:val="2C3E50"/>
                <w:sz w:val="19"/>
                <w:szCs w:val="19"/>
              </w:rPr>
              <w:t xml:space="preserve">Agencies cannot fill in missing pricing information on behalf of an offeror. Incomplete price proposals are evaluated as submitted. Every required pricing element must be present and complete.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12"/>
              <w:bottom w:val="none" w:color="FFFFFF" w:sz="0"/>
              <w:right w:val="none" w:color="FFFFFF" w:sz="0"/>
            </w:tcBorders>
            <w:shd w:fill="E8DAEF" w:val="clear"/>
            <w:tcMar>
              <w:top w:type="dxa" w:w="120"/>
              <w:left w:type="dxa" w:w="200"/>
              <w:bottom w:type="dxa" w:w="60"/>
              <w:right w:type="dxa" w:w="160"/>
            </w:tcMar>
          </w:tcPr>
          <w:p>
            <w:r>
              <w:rPr>
                <w:rFonts w:ascii="Arial" w:cs="Arial" w:eastAsia="Arial" w:hAnsi="Arial"/>
                <w:b/>
                <w:bCs/>
                <w:color w:val="6C3483"/>
                <w:sz w:val="19"/>
                <w:szCs w:val="19"/>
              </w:rPr>
              <w:t xml:space="preserve">GAO Case: SynergisT JV (2025)</w:t>
            </w:r>
          </w:p>
        </w:tc>
      </w:tr>
      <w:tr>
        <w:tc>
          <w:tcPr>
            <w:tcBorders>
              <w:top w:val="none" w:color="FFFFFF" w:sz="0"/>
              <w:left w:val="single" w:color="6C3483" w:sz="12"/>
              <w:bottom w:val="none" w:color="FFFFFF" w:sz="0"/>
              <w:right w:val="none" w:color="FFFFFF" w:sz="0"/>
            </w:tcBorders>
            <w:shd w:fill="E8DAEF" w:val="clear"/>
            <w:tcMar>
              <w:top w:type="dxa" w:w="60"/>
              <w:left w:type="dxa" w:w="200"/>
              <w:bottom w:type="dxa" w:w="60"/>
              <w:right w:type="dxa" w:w="160"/>
            </w:tcMar>
          </w:tcPr>
          <w:p>
            <w:r>
              <w:rPr>
                <w:rFonts w:ascii="Arial" w:cs="Arial" w:eastAsia="Arial" w:hAnsi="Arial"/>
                <w:b/>
                <w:bCs/>
                <w:color w:val="2C3E50"/>
                <w:sz w:val="19"/>
                <w:szCs w:val="19"/>
              </w:rPr>
              <w:t xml:space="preserve">Finding: </w:t>
            </w:r>
            <w:r>
              <w:rPr>
                <w:rFonts w:ascii="Arial" w:cs="Arial" w:eastAsia="Arial" w:hAnsi="Arial"/>
                <w:color w:val="2C3E50"/>
                <w:sz w:val="19"/>
                <w:szCs w:val="19"/>
              </w:rPr>
              <w:t xml:space="preserve">Proposal rejected based on an implied limitation not stated in the solicitation.</w:t>
            </w:r>
          </w:p>
        </w:tc>
      </w:tr>
      <w:tr>
        <w:tc>
          <w:tcPr>
            <w:tcBorders>
              <w:top w:val="none" w:color="FFFFFF" w:sz="0"/>
              <w:left w:val="single" w:color="6C3483" w:sz="12"/>
              <w:bottom w:val="single" w:color="6C3483" w:sz="4"/>
              <w:right w:val="none" w:color="FFFFFF" w:sz="0"/>
            </w:tcBorders>
            <w:shd w:fill="E8DAEF" w:val="clear"/>
            <w:tcMar>
              <w:top w:type="dxa" w:w="60"/>
              <w:left w:type="dxa" w:w="200"/>
              <w:bottom w:type="dxa" w:w="120"/>
              <w:right w:type="dxa" w:w="160"/>
            </w:tcMar>
          </w:tcPr>
          <w:p>
            <w:r>
              <w:rPr>
                <w:rFonts w:ascii="Arial" w:cs="Arial" w:eastAsia="Arial" w:hAnsi="Arial"/>
                <w:b/>
                <w:bCs/>
                <w:color w:val="2C3E50"/>
                <w:sz w:val="19"/>
                <w:szCs w:val="19"/>
              </w:rPr>
              <w:t xml:space="preserve">Red Team Lesson: </w:t>
            </w:r>
            <w:r>
              <w:rPr>
                <w:rFonts w:ascii="Arial" w:cs="Arial" w:eastAsia="Arial" w:hAnsi="Arial"/>
                <w:i/>
                <w:iCs/>
                <w:color w:val="2C3E50"/>
                <w:sz w:val="19"/>
                <w:szCs w:val="19"/>
              </w:rPr>
              <w:t xml:space="preserve">Rejection criteria must be explicitly stated in the RFP. If a proposal is rejected for a reason not in the solicitation, the rejection may be illegal. Track every rejection reason against explicit RFP language.</w:t>
            </w:r>
          </w:p>
        </w:tc>
      </w:tr>
    </w:tbl>
    <w:p>
      <w:pPr>
        <w:spacing w:before="100" w:after="100"/>
      </w:pPr>
      <w:r>
        <w:t xml:space="preserve"/>
      </w:r>
    </w:p>
    <w:p>
      <w:pPr>
        <w:pStyle w:val="Heading1"/>
        <w:spacing w:before="480" w:after="160"/>
      </w:pPr>
      <w:r>
        <w:rPr>
          <w:rFonts w:ascii="Arial" w:cs="Arial" w:eastAsia="Arial" w:hAnsi="Arial"/>
          <w:b/>
          <w:bCs/>
          <w:color w:val="1B4F72"/>
          <w:sz w:val="34"/>
          <w:szCs w:val="34"/>
        </w:rPr>
        <w:t xml:space="preserve">Debriefing Strategy — The Post-Award Learning Loop</w:t>
      </w:r>
    </w:p>
    <w:p>
      <w:pPr>
        <w:spacing w:before="80" w:after="80"/>
      </w:pPr>
      <w:r>
        <w:rPr>
          <w:rFonts w:ascii="Arial" w:cs="Arial" w:eastAsia="Arial" w:hAnsi="Arial"/>
          <w:color w:val="2C3E50"/>
          <w:sz w:val="20"/>
          <w:szCs w:val="20"/>
        </w:rPr>
        <w:t xml:space="preserve">The post-award debriefing is the most underutilized intelligence tool in small business contracting. Most small businesses skip it or treat it as a formality. Experienced contractors treat every debriefing as required preparation for the next bid.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4F72" w:sz="1"/>
              <w:left w:val="single" w:color="1B4F72" w:sz="1"/>
              <w:bottom w:val="single" w:color="1B4F72" w:sz="1"/>
              <w:right w:val="single" w:color="1B4F72"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OFPP GUIDANCE</w:t>
            </w:r>
          </w:p>
        </w:tc>
        <w:tc>
          <w:tcPr>
            <w:tcW w:type="dxa" w:w="8260"/>
            <w:tcBorders>
              <w:top w:val="single" w:color="1B4F72" w:sz="1"/>
              <w:left w:val="single" w:color="1B4F72" w:sz="1"/>
              <w:bottom w:val="single" w:color="1B4F72" w:sz="1"/>
              <w:right w:val="single" w:color="1B4F72" w:sz="1"/>
            </w:tcBorders>
            <w:shd w:fill="D6E4F0" w:val="clear"/>
            <w:tcMar>
              <w:top w:type="dxa" w:w="120"/>
              <w:left w:type="dxa" w:w="160"/>
              <w:bottom w:type="dxa" w:w="120"/>
              <w:right w:type="dxa" w:w="160"/>
            </w:tcMar>
          </w:tcPr>
          <w:p>
            <w:r>
              <w:rPr>
                <w:rFonts w:ascii="Arial" w:cs="Arial" w:eastAsia="Arial" w:hAnsi="Arial"/>
                <w:color w:val="2C3E50"/>
                <w:sz w:val="19"/>
                <w:szCs w:val="19"/>
              </w:rPr>
              <w:t xml:space="preserve">OFPP Myth-Busting memos explicitly encourage agencies to provide robust feedback to unsuccessful offerors. A well-prepared debriefing builds trust in the Government's objectivity and reduces protests. Offerors who request and prepare for debriefings receive more actionable feedback than those who do not.</w:t>
            </w:r>
          </w:p>
        </w:tc>
      </w:tr>
    </w:tbl>
    <w:p>
      <w:pPr>
        <w:spacing w:before="100" w:after="100"/>
      </w:pPr>
      <w:r>
        <w:t xml:space="preserve"/>
      </w:r>
    </w:p>
    <w:p>
      <w:pPr>
        <w:pStyle w:val="Heading2"/>
        <w:pBdr>
          <w:bottom w:val="single" w:color="2E75B6" w:sz="4" w:space="4"/>
        </w:pBdr>
        <w:spacing w:before="320" w:after="120"/>
      </w:pPr>
      <w:r>
        <w:rPr>
          <w:rFonts w:ascii="Arial" w:cs="Arial" w:eastAsia="Arial" w:hAnsi="Arial"/>
          <w:b/>
          <w:bCs/>
          <w:color w:val="2E75B6"/>
          <w:sz w:val="26"/>
          <w:szCs w:val="26"/>
        </w:rPr>
        <w:t xml:space="preserve">Debriefing Rights and Process</w:t>
      </w:r>
    </w:p>
    <w:p>
      <w:pPr>
        <w:pStyle w:val="ListParagraph"/>
        <w:numPr>
          <w:ilvl w:val="0"/>
          <w:numId w:val="2"/>
        </w:numPr>
        <w:spacing w:before="60" w:after="60"/>
      </w:pPr>
      <w:r>
        <w:rPr>
          <w:rFonts w:ascii="Arial" w:cs="Arial" w:eastAsia="Arial" w:hAnsi="Arial"/>
          <w:color w:val="2C3E50"/>
          <w:sz w:val="20"/>
          <w:szCs w:val="20"/>
        </w:rPr>
        <w:t xml:space="preserve">Request a debriefing in writing within 3 days of receiving the notice of award (FAR 15.506).</w:t>
      </w:r>
    </w:p>
    <w:p>
      <w:pPr>
        <w:pStyle w:val="ListParagraph"/>
        <w:numPr>
          <w:ilvl w:val="0"/>
          <w:numId w:val="2"/>
        </w:numPr>
        <w:spacing w:before="60" w:after="60"/>
      </w:pPr>
      <w:r>
        <w:rPr>
          <w:rFonts w:ascii="Arial" w:cs="Arial" w:eastAsia="Arial" w:hAnsi="Arial"/>
          <w:color w:val="2C3E50"/>
          <w:sz w:val="20"/>
          <w:szCs w:val="20"/>
        </w:rPr>
        <w:t xml:space="preserve">A meaningful debriefing must include: the Government’s assessment of significant weaknesses or deficiencies in your proposal, the overall ranking of all offerors (if used), and the rationale for the award decision.</w:t>
      </w:r>
    </w:p>
    <w:p>
      <w:pPr>
        <w:pStyle w:val="ListParagraph"/>
        <w:numPr>
          <w:ilvl w:val="0"/>
          <w:numId w:val="2"/>
        </w:numPr>
        <w:spacing w:before="60" w:after="60"/>
      </w:pPr>
      <w:r>
        <w:rPr>
          <w:rFonts w:ascii="Arial" w:cs="Arial" w:eastAsia="Arial" w:hAnsi="Arial"/>
          <w:color w:val="2C3E50"/>
          <w:sz w:val="20"/>
          <w:szCs w:val="20"/>
        </w:rPr>
        <w:t xml:space="preserve">Prepare specific questions before the debriefing: 'What specific weakness was documented for our Technical Approach?' Not: 'Why didn’t we win?'</w:t>
      </w:r>
    </w:p>
    <w:p>
      <w:pPr>
        <w:pStyle w:val="ListParagraph"/>
        <w:numPr>
          <w:ilvl w:val="0"/>
          <w:numId w:val="2"/>
        </w:numPr>
        <w:spacing w:before="60" w:after="60"/>
      </w:pPr>
      <w:r>
        <w:rPr>
          <w:rFonts w:ascii="Arial" w:cs="Arial" w:eastAsia="Arial" w:hAnsi="Arial"/>
          <w:color w:val="2C3E50"/>
          <w:sz w:val="20"/>
          <w:szCs w:val="20"/>
        </w:rPr>
        <w:t xml:space="preserve">Document every finding from the debriefing. These findings reveal the exact language that would have changed the evaluation outcome.</w:t>
      </w:r>
    </w:p>
    <w:p>
      <w:pPr>
        <w:pStyle w:val="ListParagraph"/>
        <w:numPr>
          <w:ilvl w:val="0"/>
          <w:numId w:val="2"/>
        </w:numPr>
        <w:spacing w:before="60" w:after="60"/>
      </w:pPr>
      <w:r>
        <w:rPr>
          <w:rFonts w:ascii="Arial" w:cs="Arial" w:eastAsia="Arial" w:hAnsi="Arial"/>
          <w:color w:val="2C3E50"/>
          <w:sz w:val="20"/>
          <w:szCs w:val="20"/>
        </w:rPr>
        <w:t xml:space="preserve">Use debriefing findings to update the evaluation framework — agency-specific evaluation patterns are the most valuable intelligence for future proposals.</w:t>
      </w:r>
    </w:p>
    <w:p>
      <w:pPr>
        <w:spacing w:before="100" w:after="100"/>
      </w:pPr>
      <w:r>
        <w:t xml:space="preserve"/>
      </w:r>
    </w:p>
    <w:p>
      <w:pPr>
        <w:pStyle w:val="Heading1"/>
        <w:spacing w:before="480" w:after="160"/>
      </w:pPr>
      <w:r>
        <w:rPr>
          <w:rFonts w:ascii="Arial" w:cs="Arial" w:eastAsia="Arial" w:hAnsi="Arial"/>
          <w:b/>
          <w:bCs/>
          <w:color w:val="1B4F72"/>
          <w:sz w:val="34"/>
          <w:szCs w:val="34"/>
        </w:rPr>
        <w:t xml:space="preserve">Quick Reference: Most Common Small Business Failure Patterns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48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Failure Pattern</w:t>
            </w:r>
          </w:p>
        </w:tc>
        <w:tc>
          <w:tcPr>
            <w:tcW w:type="dxa" w:w="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Frequency</w:t>
            </w:r>
          </w:p>
        </w:tc>
        <w:tc>
          <w:tcPr>
            <w:tcW w:type="dxa" w:w="48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Prevention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Wrong NAICS / size standard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 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Very 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Verify size standard against SBA table before any proposal investment.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LPTA vs. Tradeoff mismatch</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Phase 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High</w:t>
            </w:r>
          </w:p>
        </w:tc>
        <w:tc>
          <w:tcPr>
            <w:tcW w:type="dxa" w:w="4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Confirm procurement method in Section M before writing. Adjust strategy completely.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Exceeding page limits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Very 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Count every page including graphics. Apply Section L formatting as template before writing.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Font / margin violations</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Phase 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High</w:t>
            </w:r>
          </w:p>
        </w:tc>
        <w:tc>
          <w:tcPr>
            <w:tcW w:type="dxa" w:w="4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Build formatting compliance into document template from the first word. Never reformat after writing.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Branding in prohibited areas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Read Section L for any branding or logo restrictions. When in doubt, remove it.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Inconsistent pricing across volumes</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Phase 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High</w:t>
            </w:r>
          </w:p>
        </w:tc>
        <w:tc>
          <w:tcPr>
            <w:tcW w:type="dxa" w:w="4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Single source of truth for all numbers. Final cross-volume consistency check before submission.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Insufficient past performance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Very 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Do not bid without meeting minimum thresholds. Pursue teaming or 13 CFR 125.2 subcontractor ratings.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No CPARS for cited references</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Phase 3</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Medium</w:t>
            </w:r>
          </w:p>
        </w:tc>
        <w:tc>
          <w:tcPr>
            <w:tcW w:type="dxa" w:w="4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Only cite references with verifiable CPARS records or explicitly note commercial equivalence strategy.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Missing Quality Control Plan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Every service contract needs a QCP. Treat as mandatory even if not stated.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Generic technical approach</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Phase 5</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Very High</w:t>
            </w:r>
          </w:p>
        </w:tc>
        <w:tc>
          <w:tcPr>
            <w:tcW w:type="dxa" w:w="4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Apply the 3-criterion discriminator test to every claim. No unsupported assertions.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Missing transition plan on recompetes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 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Every recompete requires a detailed transition plan. Absence is a documented Weakness.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Wrong CLIN structure in pricing</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Phase 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High</w:t>
            </w:r>
          </w:p>
        </w:tc>
        <w:tc>
          <w:tcPr>
            <w:tcW w:type="dxa" w:w="48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Copy Section B CLIN structure exactly. Never reformat or summarize CLINs.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Skipping debriefing request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Post-Award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Very 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Request within 3 days. Prepare specific questions. Document all findings for next bid.</w:t>
            </w:r>
          </w:p>
        </w:tc>
      </w:tr>
    </w:tbl>
    <w:p>
      <w:pPr>
        <w:spacing w:before="100" w:after="100"/>
      </w:pPr>
      <w:r>
        <w:t xml:space="preserve"/>
      </w:r>
    </w:p>
    <w:p>
      <w:pPr>
        <w:pStyle w:val="Heading1"/>
        <w:spacing w:before="480" w:after="160"/>
      </w:pPr>
      <w:r>
        <w:rPr>
          <w:rFonts w:ascii="Arial" w:cs="Arial" w:eastAsia="Arial" w:hAnsi="Arial"/>
          <w:b/>
          <w:bCs/>
          <w:color w:val="1B4F72"/>
          <w:sz w:val="34"/>
          <w:szCs w:val="34"/>
        </w:rPr>
        <w:t xml:space="preserve">The Red Team Review Hierarchy</w:t>
      </w:r>
    </w:p>
    <w:p>
      <w:pPr>
        <w:spacing w:before="80" w:after="80"/>
      </w:pPr>
      <w:r>
        <w:rPr>
          <w:rFonts w:ascii="Arial" w:cs="Arial" w:eastAsia="Arial" w:hAnsi="Arial"/>
          <w:color w:val="2C3E50"/>
          <w:sz w:val="20"/>
          <w:szCs w:val="20"/>
        </w:rPr>
        <w:t xml:space="preserve">This framework maps to a five-level hierarchy that mirrors the Government’s internal evaluation process. Every level must be completed in sequence. Skipping a level is not efficiency — it is missed risk.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500"/>
        <w:gridCol w:w="2360"/>
      </w:tblGrid>
      <w:tr>
        <w:trPr>
          <w:tblHeader/>
        </w:trPr>
        <w:tc>
          <w:tcPr>
            <w:tcW w:type="dxa" w:w="7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Level</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45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What It Does</w:t>
            </w:r>
          </w:p>
        </w:tc>
        <w:tc>
          <w:tcPr>
            <w:tcW w:type="dxa" w:w="2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tcPr>
          <w:p>
            <w:r>
              <w:rPr>
                <w:rFonts w:ascii="Arial" w:cs="Arial" w:eastAsia="Arial" w:hAnsi="Arial"/>
                <w:b/>
                <w:bCs/>
                <w:color w:val="FFFFFF"/>
                <w:sz w:val="19"/>
                <w:szCs w:val="19"/>
              </w:rPr>
              <w:t xml:space="preserve">Evaluation Phase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Level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Administrative Compliance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Verifies every Section L instruction: font, margins, page limits, file format, naming. Any deviation is a fatal flaw.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 2</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Level 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Mandatory Requirement Tracking</w:t>
            </w:r>
          </w:p>
        </w:tc>
        <w:tc>
          <w:tcPr>
            <w:tcW w:type="dxa" w:w="4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Compliance matrix cross-referencing every 'shall' and 'must' to a specific page and paragraph in the proposal. Vague responses flagged for revision.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Phases 2-3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Level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Strength Identification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Evaluates technical sections for 'benefit-to-Government' triggers. Does the narrative articulate a measurable improvement or significant risk reduction?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 4-5</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Level 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Risk and Weakness Assessment</w:t>
            </w:r>
          </w:p>
        </w:tc>
        <w:tc>
          <w:tcPr>
            <w:tcW w:type="dxa" w:w="4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Identifies friction points: long narrative passages, inconsistent data across volumes, generic approaches. These trigger evaluator doubt.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2C3E50"/>
                <w:sz w:val="19"/>
                <w:szCs w:val="19"/>
              </w:rPr>
              <w:t xml:space="preserve">Phase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Level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Past Performance and Price Realism Synergy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Ensures past performance narrative supports technical claims AND price proposal reflects the labor mix and level of effort described in the technical volume.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19"/>
                <w:szCs w:val="19"/>
              </w:rPr>
              <w:t xml:space="preserve">Phases 3, 6</w:t>
            </w:r>
          </w:p>
        </w:tc>
      </w:tr>
    </w:tbl>
    <w:p>
      <w:pPr>
        <w:spacing w:before="100" w:after="100"/>
      </w:pPr>
      <w:r>
        <w:t xml:space="preserve"/>
      </w:r>
    </w:p>
    <w:p>
      <w:pPr>
        <w:spacing w:before="100" w:after="100"/>
      </w:pPr>
      <w:r>
        <w:t xml:space="preserve"/>
      </w:r>
    </w:p>
    <w:p>
      <w:pPr>
        <w:pBdr>
          <w:top w:val="single" w:color="2E75B6" w:sz="6" w:space="8"/>
          <w:bottom w:val="single" w:color="2E75B6" w:sz="6" w:space="8"/>
        </w:pBdr>
        <w:spacing w:before="400" w:after="120"/>
      </w:pPr>
      <w:r>
        <w:rPr>
          <w:rFonts w:ascii="Arial" w:cs="Arial" w:eastAsia="Arial" w:hAnsi="Arial"/>
          <w:b/>
          <w:bCs/>
          <w:color w:val="1B4F72"/>
          <w:sz w:val="20"/>
          <w:szCs w:val="20"/>
        </w:rPr>
        <w:t xml:space="preserve">Framework Version Note  —  </w:t>
      </w:r>
      <w:r>
        <w:rPr>
          <w:rFonts w:ascii="Arial" w:cs="Arial" w:eastAsia="Arial" w:hAnsi="Arial"/>
          <w:i/>
          <w:iCs/>
          <w:color w:val="566573"/>
          <w:sz w:val="19"/>
          <w:szCs w:val="19"/>
        </w:rPr>
        <w:t xml:space="preserve">Version 2.1 adds: Arial Narrow / condensed font variant check elevated as HIGH RISK in Phase 2 (Horizons Youth Services precedent); Certificate of Current Cost or Pricing Data elevated to STRUCTURAL DEFICIENCY callout in Phase 6 with non-remediable status warning. Built on v2.0 foundation: GAO FY 2025 bid protest data, FAR 1.108 and 2.101 regulatory citations, DoD Source Selection Procedures (August 2022), SBA Rule 13 CFR 125.2, OFPP Myth-Busting guidance, CPARS 14-day visibility rule, and LPTA vs. Tradeoff strategic framework. Next: Agency-Specific Profiles 2014 NASA Mission Suitability (1,000-point system), DHS Commercial Solutions Openings, GSA Symphony / OASIS+ Verification of Experience.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3F4" w:sz="4" w:space="4"/>
      </w:pBdr>
      <w:tabs>
        <w:tab w:val="right" w:pos="9026"/>
      </w:tabs>
    </w:pPr>
    <w:r>
      <w:rPr>
        <w:rFonts w:ascii="Arial" w:cs="Arial" w:eastAsia="Arial" w:hAnsi="Arial"/>
        <w:color w:val="566573"/>
        <w:sz w:val="16"/>
        <w:szCs w:val="16"/>
      </w:rPr>
      <w:t xml:space="preserve">CONFIDENTIAL — Internal Evaluation Framework</w:t>
    </w:r>
    <w:r>
      <w:rPr>
        <w:rFonts w:ascii="Arial" w:cs="Arial" w:eastAsia="Arial" w:hAnsi="Arial"/>
        <w:color w:val="566573"/>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BidReady </w:t>
    </w:r>
    <w:r>
      <w:rPr>
        <w:rFonts w:ascii="Arial" w:cs="Arial" w:eastAsia="Arial" w:hAnsi="Arial"/>
        <w:color w:val="566573"/>
        <w:sz w:val="18"/>
        <w:szCs w:val="18"/>
      </w:rPr>
      <w:t xml:space="preserve">| Federal RFP Evaluation Framework — Version 2.0 (Gemini + Perplexity Enhanced)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4F72"/>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2026-03-09T17:03:57.032Z</dcterms:created>
  <dcterms:modified xsi:type="dcterms:W3CDTF">2026-03-09T17:03:57.033Z</dcterms:modified>
</cp:coreProperties>
</file>

<file path=docProps/custom.xml><?xml version="1.0" encoding="utf-8"?>
<Properties xmlns="http://schemas.openxmlformats.org/officeDocument/2006/custom-properties" xmlns:vt="http://schemas.openxmlformats.org/officeDocument/2006/docPropsVTypes"/>
</file>