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eastAsia="Microsoft YaHei" w:hAnsi="Microsoft YaHei"/>
          <w:b/>
          <w:bCs/>
          <w:i w:val="false"/>
          <w:iCs w:val="false"/>
          <w:sz w:val="32"/>
          <w:szCs w:val="32"/>
        </w:rPr>
        <w:t xml:space="preserve">算电协同 · 济南高新区集成电路产业园区智算中心</w:t>
      </w:r>
    </w:p>
    <w:p>
      <w:pPr>
        <w:spacing w:after="80"/>
        <w:jc w:val="center"/>
      </w:pPr>
      <w:r>
        <w:rPr>
          <w:rFonts w:ascii="Microsoft YaHei" w:eastAsia="Microsoft YaHei" w:hAnsi="Microsoft YaHei"/>
          <w:b/>
          <w:bCs/>
          <w:i w:val="false"/>
          <w:iCs w:val="false"/>
          <w:color w:val="1F4E66"/>
          <w:sz w:val="30"/>
          <w:szCs w:val="30"/>
        </w:rPr>
        <w:t xml:space="preserve">实地调研 数据采集表</w:t>
      </w:r>
    </w:p>
    <w:p>
      <w:pPr>
        <w:spacing w:after="160"/>
        <w:jc w:val="center"/>
      </w:pPr>
      <w:r>
        <w:rPr>
          <w:rFonts w:ascii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配套《算电协同系统建设方案》§16.4 / §10 · 回填后即为送审方案“数据来源附件” · 对外脱敏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1500"/>
        <w:gridCol w:w="3700"/>
        <w:gridCol w:w="1700"/>
        <w:gridCol w:w="3298"/>
      </w:tblGrid>
      <w:tr>
        <w:trPr>
          <w:trHeight w:val="460" w:hRule="atLeast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调研日期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受访单位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受访人/职务</w:t>
            </w:r>
          </w:p>
        </w:tc>
        <w:tc>
          <w:tcPr>
            <w:tcW w:type="dxa" w:w="32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联系电话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调研人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第 / 共 页</w:t>
            </w:r>
          </w:p>
        </w:tc>
        <w:tc>
          <w:tcPr>
            <w:tcW w:type="dxa" w:w="32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【优先级】P0 = 回收/选档生死项（必采）　｜　P1 = 收窄效益区间　｜　P2 = 远期/锦上添花（带 * 者为最佳档关键）。</w:t>
            </w:r>
          </w:p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【填写要求】“采集值”栏现场手写；每项须标【已建成 / 在建 / 规划】+ 取数日期 + 来源（官方台账/电费单/设计图优先于口头）。</w:t>
            </w:r>
          </w:p>
        </w:tc>
      </w:tr>
    </w:tbl>
    <w:p>
      <w:pPr>
        <w:pBdr>
          <w:bottom w:val="single" w:color="1F4E66" w:sz="6"/>
        </w:pBdr>
        <w:spacing w:after="120" w:before="260"/>
      </w:pPr>
      <w:r>
        <w:rPr>
          <w:rFonts w:ascii="Microsoft YaHei" w:eastAsia="Microsoft YaHei" w:hAnsi="Microsoft YaHei"/>
          <w:b/>
          <w:bCs/>
          <w:i w:val="false"/>
          <w:iCs w:val="false"/>
          <w:color w:val="1F4E66"/>
          <w:sz w:val="26"/>
          <w:szCs w:val="26"/>
        </w:rPr>
        <w:t xml:space="preserve">一、头号卡点（P0，先拿这四样，其余可后补）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7398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序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卡点内容</w:t>
            </w:r>
          </w:p>
        </w:tc>
        <w:tc>
          <w:tcPr>
            <w:tcW w:type="dxa" w:w="7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现场确认与记录</w:t>
            </w:r>
          </w:p>
        </w:tc>
      </w:tr>
      <w:tr>
        <w:trPr>
          <w:cantSplit/>
          <w:trHeight w:val="760" w:hRule="atLeast"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近 12 个月电费单：计费制 / 需量基数与是否计取 / 五段电量结构 / 力调 / 综合电价（智算中心适用需量电费，不享充电站 545 号免收）</w:t>
            </w:r>
          </w:p>
        </w:tc>
        <w:tc>
          <w:tcPr>
            <w:tcW w:type="dxa" w:w="7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 负荷 15 分钟级曲线 ≥1 月 + 装机 + 主变压器容量（定 IT MW、利用小时、需量尖峰）</w:t>
            </w:r>
          </w:p>
        </w:tc>
        <w:tc>
          <w:tcPr>
            <w:tcW w:type="dxa" w:w="7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园区源网荷储“已建成 vs 规划”官方台账 + 共享调用权与分成机制（光伏420MW/储能220MWh/冰蓄冷50MWh/水蓄热30MWh 逐项核状态）</w:t>
            </w:r>
          </w:p>
        </w:tc>
        <w:tc>
          <w:tcPr>
            <w:tcW w:type="dxa" w:w="7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济南高新虚拟电厂接入机制 + DR/调峰补偿口径与结算主体准入</w:t>
            </w:r>
          </w:p>
        </w:tc>
        <w:tc>
          <w:tcPr>
            <w:tcW w:type="dxa" w:w="7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4E66" w:sz="6"/>
        </w:pBdr>
        <w:spacing w:after="120" w:before="260"/>
      </w:pPr>
      <w:r>
        <w:rPr>
          <w:rFonts w:ascii="Microsoft YaHei" w:eastAsia="Microsoft YaHei" w:hAnsi="Microsoft YaHei"/>
          <w:b/>
          <w:bCs/>
          <w:i w:val="false"/>
          <w:iCs w:val="false"/>
          <w:color w:val="1F4E66"/>
          <w:sz w:val="26"/>
          <w:szCs w:val="26"/>
        </w:rPr>
        <w:t xml:space="preserve">二、分板块采集清单（T1–T9）</w:t>
      </w:r>
    </w:p>
    <w:p>
      <w:pPr>
        <w:spacing w:after="60" w:before="120"/>
      </w:pPr>
      <w:r>
        <w:rPr>
          <w:rFonts w:ascii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T1 · 电力 / 计量 / 电价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0"/>
        <w:gridCol w:w="3300"/>
        <w:gridCol w:w="4200"/>
        <w:gridCol w:w="1750"/>
        <w:gridCol w:w="1898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用途 / 回填 §10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采集值（现场填写）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来源 / 责任方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关口表 + 分项计量现状、可接入性（Modbus / IEC / OPC UA）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四类计量点接入率（§8.4 Gate）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电气台账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计费制 + 需量/容量电费基数与是否计取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§10.1 电费、需量收益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电费单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五段式分时电价 + 各时段电量占比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峰谷套利（30–90 万）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电费单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力调 / 功率因数现状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力调优化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电费单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现货市场参与资格 / 意愿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最佳档现货臂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电力交易中心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110kV 接线、园区联络线、并网点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绿电直连 / 接入（最佳档）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一次系统图</w:t>
            </w:r>
          </w:p>
        </w:tc>
      </w:tr>
    </w:tbl>
    <w:p>
      <w:pPr>
        <w:spacing w:after="60" w:before="140"/>
      </w:pPr>
      <w:r>
        <w:rPr>
          <w:rFonts w:ascii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T2 · 智算中心 / 算力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0"/>
        <w:gridCol w:w="3300"/>
        <w:gridCol w:w="4200"/>
        <w:gridCol w:w="1750"/>
        <w:gridCol w:w="1898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用途 / 回填 §10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采集值（现场填写）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来源 / 责任方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 负荷 15min 曲线 ≥1 月、装机、变压器容量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 MW、利用率、需量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运维系统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实测 PUE（年均 + 季节）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§10.1 综合电量（现 PUE 1.4）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运维系统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制冷形式（风冷/液冷）、UPS / N+1 架构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自然冷却/PUE 节能、ramp 安全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设计说明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机房温湿度 / 露点现状、ASHRAE 余量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自然冷却安全裕度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监控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可中断算力占比、作业类型、K8s/Slurm、SLA、数据安全要求、业主配合意愿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P0*/P1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算力时移套利（闭环）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算力业主</w:t>
            </w:r>
          </w:p>
        </w:tc>
      </w:tr>
    </w:tbl>
    <w:p>
      <w:pPr>
        <w:spacing w:after="60" w:before="140"/>
      </w:pPr>
      <w:r>
        <w:rPr>
          <w:rFonts w:ascii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T3 · 制冷 / 暖通（预冷 TCL 模型参数）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0"/>
        <w:gridCol w:w="3300"/>
        <w:gridCol w:w="4200"/>
        <w:gridCol w:w="1750"/>
        <w:gridCol w:w="1898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用途 / 回填 §10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采集值（现场填写）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来源 / 责任方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空调实测 COP（昼/夜/季）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自然冷却+PUE（20–70 万）、避免“正午追绿电反增碳”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暖通台账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机房面积 / 层高、热容 C / 热阻 R 估算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预冷 RC 模型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设计图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进 / 出 / 回 / 送风温度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RC 状态量 + 安全约束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监控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专用蓄冷罐 / 园区冰蓄冷可调用量与接口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小时级制冷时移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园区 / 暖通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自然冷却（free cooling）现状与可用小时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自然冷却杠杆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暖通</w:t>
            </w:r>
          </w:p>
        </w:tc>
      </w:tr>
    </w:tbl>
    <w:p>
      <w:pPr>
        <w:spacing w:after="60" w:before="140"/>
      </w:pPr>
      <w:r>
        <w:rPr>
          <w:rFonts w:ascii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T4 · 气象 / 资源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0"/>
        <w:gridCol w:w="3300"/>
        <w:gridCol w:w="4200"/>
        <w:gridCol w:w="1750"/>
        <w:gridCol w:w="1898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用途 / 回填 §10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采集值（现场填写）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来源 / 责任方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当地气象典型年（TMY）：干/湿球温度、自然冷却可用小时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§10.4 自然冷却小时（济南半湿润，不外推西部）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气象局 / 设计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地热 / 污水 / 生物质余热的消纳侧（区域供热 / 热网接入）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余热消纳社会效益（§11）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园区</w:t>
            </w:r>
          </w:p>
        </w:tc>
      </w:tr>
    </w:tbl>
    <w:p>
      <w:pPr>
        <w:spacing w:after="60" w:before="140"/>
      </w:pPr>
      <w:r>
        <w:rPr>
          <w:rFonts w:ascii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T5 · VPP / 市场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0"/>
        <w:gridCol w:w="3300"/>
        <w:gridCol w:w="4200"/>
        <w:gridCol w:w="1750"/>
        <w:gridCol w:w="1898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用途 / 回填 §10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采集值（现场填写）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来源 / 责任方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济南高新虚拟电厂运营主体、接入接口/协议、数据共享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DR/调峰落袋前提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VPP 运营主体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DR/调峰补偿标准、年响应次数、考核规则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 收益（15–60 万）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VPP / 电力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聚合分成比例、结算方式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§10 净额（现扣 30–50%）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商务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结算主体准入（数据中心柔性资源资格）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§13.3 政府协调项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能监办 / 发改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一次调频补偿现状（远期）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§16.5 触发条件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电力</w:t>
            </w:r>
          </w:p>
        </w:tc>
      </w:tr>
    </w:tbl>
    <w:p>
      <w:pPr>
        <w:spacing w:after="60" w:before="140"/>
      </w:pPr>
      <w:r>
        <w:rPr>
          <w:rFonts w:ascii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T6 · 碳 / 绿电 / 绿证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0"/>
        <w:gridCol w:w="3300"/>
        <w:gridCol w:w="4200"/>
        <w:gridCol w:w="1750"/>
        <w:gridCol w:w="1898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用途 / 回填 §10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采集值（现场填写）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来源 / 责任方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区域电网碳因子（年度官方值，有无小时级）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§11 减排（1.8–2.4 万吨）、CUE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生态环境 / 电网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绿电交易渠道 / 价格、绿证价格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绿电交易/绿证优化（10–30 万）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电力交易中心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自发自用绿电占比现状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绿电占比 80% 红线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园区台账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绿电直连资格（发改能源〔2025〕650 号）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绿电直连（最佳档）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发改</w:t>
            </w:r>
          </w:p>
        </w:tc>
      </w:tr>
    </w:tbl>
    <w:p>
      <w:pPr>
        <w:spacing w:after="60" w:before="140"/>
      </w:pPr>
      <w:r>
        <w:rPr>
          <w:rFonts w:ascii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T7 · 政策 / 准入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0"/>
        <w:gridCol w:w="3300"/>
        <w:gridCol w:w="4200"/>
        <w:gridCol w:w="1750"/>
        <w:gridCol w:w="1898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用途 / 回填 §10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采集值（现场填写）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来源 / 责任方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绿电占比红线、能耗双控 / PUE 准入考核口径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合规价值（避免业务受限/新建受阻）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发改 / 工信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省级算电协同 / 虚拟电厂示范专项资金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§14.1 出资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用地 / 备案绿色通道（如自建物理设施）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§9.3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管委会</w:t>
            </w:r>
          </w:p>
        </w:tc>
      </w:tr>
    </w:tbl>
    <w:p>
      <w:pPr>
        <w:spacing w:after="60" w:before="140"/>
      </w:pPr>
      <w:r>
        <w:rPr>
          <w:rFonts w:ascii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T8 · 商务 / 组织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0"/>
        <w:gridCol w:w="3300"/>
        <w:gridCol w:w="4200"/>
        <w:gridCol w:w="1750"/>
        <w:gridCol w:w="1898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用途 / 回填 §10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采集值（现场填写）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来源 / 责任方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投资主体意向、运营主体、政府配套（资金/用地/电网协调）意向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§13 / §14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各方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各方诉求与分歧（政府/投资/技术/运行）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风险前置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专班</w:t>
            </w:r>
          </w:p>
        </w:tc>
      </w:tr>
    </w:tbl>
    <w:p>
      <w:pPr>
        <w:spacing w:after="60" w:before="140"/>
      </w:pPr>
      <w:r>
        <w:rPr>
          <w:rFonts w:ascii="Microsoft YaHei" w:eastAsia="Microsoft YaHei" w:hAnsi="Microsoft YaHei"/>
          <w:b/>
          <w:bCs/>
          <w:i w:val="false"/>
          <w:iCs w:val="false"/>
          <w:sz w:val="22"/>
          <w:szCs w:val="22"/>
        </w:rPr>
        <w:t xml:space="preserve">T9 · 物理设施单价（仅在考虑自建时校核当期市场价）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50"/>
        <w:gridCol w:w="3300"/>
        <w:gridCol w:w="4200"/>
        <w:gridCol w:w="1750"/>
        <w:gridCol w:w="1898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采集项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用途 / 回填 §10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采集值（现场填写）</w:t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来源 / 责任方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储能 EPC 系统级单价（当期，注意 2026 LFP 价格上行）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§9.3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供应商报价</w:t>
            </w:r>
          </w:p>
        </w:tc>
      </w:tr>
      <w:tr>
        <w:trPr>
          <w:cantSplit/>
          <w:trHeight w:val="560" w:hRule="atLeast"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分布式光伏单价、液冷改造单价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§9.3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供应商报价</w:t>
            </w:r>
          </w:p>
        </w:tc>
      </w:tr>
    </w:tbl>
    <w:p>
      <w:pPr>
        <w:pageBreakBefore/>
        <w:pBdr>
          <w:bottom w:val="single" w:color="1F4E66" w:sz="6"/>
        </w:pBdr>
        <w:spacing w:after="120"/>
      </w:pPr>
      <w:r>
        <w:rPr>
          <w:rFonts w:ascii="Microsoft YaHei" w:eastAsia="Microsoft YaHei" w:hAnsi="Microsoft YaHei"/>
          <w:b/>
          <w:bCs/>
          <w:i w:val="false"/>
          <w:iCs w:val="false"/>
          <w:color w:val="1F4E66"/>
          <w:sz w:val="26"/>
          <w:szCs w:val="26"/>
        </w:rPr>
        <w:t xml:space="preserve">三、三档选型决策映射（参考，依采集结果判定）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998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档</w:t>
            </w:r>
          </w:p>
        </w:tc>
        <w:tc>
          <w:tcPr>
            <w:tcW w:type="dxa" w:w="129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触发条件（需调研数据支撑）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保守档（只读合规）</w:t>
            </w:r>
          </w:p>
        </w:tc>
        <w:tc>
          <w:tcPr>
            <w:tcW w:type="dxa" w:w="129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仅需 T1 计量现状 + T7 合规口径 → 总能做（合规/示范兜底，经济回收非首要）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适中档（建议态协同）</w:t>
            </w:r>
          </w:p>
        </w:tc>
        <w:tc>
          <w:tcPr>
            <w:tcW w:type="dxa" w:w="129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T5 VPP 可接入且 DR/分成口径明确 + T2 利用率与需量空间足 + T3 COP/自然冷却有杠杆 → 净 40–175 万/年</w:t>
            </w:r>
          </w:p>
        </w:tc>
      </w:tr>
      <w:tr>
        <w:trPr>
          <w:cantSplit/>
          <w:trHeight w:val="620" w:hRule="atLeast"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最佳档（闭环执行）</w:t>
            </w:r>
          </w:p>
        </w:tc>
        <w:tc>
          <w:tcPr>
            <w:tcW w:type="dxa" w:w="129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T2 可中断算力占比高 + 业主签 SLA/数据安全 + T1 现货资格 + T6 绿电直连资格 → 闭环时移/交易增量</w:t>
            </w:r>
          </w:p>
        </w:tc>
      </w:tr>
    </w:tbl>
    <w:p>
      <w:pPr>
        <w:pBdr>
          <w:bottom w:val="single" w:color="1F4E66" w:sz="6"/>
        </w:pBdr>
        <w:spacing w:after="120" w:before="260"/>
      </w:pPr>
      <w:r>
        <w:rPr>
          <w:rFonts w:ascii="Microsoft YaHei" w:eastAsia="Microsoft YaHei" w:hAnsi="Microsoft YaHei"/>
          <w:b/>
          <w:bCs/>
          <w:i w:val="false"/>
          <w:iCs w:val="false"/>
          <w:color w:val="1F4E66"/>
          <w:sz w:val="26"/>
          <w:szCs w:val="26"/>
        </w:rPr>
        <w:t xml:space="preserve">四、数据来源附件（§10 必填参数，回填即成附件）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100"/>
        <w:gridCol w:w="1900"/>
        <w:gridCol w:w="2800"/>
        <w:gridCol w:w="1500"/>
        <w:gridCol w:w="1500"/>
        <w:gridCol w:w="2398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取值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单位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状态（建成/在建/规划）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数据来源 / 台账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取数日期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责任人</w:t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F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8"/>
                <w:szCs w:val="18"/>
              </w:rPr>
              <w:t xml:space="preserve">置信度 / 备注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 负荷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MW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 等效利用小时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h/年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现假设 6500–7000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实测 PUE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现假设 1.4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综合年电费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万元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现假设 2730–2940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峰谷价差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元/kWh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需量电费基数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元/kW·月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智算中心适用、非 545 号免收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 / 调峰补偿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元/次或/kW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VPP 聚合分成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现按 30–50%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自然冷却可用小时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h/年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济南半湿润、勿外推西部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空调 COP（昼/夜）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影响“正午追绿电”判断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园区可调用储能/冰蓄冷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仅计已建成/可调用</w:t>
            </w:r>
          </w:p>
        </w:tc>
      </w:tr>
      <w:tr>
        <w:trPr>
          <w:cantSplit/>
          <w:trHeight w:val="600" w:hRule="atLeast"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绿电占比现状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红线 80%</w:t>
            </w:r>
          </w:p>
        </w:tc>
      </w:tr>
    </w:tbl>
    <w:p>
      <w:pPr>
        <w:pBdr>
          <w:bottom w:val="single" w:color="1F4E66" w:sz="6"/>
        </w:pBdr>
        <w:spacing w:after="120" w:before="260"/>
      </w:pPr>
      <w:r>
        <w:rPr>
          <w:rFonts w:ascii="Microsoft YaHei" w:eastAsia="Microsoft YaHei" w:hAnsi="Microsoft YaHei"/>
          <w:b/>
          <w:bCs/>
          <w:i w:val="false"/>
          <w:iCs w:val="false"/>
          <w:color w:val="1F4E66"/>
          <w:sz w:val="26"/>
          <w:szCs w:val="26"/>
        </w:rPr>
        <w:t xml:space="preserve">五、注意事项（铁律）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脱敏：附件与对外稿不写公司名、客户真名；用“某智算中心”“园区运营主体”“某轮胎制造企业”等。</w:t>
            </w:r>
          </w:p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远期不计当期：光伏 420MW 等含远期规划，效益只计【已建成/可调用】部分；规划部分单列、不进当期回收。</w:t>
            </w:r>
          </w:p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官方背书：源网荷储与电价以官方台账/电费单为准，访谈口径需文件佐证方可入模型。</w:t>
            </w:r>
          </w:p>
          <w:p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诚实边界：算力一期开环（建议+模拟、不下发）、碳=影子价/ESG、动态碳因子一期模拟、绿电直连一期不含一次工程——调研只回填数字、不改变边界。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  <w:b w:val="false"/>
          <w:bCs w:val="false"/>
          <w:i w:val="false"/>
          <w:iCs w:val="false"/>
          <w:sz w:val="18"/>
          <w:szCs w:val="18"/>
        </w:rPr>
        <w:t xml:space="preserve"/>
      </w:r>
    </w:p>
    <w:p>
      <w:r>
        <w:rPr>
          <w:rFonts w:ascii="Microsoft YaHei" w:eastAsia="Microsoft YaHei" w:hAnsi="Microsoft YaHei"/>
          <w:b w:val="false"/>
          <w:bCs w:val="false"/>
          <w:i/>
          <w:iCs/>
          <w:color w:val="555555"/>
          <w:sz w:val="18"/>
          <w:szCs w:val="18"/>
        </w:rPr>
        <w:t xml:space="preserve">调研后续：回填 §10 → 出数据来源附件 + 三档选型建议 → 进 BMAD（PRD + 架构 Section 25 + Epic 36–41）→ Phase 1。</w:t>
      </w:r>
    </w:p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Microsoft YaHei" w:hAnsi="Microsoft YaHei"/>
        <w:b w:val="false"/>
        <w:bCs w:val="false"/>
        <w:i w:val="false"/>
        <w:iCs w:val="false"/>
        <w:color w:val="888888"/>
        <w:sz w:val="16"/>
        <w:szCs w:val="16"/>
      </w:rPr>
      <w:t xml:space="preserve">第 </w:t>
    </w:r>
    <w:r>
      <w:rPr>
        <w:rFonts w:ascii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eastAsia="Microsoft YaHei" w:hAnsi="Microsoft YaHei"/>
        <w:b w:val="false"/>
        <w:bCs w:val="false"/>
        <w:i w:val="false"/>
        <w:iCs w:val="false"/>
        <w:color w:val="888888"/>
        <w:sz w:val="16"/>
        <w:szCs w:val="16"/>
      </w:rPr>
      <w:t xml:space="preserve"> 页 / 共 </w:t>
    </w:r>
    <w:r>
      <w:rPr>
        <w:rFonts w:ascii="Microsoft YaHei" w:eastAsia="Microsoft YaHei" w:hAnsi="Microsoft YaHe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eastAsia="Microsoft YaHei" w:hAnsi="Microsoft YaHei"/>
        <w:b w:val="false"/>
        <w:bCs w:val="false"/>
        <w:i w:val="false"/>
        <w:iCs w:val="false"/>
        <w:color w:val="888888"/>
        <w:sz w:val="16"/>
        <w:szCs w:val="16"/>
      </w:rPr>
      <w:t xml:space="preserve"> 页　·　2026-06-24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eastAsia="Microsoft YaHei" w:hAnsi="Microsoft YaHei"/>
        <w:b w:val="false"/>
        <w:bCs w:val="false"/>
        <w:i w:val="false"/>
        <w:iCs w:val="false"/>
        <w:color w:val="888888"/>
        <w:sz w:val="16"/>
        <w:szCs w:val="16"/>
      </w:rPr>
      <w:t xml:space="preserve">算电协同 · 济南高新区智算中心 实地调研数据采集表（脱敏）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2026-06-24T10:42:51.030Z</dcterms:created>
  <dcterms:modified xsi:type="dcterms:W3CDTF">2026-06-24T10:42:51.032Z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