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480"/>
        <w:jc w:val="center"/>
      </w:pPr>
      <w:r>
        <w:rPr>
          <w:rFonts w:ascii="黑体" w:hAnsi="黑体" w:eastAsia="黑体"/>
          <w:b/>
          <w:sz w:val="44"/>
        </w:rPr>
        <w:t>公式示例文档 / Formula Examples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本文档包含各种数学公式，用于测试 MD2DOCX 转换器。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This document contains various mathematical formulas to test the MD2DOCX converter.</w:t>
      </w:r>
    </w:p>
    <w:p>
      <w:pPr>
        <w:pStyle w:val="Heading1"/>
      </w:pPr>
      <w:r>
        <w:rPr>
          <w:rFonts w:ascii="黑体" w:hAnsi="黑体" w:eastAsia="黑体"/>
          <w:sz w:val="32"/>
        </w:rPr>
        <w:t>块级公式 / Block Formulas</w:t>
      </w:r>
    </w:p>
    <w:p>
      <w:pPr>
        <w:pStyle w:val="Heading2"/>
      </w:pPr>
      <w:r>
        <w:rPr>
          <w:rFonts w:ascii="黑体" w:hAnsi="黑体" w:eastAsia="黑体"/>
          <w:sz w:val="28"/>
        </w:rPr>
        <w:t>分数与求和 / Fractions and Summations</w:t>
      </w:r>
    </w:p>
    <w:p>
      <w:pPr>
        <w:spacing w:before="120" w:after="120"/>
        <w:jc w:val="center"/>
      </w:pPr>
      <w:r>
        <w:rPr>
          <w:rFonts w:ascii="Cambria Math" w:hAnsi="Cambria Math"/>
          <w:i/>
        </w:rPr>
        <w:t>\frac{a + b}{c - d}</w:t>
      </w:r>
    </w:p>
    <w:p>
      <w:pPr>
        <w:spacing w:before="120" w:after="120"/>
        <w:jc w:val="center"/>
      </w:pPr>
      <w:r>
        <w:rPr>
          <w:rFonts w:ascii="Cambria Math" w:hAnsi="Cambria Math"/>
          <w:i/>
        </w:rPr>
        <w:t>\sum_{i=1}^{n} x_i = x_1 + x_2 + \cdots + x_n</w:t>
      </w:r>
    </w:p>
    <w:p>
      <w:pPr>
        <w:pStyle w:val="Heading2"/>
      </w:pPr>
      <w:r>
        <w:rPr>
          <w:rFonts w:ascii="黑体" w:hAnsi="黑体" w:eastAsia="黑体"/>
          <w:sz w:val="28"/>
        </w:rPr>
        <w:t>积分 / Integrals</w:t>
      </w:r>
    </w:p>
    <w:p>
      <w:pPr>
        <w:spacing w:before="120" w:after="120"/>
        <w:jc w:val="center"/>
      </w:pPr>
      <w:r>
        <w:rPr>
          <w:rFonts w:ascii="Cambria Math" w:hAnsi="Cambria Math"/>
          <w:i/>
        </w:rPr>
        <w:t>\int_0^{\infty} e^{-x^2} dx = \frac{\sqrt{\pi}}{2}</w:t>
      </w:r>
    </w:p>
    <w:p>
      <w:pPr>
        <w:pStyle w:val="Heading2"/>
      </w:pPr>
      <w:r>
        <w:rPr>
          <w:rFonts w:ascii="黑体" w:hAnsi="黑体" w:eastAsia="黑体"/>
          <w:sz w:val="28"/>
        </w:rPr>
        <w:t>矩阵 / Matrices</w:t>
      </w:r>
    </w:p>
    <w:p>
      <w:pPr>
        <w:spacing w:before="120" w:after="120"/>
        <w:jc w:val="center"/>
      </w:pPr>
      <w:r>
        <w:rPr>
          <w:rFonts w:ascii="Cambria Math" w:hAnsi="Cambria Math"/>
          <w:i/>
        </w:rPr>
        <w:t>A = \begin{pmatrix} a &amp; b \\ c &amp; d \end{pmatrix}</w:t>
      </w:r>
    </w:p>
    <w:p>
      <w:pPr>
        <w:pStyle w:val="Heading2"/>
      </w:pPr>
      <w:r>
        <w:rPr>
          <w:rFonts w:ascii="黑体" w:hAnsi="黑体" w:eastAsia="黑体"/>
          <w:sz w:val="28"/>
        </w:rPr>
        <w:t>复杂公式 / Complex Formulas</w:t>
      </w:r>
    </w:p>
    <w:p>
      <w:pPr>
        <w:spacing w:before="120" w:after="120"/>
        <w:jc w:val="center"/>
      </w:pPr>
      <w:r>
        <w:rPr>
          <w:rFonts w:ascii="Cambria Math" w:hAnsi="Cambria Math"/>
          <w:i/>
        </w:rPr>
        <w:t>L(\theta) = \mathbb{E}_{(s,a) \sim \pi_{\theta_{old}}} \left[ \frac{\pi_\theta(a|s)}{\pi_{\theta_{old}}(a|s)} A^{\pi_{\theta_{old}}}(s,a) \right]</w:t>
      </w:r>
    </w:p>
    <w:p>
      <w:pPr>
        <w:pStyle w:val="Heading1"/>
      </w:pPr>
      <w:r>
        <w:rPr>
          <w:rFonts w:ascii="黑体" w:hAnsi="黑体" w:eastAsia="黑体"/>
          <w:sz w:val="32"/>
        </w:rPr>
        <w:t>行内公式 / Inline Formulas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 xml:space="preserve">著名的质能方程 </w:t>
      </w:r>
      <w:r>
        <w:rPr>
          <w:rFonts w:ascii="Cambria Math" w:hAnsi="Cambria Math"/>
          <w:i/>
          <w:sz w:val="24"/>
        </w:rPr>
        <w:t>E = mc^2</w:t>
      </w:r>
      <w:r>
        <w:rPr>
          <w:rFonts w:ascii="宋体" w:hAnsi="宋体" w:eastAsia="宋体"/>
          <w:b w:val="0"/>
          <w:sz w:val="24"/>
        </w:rPr>
        <w:t xml:space="preserve"> 由爱因斯坦提出。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 xml:space="preserve">The quadratic formula is </w:t>
      </w:r>
      <w:r>
        <w:rPr>
          <w:rFonts w:ascii="Cambria Math" w:hAnsi="Cambria Math"/>
          <w:i/>
          <w:sz w:val="24"/>
        </w:rPr>
        <w:t>x = \frac{-b \pm \sqrt{b^2 - 4ac}}{2a}</w:t>
      </w:r>
      <w:r>
        <w:rPr>
          <w:rFonts w:ascii="宋体" w:hAnsi="宋体" w:eastAsia="宋体"/>
          <w:b w:val="0"/>
          <w:sz w:val="24"/>
        </w:rPr>
        <w:t>.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 xml:space="preserve">函数 </w:t>
      </w:r>
      <w:r>
        <w:rPr>
          <w:rFonts w:ascii="Cambria Math" w:hAnsi="Cambria Math"/>
          <w:i/>
          <w:sz w:val="24"/>
        </w:rPr>
        <w:t>f(x) = \sin(x) + \cos(x)</w:t>
      </w:r>
      <w:r>
        <w:rPr>
          <w:rFonts w:ascii="宋体" w:hAnsi="宋体" w:eastAsia="宋体"/>
          <w:b w:val="0"/>
          <w:sz w:val="24"/>
        </w:rPr>
        <w:t xml:space="preserve"> 是周期函数。</w:t>
      </w:r>
    </w:p>
    <w:p>
      <w:pPr>
        <w:pStyle w:val="Heading1"/>
      </w:pPr>
      <w:r>
        <w:rPr>
          <w:rFonts w:ascii="黑体" w:hAnsi="黑体" w:eastAsia="黑体"/>
          <w:sz w:val="32"/>
        </w:rPr>
        <w:t>希腊字母 / Greek Letters</w:t>
      </w:r>
    </w:p>
    <w:p>
      <w:pPr>
        <w:pStyle w:val="ListBullet"/>
      </w:pPr>
      <w:r>
        <w:rPr>
          <w:rFonts w:ascii="Cambria Math" w:hAnsi="Cambria Math"/>
          <w:i/>
          <w:sz w:val="24"/>
        </w:rPr>
        <w:t>\alpha</w:t>
      </w:r>
      <w:r>
        <w:rPr>
          <w:rFonts w:ascii="宋体" w:hAnsi="宋体" w:eastAsia="宋体"/>
          <w:b w:val="0"/>
          <w:sz w:val="24"/>
        </w:rPr>
        <w:t xml:space="preserve"> (alpha) - 学习率</w:t>
      </w:r>
    </w:p>
    <w:p>
      <w:pPr>
        <w:pStyle w:val="ListBullet"/>
      </w:pPr>
      <w:r>
        <w:rPr>
          <w:rFonts w:ascii="Cambria Math" w:hAnsi="Cambria Math"/>
          <w:i/>
          <w:sz w:val="24"/>
        </w:rPr>
        <w:t>\beta</w:t>
      </w:r>
      <w:r>
        <w:rPr>
          <w:rFonts w:ascii="宋体" w:hAnsi="宋体" w:eastAsia="宋体"/>
          <w:b w:val="0"/>
          <w:sz w:val="24"/>
        </w:rPr>
        <w:t xml:space="preserve"> (beta) - 折扣因子</w:t>
      </w:r>
    </w:p>
    <w:p>
      <w:pPr>
        <w:pStyle w:val="ListBullet"/>
      </w:pPr>
      <w:r>
        <w:rPr>
          <w:rFonts w:ascii="Cambria Math" w:hAnsi="Cambria Math"/>
          <w:i/>
          <w:sz w:val="24"/>
        </w:rPr>
        <w:t>\gamma</w:t>
      </w:r>
      <w:r>
        <w:rPr>
          <w:rFonts w:ascii="宋体" w:hAnsi="宋体" w:eastAsia="宋体"/>
          <w:b w:val="0"/>
          <w:sz w:val="24"/>
        </w:rPr>
        <w:t xml:space="preserve"> (gamma) - 衰减率</w:t>
      </w:r>
    </w:p>
    <w:p>
      <w:pPr>
        <w:pStyle w:val="ListBullet"/>
      </w:pPr>
      <w:r>
        <w:rPr>
          <w:rFonts w:ascii="Cambria Math" w:hAnsi="Cambria Math"/>
          <w:i/>
          <w:sz w:val="24"/>
        </w:rPr>
        <w:t>\theta</w:t>
      </w:r>
      <w:r>
        <w:rPr>
          <w:rFonts w:ascii="宋体" w:hAnsi="宋体" w:eastAsia="宋体"/>
          <w:b w:val="0"/>
          <w:sz w:val="24"/>
        </w:rPr>
        <w:t xml:space="preserve"> (theta) - 参数</w:t>
      </w:r>
    </w:p>
    <w:p>
      <w:pPr>
        <w:pStyle w:val="ListBullet"/>
      </w:pPr>
      <w:r>
        <w:rPr>
          <w:rFonts w:ascii="Cambria Math" w:hAnsi="Cambria Math"/>
          <w:i/>
          <w:sz w:val="24"/>
        </w:rPr>
        <w:t>\pi</w:t>
      </w:r>
      <w:r>
        <w:rPr>
          <w:rFonts w:ascii="宋体" w:hAnsi="宋体" w:eastAsia="宋体"/>
          <w:b w:val="0"/>
          <w:sz w:val="24"/>
        </w:rPr>
        <w:t xml:space="preserve"> (pi) - 策略函数</w:t>
      </w:r>
    </w:p>
    <w:p>
      <w:pPr>
        <w:pStyle w:val="ListBullet"/>
      </w:pPr>
      <w:r>
        <w:rPr>
          <w:rFonts w:ascii="Cambria Math" w:hAnsi="Cambria Math"/>
          <w:i/>
          <w:sz w:val="24"/>
        </w:rPr>
        <w:t>\lambda</w:t>
      </w:r>
      <w:r>
        <w:rPr>
          <w:rFonts w:ascii="宋体" w:hAnsi="宋体" w:eastAsia="宋体"/>
          <w:b w:val="0"/>
          <w:sz w:val="24"/>
        </w:rPr>
        <w:t xml:space="preserve"> (lambda) - 正则化系数</w:t>
      </w:r>
    </w:p>
    <w:p>
      <w:pPr>
        <w:pStyle w:val="Heading1"/>
      </w:pPr>
      <w:r>
        <w:rPr>
          <w:rFonts w:ascii="黑体" w:hAnsi="黑体" w:eastAsia="黑体"/>
          <w:sz w:val="32"/>
        </w:rPr>
        <w:t>下标与上标 / Subscripts and Superscripts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 xml:space="preserve">变量 </w:t>
      </w:r>
      <w:r>
        <w:rPr>
          <w:rFonts w:ascii="Cambria Math" w:hAnsi="Cambria Math"/>
          <w:i/>
          <w:sz w:val="24"/>
        </w:rPr>
        <w:t>x_t</w:t>
      </w:r>
      <w:r>
        <w:rPr>
          <w:rFonts w:ascii="宋体" w:hAnsi="宋体" w:eastAsia="宋体"/>
          <w:b w:val="0"/>
          <w:sz w:val="24"/>
        </w:rPr>
        <w:t xml:space="preserve"> 表示时刻 </w:t>
      </w:r>
      <w:r>
        <w:rPr>
          <w:rFonts w:ascii="Cambria Math" w:hAnsi="Cambria Math"/>
          <w:i/>
          <w:sz w:val="24"/>
        </w:rPr>
        <w:t>t</w:t>
      </w:r>
      <w:r>
        <w:rPr>
          <w:rFonts w:ascii="宋体" w:hAnsi="宋体" w:eastAsia="宋体"/>
          <w:b w:val="0"/>
          <w:sz w:val="24"/>
        </w:rPr>
        <w:t xml:space="preserve"> 的状态。</w:t>
      </w:r>
    </w:p>
    <w:p>
      <w:pPr>
        <w:ind w:firstLine="482"/>
      </w:pPr>
      <w:r>
        <w:rPr>
          <w:rFonts w:ascii="Cambria Math" w:hAnsi="Cambria Math"/>
          <w:i/>
          <w:sz w:val="24"/>
        </w:rPr>
        <w:t>W^{(k)}</w:t>
      </w:r>
      <w:r>
        <w:rPr>
          <w:rFonts w:ascii="宋体" w:hAnsi="宋体" w:eastAsia="宋体"/>
          <w:b w:val="0"/>
          <w:sz w:val="24"/>
        </w:rPr>
        <w:t xml:space="preserve"> 是第 </w:t>
      </w:r>
      <w:r>
        <w:rPr>
          <w:rFonts w:ascii="Cambria Math" w:hAnsi="Cambria Math"/>
          <w:i/>
          <w:sz w:val="24"/>
        </w:rPr>
        <w:t>k</w:t>
      </w:r>
      <w:r>
        <w:rPr>
          <w:rFonts w:ascii="宋体" w:hAnsi="宋体" w:eastAsia="宋体"/>
          <w:b w:val="0"/>
          <w:sz w:val="24"/>
        </w:rPr>
        <w:t xml:space="preserve"> 层的权重矩阵。</w:t>
      </w:r>
    </w:p>
    <w:p>
      <w:pPr>
        <w:ind w:firstLine="482"/>
      </w:pPr>
      <w:r>
        <w:rPr>
          <w:rFonts w:ascii="Cambria Math" w:hAnsi="Cambria Math"/>
          <w:i/>
          <w:sz w:val="24"/>
        </w:rPr>
        <w:t>h_i^{(l)}</w:t>
      </w:r>
      <w:r>
        <w:rPr>
          <w:rFonts w:ascii="宋体" w:hAnsi="宋体" w:eastAsia="宋体"/>
          <w:b w:val="0"/>
          <w:sz w:val="24"/>
        </w:rPr>
        <w:t xml:space="preserve"> 表示第 </w:t>
      </w:r>
      <w:r>
        <w:rPr>
          <w:rFonts w:ascii="Cambria Math" w:hAnsi="Cambria Math"/>
          <w:i/>
          <w:sz w:val="24"/>
        </w:rPr>
        <w:t>l</w:t>
      </w:r>
      <w:r>
        <w:rPr>
          <w:rFonts w:ascii="宋体" w:hAnsi="宋体" w:eastAsia="宋体"/>
          <w:b w:val="0"/>
          <w:sz w:val="24"/>
        </w:rPr>
        <w:t xml:space="preserve"> 层节点 </w:t>
      </w:r>
      <w:r>
        <w:rPr>
          <w:rFonts w:ascii="Cambria Math" w:hAnsi="Cambria Math"/>
          <w:i/>
          <w:sz w:val="24"/>
        </w:rPr>
        <w:t>i</w:t>
      </w:r>
      <w:r>
        <w:rPr>
          <w:rFonts w:ascii="宋体" w:hAnsi="宋体" w:eastAsia="宋体"/>
          <w:b w:val="0"/>
          <w:sz w:val="24"/>
        </w:rPr>
        <w:t xml:space="preserve"> 的隐藏状态。</w:t>
      </w:r>
    </w:p>
    <w:p>
      <w:pPr>
        <w:pStyle w:val="Heading1"/>
      </w:pPr>
      <w:r>
        <w:rPr>
          <w:rFonts w:ascii="黑体" w:hAnsi="黑体" w:eastAsia="黑体"/>
          <w:sz w:val="32"/>
        </w:rPr>
        <w:t>表格 /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符号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含义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公式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$\alpha$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学习率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$\theta \leftarrow \theta - \alpha \nabla L$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$\gamma$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折扣因子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$R = \sum_{t=0}^{\infty} \gamma^t r_t$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$\epsilon$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探索率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$\epsilon$-greedy 策略</w:t>
            </w:r>
          </w:p>
        </w:tc>
      </w:tr>
    </w:tbl>
    <w:p>
      <w:pPr>
        <w:ind w:firstLine="482"/>
      </w:pPr>
      <w:r>
        <w:rPr>
          <w:rFonts w:ascii="宋体" w:hAnsi="宋体" w:eastAsia="宋体"/>
          <w:b w:val="0"/>
          <w:sz w:val="24"/>
        </w:rPr>
        <w:t>转换完成后，请在 Word 中双击任意公式以验证其可编辑性。</w:t>
      </w:r>
    </w:p>
    <w:p>
      <w:pPr>
        <w:ind w:firstLine="482"/>
      </w:pPr>
      <w:r>
        <w:rPr>
          <w:rFonts w:ascii="宋体" w:hAnsi="宋体" w:eastAsia="宋体"/>
          <w:b w:val="0"/>
          <w:sz w:val="24"/>
        </w:rPr>
        <w:t>After conversion, double-click any formula in Word to verify it's editable.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