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江苏润盛</w:t>
        <w:br/>
        <w:t>点位表与远程测试报告</w:t>
      </w:r>
    </w:p>
    <w:p>
      <w:pPr>
        <w:pStyle w:val="Subtitle"/>
      </w:pPr>
      <w:r>
        <w:t>签名部署、实机只读采集、数据库写入复验及未决问题</w:t>
      </w:r>
    </w:p>
    <w:p>
      <w:pPr>
        <w:pStyle w:val="Metadata"/>
      </w:pPr>
      <w:r>
        <w:t>记录日期：2026年9月7日    文档版本：1.0</w:t>
      </w:r>
    </w:p>
    <w:p>
      <w:pPr>
        <w:pStyle w:val="Metadata"/>
      </w:pPr>
      <w:r>
        <w:t>目标机：WIN-OAUCM8UQUGH / 100.109.90.21    软件版本：deploy-20260907.1</w:t>
      </w:r>
    </w:p>
    <w:p>
      <w:pPr>
        <w:pStyle w:val="Metadata"/>
      </w:pPr>
      <w:r>
        <w:t>证据截止：2026-09-07 11:40:34（北京时间，UTC+8）</w:t>
      </w:r>
    </w:p>
    <w:p>
      <w:pPr>
        <w:pStyle w:val="Metadata"/>
      </w:pPr>
      <w:r>
        <w:t>本文件归档既有测试结果；编制文档期间未新增远程操作。</w:t>
      </w:r>
    </w:p>
    <w:p>
      <w:pPr>
        <w:pStyle w:val="Heading1"/>
      </w:pPr>
      <w:r>
        <w:t>一、结论概览</w:t>
      </w:r>
    </w:p>
    <w:p>
      <w:pPr>
        <w:pStyle w:val="Lead"/>
      </w:pPr>
      <w:r>
        <w:t>已完成签名部署和本轮批准的验证范围。软件修复与原始值存储通过，但尚未完成全部生产点位验收。</w:t>
      </w:r>
    </w:p>
    <w:p>
      <w:pPr/>
      <w:r>
        <w:t>目标机五个服务运行，前端HTTP 200，API与采集网关内部就绪检查通过。读取的36个请求地址原值，已在目标机独立测试数据库完成实时表和历史表的准确写入及回读。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8D1DB"/>
          <w:left w:val="single" w:sz="4" w:color="C8D1DB"/>
          <w:bottom w:val="single" w:sz="4" w:color="C8D1DB"/>
          <w:right w:val="single" w:sz="4" w:color="C8D1DB"/>
          <w:insideH w:val="single" w:sz="4" w:color="C8D1DB"/>
          <w:insideV w:val="single" w:sz="4" w:color="C8D1DB"/>
        </w:tblBorders>
      </w:tblPr>
      <w:tblGrid>
        <w:gridCol w:w="2300"/>
        <w:gridCol w:w="2600"/>
        <w:gridCol w:w="4460"/>
      </w:tblGrid>
      <w:tr>
        <w:trPr>
          <w:cantSplit/>
          <w:tblHeader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验证层次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覆盖量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结论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实机只读通信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3次FC3请求 / 36个请求地址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CRC有效；零重试；零设备寄存器写入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独立测试库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原值各36条；测试总计126/168条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实时/历史回读一致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候选配置测试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42项寄存器模拟；4项冲突开关量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模拟存储与拒绝保护符合预期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证据一致性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57项核验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全部通过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正式生产采集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账号、设备、点位均未配置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未启用连续轮询；未完成投产验收</w:t>
            </w:r>
          </w:p>
        </w:tc>
      </w:tr>
    </w:tbl>
    <w:p>
      <w:pPr>
        <w:pStyle w:val="TableSource"/>
      </w:pPr>
      <w:r>
        <w:t>表中126/168分别为测试库实时/历史记录总量，不是客户遥测。</w:t>
      </w:r>
    </w:p>
    <w:p>
      <w:pPr>
        <w:pStyle w:val="Heading2"/>
      </w:pPr>
      <w:r>
        <w:t>重要边界</w:t>
      </w:r>
    </w:p>
    <w:p>
      <w:pPr/>
      <w:r>
        <w:t>46行点位来自旧软件的BCMM、CBMM两种型号候选，不代表已安装46个物理点。设备型号、请求地址含义、符号和工程倍率仍需确认。旧换算出现1000℃、9.9Hz等疑点，不能直接作为有效测量值。</w:t>
      </w:r>
    </w:p>
    <w:p>
      <w:pPr>
        <w:pStyle w:val="Note"/>
      </w:pPr>
      <w:r>
        <w:t>阅读顺序：部署与通信 → 数据库及修复 → 未决问题 → 全量候选点位表 → 证据索引。点位表采用横向页面，保留原名称、倍率、单位及逐项结果。</w:t>
      </w:r>
    </w:p>
    <w:p>
      <w:pPr>
        <w:pStyle w:val="Heading1"/>
        <w:pageBreakBefore/>
      </w:pPr>
      <w:r>
        <w:t>二、部署与实机通信</w:t>
      </w:r>
    </w:p>
    <w:p>
      <w:pPr>
        <w:pStyle w:val="Heading2"/>
      </w:pPr>
      <w:r>
        <w:t>部署结果</w:t>
      </w:r>
    </w:p>
    <w:p>
      <w:pPr/>
      <w:r>
        <w:t>新版本于2026-09-07 11:28:19生效，受控升级状态为committed。沿用既有Ed25519签名密钥和发布身份，未绕过签名、完整包文件及镜像身份验证。旧版本deploy-20260905.2及数据库、角色、环境备份均保留。</w:t>
      </w:r>
    </w:p>
    <w:p>
      <w:pPr/>
      <w:r>
        <w:t>正常升级流程重建五个服务容器；没有重启操作系统或Docker Desktop，没有compose down、卷删除或生产数据删除。环境只有五个镜像引用变化，平台及非发布字段未变。数据库迁移头保持0012_alarm_notification_runtime。</w:t>
      </w:r>
    </w:p>
    <w:p>
      <w:pPr>
        <w:pStyle w:val="Note"/>
      </w:pPr>
      <w:r>
        <w:t>发布使用独立干净工作树，未带入其他未提交修改；本轮未推送、创建PR或合并。完整包543,858,089字节，经现有差量方案传输111,421,417字节，重构哈希一致后才执行正常Apply。临时签名进程已停止。</w:t>
      </w:r>
    </w:p>
    <w:p>
      <w:pPr>
        <w:pStyle w:val="Heading2"/>
      </w:pPr>
      <w:r>
        <w:t>物理读取条件</w:t>
      </w:r>
    </w:p>
    <w:p>
      <w:pPr/>
      <w:r>
        <w:t>设备通过FTDI USB转RS485适配器连接。USB身份0403:6001/AI06JYFW，串口别名/dev/ruisheng-rs485；9600波特、8数据位、无校验、1停止位，从站地址1，仅使用FC3读取保持寄存器。</w:t>
      </w:r>
    </w:p>
    <w:p>
      <w:pPr/>
      <w:r>
        <w:t>固定顺序：0..5 → 6..26 → 27..35，后段必须在前段有效后执行；400ms超时、500ms间隔策略，每段最多1次重试，总计最多6次请求，接收上限64字节。原B-06白名单未改。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8D1DB"/>
          <w:left w:val="single" w:sz="4" w:color="C8D1DB"/>
          <w:bottom w:val="single" w:sz="4" w:color="C8D1DB"/>
          <w:right w:val="single" w:sz="4" w:color="C8D1DB"/>
          <w:insideH w:val="single" w:sz="4" w:color="C8D1DB"/>
          <w:insideV w:val="single" w:sz="4" w:color="C8D1DB"/>
        </w:tblBorders>
      </w:tblPr>
      <w:tblGrid>
        <w:gridCol w:w="1400"/>
        <w:gridCol w:w="800"/>
        <w:gridCol w:w="3650"/>
        <w:gridCol w:w="3510"/>
      </w:tblGrid>
      <w:tr>
        <w:trPr>
          <w:cantSplit/>
          <w:tblHeader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请求范围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数量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发送帧（十六进制）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延迟 / 结果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0..5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6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010300000006c5c8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351.418ms；首次成功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6..26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21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0103000600156404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179.888ms；首次成功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27..35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9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0103001b0009f5cb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158.888ms；首次成功</w:t>
            </w:r>
          </w:p>
        </w:tc>
      </w:tr>
    </w:tbl>
    <w:p>
      <w:pPr>
        <w:pStyle w:val="TableSource"/>
      </w:pPr>
      <w:r>
        <w:t>执行时间11:31:08至11:31:10；3次只读请求均CRC有效，0重试、0设备寄存器写操作。36个原值见后文逐项表。</w:t>
      </w:r>
    </w:p>
    <w:p>
      <w:pPr>
        <w:pStyle w:val="Note"/>
      </w:pPr>
      <w:r>
        <w:t>审计attempted_write_bytes=24指发送读取命令的串口字节数，不是写设备寄存器。安装工具时外层命令曾返回1；随后通过安装收据、哈希、独立零I/O预演及实际执行返回0确认安装状态，未把外层异常伪报为成功。B-04生产采集门禁仍为BLOCKED。</w:t>
      </w:r>
    </w:p>
    <w:p>
      <w:pPr>
        <w:pStyle w:val="Heading1"/>
      </w:pPr>
      <w:r>
        <w:t>三、数据库验证、修复与回归</w:t>
      </w:r>
    </w:p>
    <w:p>
      <w:pPr/>
      <w:r>
        <w:t>2026-09-07 11:36:02至11:36:05，在目标机真实PostgreSQL/Timescale服务上建立唯一独立测试库，使用当前已部署GW镜像执行。未替换内存模块，未修改生产容器文件或生产设备/点位配置。</w:t>
      </w:r>
    </w:p>
    <w:p>
      <w:pPr>
        <w:pStyle w:val="CodeText"/>
      </w:pPr>
      <w:r>
        <w:t>保留测试库：test_point_pipeline_20260907_d135806d</w:t>
      </w:r>
    </w:p>
    <w:p>
      <w:pPr/>
      <w:r>
        <w:t>验证链路：Registry → FrameIngestor → BatchWriter → Repository → PostgreSQL/TimescaleDB → SELECT回读。物理原帧回放只保留无符号原值，模拟测试另外验证候选地址和旧倍率的计算过程。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8D1DB"/>
          <w:left w:val="single" w:sz="4" w:color="C8D1DB"/>
          <w:bottom w:val="single" w:sz="4" w:color="C8D1DB"/>
          <w:right w:val="single" w:sz="4" w:color="C8D1DB"/>
          <w:insideH w:val="single" w:sz="4" w:color="C8D1DB"/>
          <w:insideV w:val="single" w:sz="4" w:color="C8D1DB"/>
        </w:tblBorders>
      </w:tblPr>
      <w:tblGrid>
        <w:gridCol w:w="3930"/>
        <w:gridCol w:w="5430"/>
      </w:tblGrid>
      <w:tr>
        <w:trPr>
          <w:cantSplit/>
          <w:tblHeader/>
        </w:trPr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检查项目</w:t>
            </w:r>
          </w:p>
        </w:tc>
        <w:tc>
          <w:tcPr>
            <w:tcW w:type="dxa" w:w="5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实际结果</w:t>
            </w:r>
          </w:p>
        </w:tc>
      </w:tr>
      <w:tr>
        <w:trPr>
          <w:cantSplit/>
        </w:trPr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36个物理原值回放</w:t>
            </w:r>
          </w:p>
        </w:tc>
        <w:tc>
          <w:tcPr>
            <w:tcW w:type="dxa" w:w="5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实时36、历史36；逐地址回读精确一致</w:t>
            </w:r>
          </w:p>
        </w:tc>
      </w:tr>
      <w:tr>
        <w:trPr>
          <w:cantSplit/>
        </w:trPr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42项正数模拟值、倍率与地址</w:t>
            </w:r>
          </w:p>
        </w:tc>
        <w:tc>
          <w:tcPr>
            <w:tcW w:type="dxa" w:w="5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每项实时1、历史2；最新值和时间戳一致</w:t>
            </w:r>
          </w:p>
        </w:tc>
      </w:tr>
      <w:tr>
        <w:trPr>
          <w:cantSplit/>
        </w:trPr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42个旧s16类型输入0xffff</w:t>
            </w:r>
          </w:p>
        </w:tc>
        <w:tc>
          <w:tcPr>
            <w:tcW w:type="dxa" w:w="5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全部拒绝；实时0、历史0，不误写为正65535</w:t>
            </w:r>
          </w:p>
        </w:tc>
      </w:tr>
      <w:tr>
        <w:trPr>
          <w:cantSplit/>
        </w:trPr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4个冲突FC1旧配置</w:t>
            </w:r>
          </w:p>
        </w:tc>
        <w:tc>
          <w:tcPr>
            <w:tcW w:type="dxa" w:w="5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全部拒绝；实时0、历史0、发布0</w:t>
            </w:r>
          </w:p>
        </w:tc>
      </w:tr>
      <w:tr>
        <w:trPr>
          <w:cantSplit/>
        </w:trPr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功能码错配、错误CRC</w:t>
            </w:r>
          </w:p>
        </w:tc>
        <w:tc>
          <w:tcPr>
            <w:tcW w:type="dxa" w:w="5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均拒绝，无数据库记录</w:t>
            </w:r>
          </w:p>
        </w:tc>
      </w:tr>
      <w:tr>
        <w:trPr>
          <w:cantSplit/>
        </w:trPr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取队列记录与停机同时完成</w:t>
            </w:r>
          </w:p>
        </w:tc>
        <w:tc>
          <w:tcPr>
            <w:tcW w:type="dxa" w:w="5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实时1、历史1，已取出记录不丢失</w:t>
            </w:r>
          </w:p>
        </w:tc>
      </w:tr>
      <w:tr>
        <w:trPr>
          <w:cantSplit/>
        </w:trPr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停机排空46条待写记录</w:t>
            </w:r>
          </w:p>
        </w:tc>
        <w:tc>
          <w:tcPr>
            <w:tcW w:type="dxa" w:w="5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实时46、历史46</w:t>
            </w:r>
          </w:p>
        </w:tc>
      </w:tr>
      <w:tr>
        <w:trPr>
          <w:cantSplit/>
        </w:trPr>
        <w:tc>
          <w:tcPr>
            <w:tcW w:type="dxa" w:w="3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历史唯一键冲突事务回滚</w:t>
            </w:r>
          </w:p>
        </w:tc>
        <w:tc>
          <w:tcPr>
            <w:tcW w:type="dxa" w:w="54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实时UPSERT同时回滚；原值保持7</w:t>
            </w:r>
          </w:p>
        </w:tc>
      </w:tr>
    </w:tbl>
    <w:p>
      <w:pPr>
        <w:pStyle w:val="TableSource"/>
      </w:pPr>
      <w:r>
        <w:t>测试总计实时126、历史168条，已独立再次查询。物理原值各36条，其余为诊断用例。测试发布器仅记录内存事件，不向生产Redis发布；因此不等于Redis投递、API权限、浏览器流程或持续轮询验收。</w:t>
      </w:r>
    </w:p>
    <w:p>
      <w:pPr>
        <w:pStyle w:val="Heading2"/>
      </w:pPr>
      <w:r>
        <w:t>已修复并部署的问题</w:t>
      </w:r>
    </w:p>
    <w:p>
      <w:pPr/>
      <w:r>
        <w:t>批量写入：修复队列取值与停机信号同时完成时的丢数问题，先保留已取出的记录再排空队列。采集解码：拒绝尚不支持的类型、冲突开关量配置和点位/响应功能码错配，避免静默写入错误值。此次没有启用旧s16负数解码。</w:t>
      </w:r>
    </w:p>
    <w:p>
      <w:pPr/>
      <w:r>
        <w:t>认证探测工具新增固定三段FC3白名单，并独立核对顺序、前段成功条件、帧内容、重试与总预算；没有开放任意地址扫描或写功能码。</w:t>
      </w:r>
    </w:p>
    <w:p>
      <w:pPr>
        <w:pStyle w:val="Heading2"/>
      </w:pPr>
      <w:r>
        <w:t>回归和最终状态</w:t>
      </w:r>
    </w:p>
    <w:p>
      <w:pPr>
        <w:pStyle w:val="Note"/>
      </w:pPr>
      <w:r>
        <w:t>发布/签名/升级/Modbus/GW组合654通过、2项POSIX专属跳过；API/shared 593通过、8项既有跳过；独立操作端升级套件60通过。测试范围可能重叠，不作独立总数相加。Ruff、mypy通过。57项证据核验全部通过。</w:t>
      </w:r>
    </w:p>
    <w:p>
      <w:pPr>
        <w:pStyle w:val="Note"/>
      </w:pPr>
      <w:r>
        <w:t>11:40:34最终快照：五服务运行、重启计数均0；API与GW内部全ready、Web 200；无探测/实验容器残留及维护租约。生产用户、设备、点位、实时、历史记录均0；订阅、原串口配置和信任密钥未变。</w:t>
      </w:r>
    </w:p>
    <w:p>
      <w:pPr>
        <w:pStyle w:val="Heading1"/>
      </w:pPr>
      <w:r>
        <w:t>四、未决问题与处理顺序</w:t>
      </w:r>
    </w:p>
    <w:p>
      <w:pPr>
        <w:pStyle w:val="Lead"/>
      </w:pPr>
      <w:r>
        <w:t>以下为后续待办，不是本轮新增批准或已经执行的操作。当前结论维持“原值链路通过，生产点位验收未完成”。</w:t>
      </w:r>
    </w:p>
    <w:p>
      <w:pPr>
        <w:pStyle w:val="Heading2"/>
      </w:pPr>
      <w:r>
        <w:t>U01  型号与地址响应行为未确认（阻断投产）</w:t>
      </w:r>
    </w:p>
    <w:p>
      <w:pPr/>
      <w:r>
        <w:t>BCMM与CBMM仍是备选型号。三个不同请求区间的响应均以[3,0]开头；Modbus读响应不回显起始地址，CRC只能证明帧完整，不能证明设备按起点返回了正确寄存器。需通过有界重叠区间测试和原协议/固件资料核实。</w:t>
      </w:r>
    </w:p>
    <w:p>
      <w:pPr>
        <w:pStyle w:val="Heading2"/>
      </w:pPr>
      <w:r>
        <w:t>U02  工程倍率、单位及有符号语义未确认（阻断投产）</w:t>
      </w:r>
    </w:p>
    <w:p>
      <w:pPr/>
      <w:r>
        <w:t>地址26原值10000按旧倍率会成为1000℃，地址23原值990会成为9.9Hz。不能据此认定真实温度或频率，也不能擅改倍率凑数。旧s16目前被拒绝，需要先确认协议再决定是否实现和验证负值解码。</w:t>
      </w:r>
    </w:p>
    <w:p>
      <w:pPr>
        <w:pStyle w:val="Heading2"/>
      </w:pPr>
      <w:r>
        <w:t>U03  四个FC1候选冲突且未实测（待确认）</w:t>
      </w:r>
    </w:p>
    <w:p>
      <w:pPr/>
      <w:r>
        <w:t>旧配置同时使用s16及地址/位号组合，存在解释冲突；只完成软件拒绝测试，未向设备发送FC1请求。应先确认实际型号是否有这些点，再按受控只读范围测试。</w:t>
      </w:r>
    </w:p>
    <w:p>
      <w:pPr>
        <w:pStyle w:val="Heading2"/>
      </w:pPr>
      <w:r>
        <w:t>U04  正式采集及完整业务链路未验收（未投用）</w:t>
      </w:r>
    </w:p>
    <w:p>
      <w:pPr/>
      <w:r>
        <w:t>生产用户、设备、点位尚未配置，连续轮询未启用。独立数据库回放不能替代生产Redis投递、API授权、浏览器业务操作及数据库持续增量验收。</w:t>
      </w:r>
    </w:p>
    <w:p>
      <w:pPr>
        <w:pStyle w:val="Heading2"/>
      </w:pPr>
      <w:r>
        <w:t>U05  长时间通信稳定性未验证（待观察）</w:t>
      </w:r>
    </w:p>
    <w:p>
      <w:pPr/>
      <w:r>
        <w:t>本轮仅3次读取全部成功。上一阶段曾有一次截短响应并重试恢复，根因尚未确定；不据此断言长期稳定，也不盲目改变波特率或接线。</w:t>
      </w:r>
    </w:p>
    <w:p>
      <w:pPr>
        <w:pStyle w:val="Heading2"/>
      </w:pPr>
      <w:r>
        <w:t>建议推进顺序</w:t>
      </w:r>
    </w:p>
    <w:p>
      <w:pPr>
        <w:pStyle w:val="ActionList"/>
        <w:numPr>
          <w:ilvl w:val="0"/>
          <w:numId w:val="10"/>
        </w:numPr>
      </w:pPr>
      <w:r>
        <w:t>先核实设备型号和地址相关性：制定并批准固定、低频、有界、无写入的重叠区间读取方案，保留原始请求与响应。</w:t>
      </w:r>
    </w:p>
    <w:p>
      <w:pPr>
        <w:pStyle w:val="ActionList"/>
        <w:numPr>
          <w:ilvl w:val="0"/>
          <w:numId w:val="10"/>
        </w:numPr>
      </w:pPr>
      <w:r>
        <w:t>再确认点名、单位、倍率及符号语义，解决适用的FC1配置；以协议资料和可控实物参考完成对应验证。</w:t>
      </w:r>
    </w:p>
    <w:p>
      <w:pPr>
        <w:pStyle w:val="ActionList"/>
        <w:numPr>
          <w:ilvl w:val="0"/>
          <w:numId w:val="10"/>
        </w:numPr>
      </w:pPr>
      <w:r>
        <w:t>最后导入已确认点位，启用经过批准的连续采集，逐点验收生产实时/历史增量、时间戳、重连及前后端显示。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</w:sectPr>
      </w:pPr>
    </w:p>
    <w:p>
      <w:pPr>
        <w:pStyle w:val="Heading1"/>
      </w:pPr>
      <w:r>
        <w:t>五、全量候选点位表</w:t>
      </w:r>
    </w:p>
    <w:p>
      <w:pPr>
        <w:pStyle w:val="Note"/>
      </w:pPr>
      <w:r>
        <w:t>地址均为十进制、零基请求地址。42项FC3旧类型均为s16；点偏移0、用户倍率1、用户偏移0。旧倍率及单位仅作资料记录，原值不换算为工程值。全部候选禁止直接导入生产。</w:t>
      </w:r>
    </w:p>
    <w:p>
      <w:pPr>
        <w:pStyle w:val="Note"/>
      </w:pPr>
      <w:r>
        <w:t>原值R/H：实时/历史各1条回读一致；不同型号共用地址时引用同一份原值证据。模拟R/H：该候选用受支持的无符号“字”类型及旧倍率输入两次，实时保留最新1条、历史2条。42项旧s16输入0xffff的拒绝测试均通过，不代表已经支持负数。</w:t>
      </w:r>
    </w:p>
    <w:p>
      <w:pPr>
        <w:pStyle w:val="Heading2"/>
      </w:pPr>
      <w:r>
        <w:t>FC3寄存器候选：42行（BCMM 6行、CBMM 36行）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8D1DB"/>
          <w:left w:val="single" w:sz="4" w:color="C8D1DB"/>
          <w:bottom w:val="single" w:sz="4" w:color="C8D1DB"/>
          <w:right w:val="single" w:sz="4" w:color="C8D1DB"/>
          <w:insideH w:val="single" w:sz="4" w:color="C8D1DB"/>
          <w:insideV w:val="single" w:sz="4" w:color="C8D1DB"/>
        </w:tblBorders>
      </w:tblPr>
      <w:tblGrid>
        <w:gridCol w:w="1250"/>
        <w:gridCol w:w="2100"/>
        <w:gridCol w:w="850"/>
        <w:gridCol w:w="1750"/>
        <w:gridCol w:w="800"/>
        <w:gridCol w:w="1300"/>
        <w:gridCol w:w="1300"/>
        <w:gridCol w:w="3610"/>
      </w:tblGrid>
      <w:tr>
        <w:trPr>
          <w:cantSplit/>
          <w:tblHeader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候选ID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旧名称 / 标签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FC/</w:t>
              <w:br/>
              <w:t>地址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旧倍率 / 单位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原值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原值R/H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模拟R/H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状态 / 未决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BCMM-000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T1 / 1路温度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3/0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℃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区间首值重复；映射待核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BCMM-001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T2 / 2路温度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3/1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℃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BCMM-002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T3 / 3路温度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3/2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℃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BCMM-003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T4 / 4路温度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3/3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℃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BCMM-004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T5 / 5路温度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3/4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℃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BCMM-005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R1 / 1路湿度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3/5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%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CBMM-000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DI / DI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3/0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 / 未注明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区间首值重复；映射待核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CBMM-001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DO / DO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3/1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 / 未注明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CBMM-002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UA / A相电压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3/2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V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CBMM-003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UB / B相电压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3/3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V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CBMM-004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UC / C相电压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3/4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V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CBMM-005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IA / A相电流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3/5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0.01 / A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CBMM-006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IB / B相电流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3/6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0.01 / A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区间首值重复；映射待核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CBMM-007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IC / C相电流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3/7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0.01 / A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CBMM-008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PA / A相有功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3/8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0.001 / Kw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CBMM-009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PB / B相有功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3/9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0.001 / Kw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PC / C相有功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3/10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0.001 / Kw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CBMM-011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QA / A相无功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3/11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0.001 / Kvar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CBMM-012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QB / B相无功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3/12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0.001 / Kvar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CBMM-013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QC / C相无功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3/13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0.001 / Kvar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CBMM-014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PFA / A相功率因数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3/14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0.001 / 未注明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CBMM-015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PFB / B相功率因数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3/15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0.001 / 未注明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CBMM-016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PFC / C相功率因数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3/16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0.001 / 未注明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CBMM-017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HUA / A相电压谐波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3/17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0.01 / %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CBMM-018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HUB / B相电压谐波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3/18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0.01 / %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CBMM-019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HUC / C相电压谐波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3/19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0.01 / %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CBMM-020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HIA / A相电流谐波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3/20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0.01 / %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CBMM-021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HIB / B相电流谐波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3/21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0.01 / %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CBMM-022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HIC / C相电流谐波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3/22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0.01 / %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990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CBMM-023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UF / 电网频率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3/23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0.01 / HZ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990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疑点：旧换算9.9Hz，不可确认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CBMM-024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EP / 有功电量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3/24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 / Kwh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990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CBMM-025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EQ / 无功电量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3/25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 / Kwh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9800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CBMM-026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T1 / 1路温度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3/26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℃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10000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疑点：旧换算1000℃，不可采信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CBMM-027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T2 / 2路温度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3/27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℃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区间首值重复；映射待核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CBMM-028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T3 / 3路温度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3/28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℃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CBMM-029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T4 / 4路温度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3/29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℃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CBMM-030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T5 / 5路温度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3/30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℃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CBMM-031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T6 / 6路温度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3/31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℃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CBMM-032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T7 / 7路温度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3/32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℃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CBMM-033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T8 / 8路温度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3/33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℃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CBMM-034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R1 / 1路湿度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3/34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0.1 / %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CBMM-035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LD / 漏电电流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3/35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0.001 / A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 通过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1/2 通过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型号、映射及工程值未定</w:t>
            </w:r>
          </w:p>
        </w:tc>
      </w:tr>
    </w:tbl>
    <w:p>
      <w:pPr>
        <w:pStyle w:val="TableSource"/>
      </w:pPr>
      <w:r>
        <w:t>BCMM与CBMM在0..5地址重合，不能因此认定两个型号同时存在。地址0、6、27对应各区间首值3，三个响应前两项均[3,0]；旧换算1000℃和9.9Hz均未证实。详见U01、U02。</w:t>
      </w:r>
    </w:p>
    <w:p>
      <w:pPr>
        <w:pStyle w:val="Heading2"/>
      </w:pPr>
      <w:r>
        <w:t>CBMM开关量候选：4行，物理采集未测试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8D1DB"/>
          <w:left w:val="single" w:sz="4" w:color="C8D1DB"/>
          <w:bottom w:val="single" w:sz="4" w:color="C8D1DB"/>
          <w:right w:val="single" w:sz="4" w:color="C8D1DB"/>
          <w:insideH w:val="single" w:sz="4" w:color="C8D1DB"/>
          <w:insideV w:val="single" w:sz="4" w:color="C8D1DB"/>
        </w:tblBorders>
      </w:tblPr>
      <w:tblGrid>
        <w:gridCol w:w="1400"/>
        <w:gridCol w:w="2450"/>
        <w:gridCol w:w="1250"/>
        <w:gridCol w:w="1000"/>
        <w:gridCol w:w="3350"/>
        <w:gridCol w:w="3510"/>
      </w:tblGrid>
      <w:tr>
        <w:trPr>
          <w:cantSplit/>
          <w:tblHeader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候选ID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旧名称 / 标签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FC/地址/位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实机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软件与数据库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未决问题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CBMM-036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DI1 / DI1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1/0/0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未测试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拒绝通过；实时0、历史0、发布0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s16及地址/位号冲突；禁止导入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CBMM-037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DI2 / DI2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1/0/1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未测试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拒绝通过；实时0、历史0、发布0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s16及地址/位号冲突；禁止导入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CBMM-038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1路电流 / 开关1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1/1/0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未测试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拒绝通过；实时0、历史0、发布0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s16及地址/位号冲突；禁止导入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CBMM-039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2路电流 / 开关2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1/1/1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  <w:jc w:val="center"/>
            </w:pPr>
            <w:r>
              <w:t>未测试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拒绝通过；实时0、历史0、发布0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s16及地址/位号冲突；禁止导入</w:t>
            </w:r>
          </w:p>
        </w:tc>
      </w:tr>
    </w:tbl>
    <w:p>
      <w:pPr>
        <w:pStyle w:val="TableSource"/>
      </w:pPr>
      <w:r>
        <w:t>以上4行只完成旧配置的拒绝测试，未向设备发送FC1请求；不得将其标为实机采集通过。</w:t>
      </w:r>
    </w:p>
    <w:p>
      <w:pPr>
        <w:sectPr>
          <w:pgSz w:w="15840" w:h="12240" w:orient="landscape"/>
          <w:pgMar w:top="1440" w:right="1440" w:bottom="1440" w:left="1440" w:header="708" w:footer="708" w:gutter="0"/>
          <w:cols w:space="720"/>
        </w:sectPr>
      </w:pPr>
    </w:p>
    <w:p>
      <w:pPr>
        <w:pStyle w:val="Heading1"/>
      </w:pPr>
      <w:r>
        <w:t>六、证据与追溯信息</w:t>
      </w:r>
    </w:p>
    <w:p>
      <w:pPr>
        <w:pStyle w:val="Note"/>
      </w:pPr>
      <w:r>
        <w:t>证据截止2026-09-07 11:40:34。以下索引指向项目内保留记录，Word文档汇总主要结论和全量候选行；具体帧、逐条模拟值和数据库时间戳以原始JSON/JSONL为准。</w:t>
      </w:r>
    </w:p>
    <w:p>
      <w:pPr>
        <w:pStyle w:val="Metadata"/>
      </w:pPr>
      <w:r>
        <w:t>本地证据目录：</w:t>
      </w:r>
    </w:p>
    <w:p>
      <w:pPr>
        <w:pStyle w:val="CodeText"/>
      </w:pPr>
      <w:r>
        <w:t>D:/江苏润盛/docs/superpowers/specs/evidence/point-release-20260907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8D1DB"/>
          <w:left w:val="single" w:sz="4" w:color="C8D1DB"/>
          <w:bottom w:val="single" w:sz="4" w:color="C8D1DB"/>
          <w:right w:val="single" w:sz="4" w:color="C8D1DB"/>
          <w:insideH w:val="single" w:sz="4" w:color="C8D1DB"/>
          <w:insideV w:val="single" w:sz="4" w:color="C8D1DB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文件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Header"/>
              <w:keepNext/>
              <w:jc w:val="center"/>
            </w:pPr>
            <w:r>
              <w:t>内容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POINT-TABLE.md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46行候选映射及逐项结果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README.md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本轮签名部署和复验记录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target-pipeline-results.json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实际部署代码的逐项原值、模拟值、拒绝及数据库回读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target-final-state.json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最终服务、镜像、哈希、生产计数及健康快照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validation-summary.json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57项一致性核验结果及目标机副本哈希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release-build.json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签名发布标识、构建和本地回归信息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point-release-20260907-physical.jsonl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三段请求、完整响应、CRC、原值与时间戳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modbus-probe-release.json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pStyle w:val="TableText"/>
              <w:keepNext w:val="0"/>
            </w:pPr>
            <w:r>
              <w:t>探测工具安装收据，绑定当前镜像</w:t>
            </w:r>
          </w:p>
        </w:tc>
      </w:tr>
    </w:tbl>
    <w:p>
      <w:pPr>
        <w:pStyle w:val="TableSource"/>
      </w:pPr>
      <w:r>
        <w:t>同目录另保留full-upgrade操作日志及modbus-runner预演/实测审计，文件名带下列对应操作ID。</w:t>
      </w:r>
    </w:p>
    <w:p>
      <w:pPr>
        <w:pStyle w:val="Heading2"/>
      </w:pPr>
      <w:r>
        <w:t>版本与运行标识</w:t>
      </w:r>
    </w:p>
    <w:p>
      <w:pPr>
        <w:pStyle w:val="CodeText"/>
      </w:pPr>
      <w:r>
        <w:t>源提交：2150b5ee904760ce0af4483c201009b8744669a2</w:t>
      </w:r>
    </w:p>
    <w:p>
      <w:pPr>
        <w:pStyle w:val="CodeText"/>
      </w:pPr>
      <w:r>
        <w:t>逻辑标识：sha256:961c3a28b4b1380c2e100c04b70f9b2a825ba2e2cda05960a77d1ee43218a810</w:t>
      </w:r>
    </w:p>
    <w:p>
      <w:pPr>
        <w:pStyle w:val="CodeText"/>
      </w:pPr>
      <w:r>
        <w:t>部署操作：1c95b8c8-8f92-4e8b-962f-207800c7e9c9</w:t>
      </w:r>
    </w:p>
    <w:p>
      <w:pPr>
        <w:pStyle w:val="CodeText"/>
      </w:pPr>
      <w:r>
        <w:t>实机运行：3dec620b-2b08-4b4f-bc0c-b2c14482e92e</w:t>
      </w:r>
    </w:p>
    <w:p>
      <w:pPr>
        <w:pStyle w:val="CodeText"/>
      </w:pPr>
      <w:r>
        <w:t>预演运行：ba1ac2a2-f5da-42b9-b25f-aa3dfe088229</w:t>
      </w:r>
    </w:p>
    <w:p>
      <w:pPr>
        <w:pStyle w:val="CodeText"/>
      </w:pPr>
      <w:r>
        <w:t>发布身份：ruisheng-release；命名空间：ruisheng-candidate-v1</w:t>
      </w:r>
    </w:p>
    <w:p>
      <w:pPr>
        <w:pStyle w:val="CodeText"/>
      </w:pPr>
      <w:r>
        <w:t>信任指纹：SHA256:Go/TiuSZ89zJvTCzVick7GT6gP6yrOK+CRdYMRp07Fk</w:t>
      </w:r>
    </w:p>
    <w:p>
      <w:pPr>
        <w:pStyle w:val="Heading2"/>
      </w:pPr>
      <w:r>
        <w:t>目标机保留材料</w:t>
      </w:r>
    </w:p>
    <w:p>
      <w:pPr>
        <w:pStyle w:val="CodeText"/>
      </w:pPr>
      <w:r>
        <w:t>当前候选：C:/Ruisheng/candidates/deploy-20260907.1</w:t>
      </w:r>
    </w:p>
    <w:p>
      <w:pPr>
        <w:pStyle w:val="CodeText"/>
      </w:pPr>
      <w:r>
        <w:t>站点：C:/Ruisheng/candidates/site-deploy-20260831.1</w:t>
      </w:r>
    </w:p>
    <w:p>
      <w:pPr>
        <w:pStyle w:val="Note"/>
      </w:pPr>
      <w:r>
        <w:t>备份位于上述站点的backups/部署操作ID目录，含ruisheng.dump、roles.sql、.env.prod.before。原配置和旧版本保留，未将环境或连接密码纳入本文件。</w:t>
      </w:r>
    </w:p>
    <w:p>
      <w:pPr>
        <w:pStyle w:val="Note"/>
      </w:pPr>
      <w:r>
        <w:t>原始候选来源：相邻point-pipeline-20260907/candidate-summary.json；更早的旧软件提取证据位于b08-20260905/legacy-point-candidates.json。上一阶段报告保留了旧版失败与临时修复对照，本文件以本轮已部署复验结果为准。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项目测试记录  ·  第 </w:t>
    </w:r>
    <w:fldSimple w:instr="PAGE">
      <w:r>
        <w:t>1</w:t>
      </w:r>
    </w:fldSimple>
    <w:r>
      <w:t xml:space="preserve"> 页 / 共 </w:t>
    </w:r>
    <w:fldSimple w:instr="NUMPAGES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江苏润盛  |  点位与采集链路验证  |  2026-09-07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540" w:hanging="271"/>
        <w:tabs>
          <w:tab w:val="num" w:pos="540"/>
        </w:tabs>
        <w:spacing w:before="0" w:after="80" w:line="340" w:lineRule="exact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40" w:lineRule="exact"/>
      <w:jc w:val="left"/>
      <w:snapToGrid w:val="0"/>
    </w:pPr>
    <w:rPr>
      <w:rFonts w:ascii="Calibri" w:hAnsi="Calibri" w:cs="Calibri" w:eastAsia="Microsoft YaHei"/>
      <w:b w:val="0"/>
      <w:i w:val="0"/>
      <w:color w:val="202020"/>
      <w:sz w:val="22"/>
      <w:u w:val="none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exact" w:before="0"/>
      <w:jc w:val="left"/>
      <w:snapToGrid w:val="0"/>
    </w:pPr>
    <w:rPr>
      <w:rFonts w:ascii="Calibri" w:hAnsi="Calibri" w:cs="Calibri" w:eastAsia="Microsoft YaHei"/>
      <w:b w:val="0"/>
      <w:i w:val="0"/>
      <w:color w:val="666666"/>
      <w:sz w:val="18"/>
      <w:u w:val="none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exact" w:before="0"/>
      <w:jc w:val="left"/>
      <w:snapToGrid w:val="0"/>
    </w:pPr>
    <w:rPr>
      <w:rFonts w:ascii="Calibri" w:hAnsi="Calibri" w:cs="Calibri" w:eastAsia="Microsoft YaHei"/>
      <w:b w:val="0"/>
      <w:i w:val="0"/>
      <w:color w:val="666666"/>
      <w:sz w:val="18"/>
      <w:u w:val="none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420" w:lineRule="exact"/>
      <w:jc w:val="left"/>
      <w:outlineLvl w:val="0"/>
      <w:snapToGrid w:val="0"/>
    </w:pPr>
    <w:rPr>
      <w:rFonts w:ascii="Calibri" w:hAnsi="Calibri" w:cs="Calibri" w:eastAsia="Microsoft YaHei"/>
      <w:b/>
      <w:bCs/>
      <w:i w:val="0"/>
      <w:color w:val="2E74B5"/>
      <w:sz w:val="32"/>
      <w:szCs w:val="28"/>
      <w:u w:val="none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60" w:lineRule="exact"/>
      <w:jc w:val="left"/>
      <w:outlineLvl w:val="1"/>
      <w:snapToGrid w:val="0"/>
    </w:pPr>
    <w:rPr>
      <w:rFonts w:ascii="Calibri" w:hAnsi="Calibri" w:cs="Calibri" w:eastAsia="Microsoft YaHei"/>
      <w:b/>
      <w:bCs/>
      <w:i w:val="0"/>
      <w:color w:val="2E74B5"/>
      <w:sz w:val="26"/>
      <w:szCs w:val="26"/>
      <w:u w:val="none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40" w:lineRule="exact"/>
      <w:jc w:val="left"/>
      <w:outlineLvl w:val="2"/>
      <w:snapToGrid w:val="0"/>
    </w:pPr>
    <w:rPr>
      <w:rFonts w:ascii="Calibri" w:hAnsi="Calibri" w:cs="Calibri" w:eastAsia="Microsoft YaHei"/>
      <w:b/>
      <w:bCs/>
      <w:i w:val="0"/>
      <w:color w:val="1F4D78"/>
      <w:sz w:val="24"/>
      <w:u w:val="none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580" w:lineRule="exact" w:before="0"/>
      <w:contextualSpacing/>
      <w:jc w:val="left"/>
      <w:snapToGrid w:val="0"/>
    </w:pPr>
    <w:rPr>
      <w:rFonts w:ascii="Calibri" w:hAnsi="Calibri" w:cs="Calibri" w:eastAsia="Microsoft YaHei"/>
      <w:b/>
      <w:i w:val="0"/>
      <w:color w:val="202020"/>
      <w:spacing w:val="5"/>
      <w:kern w:val="28"/>
      <w:sz w:val="46"/>
      <w:szCs w:val="52"/>
      <w:u w:val="none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00" w:line="320" w:lineRule="exact"/>
      <w:jc w:val="left"/>
      <w:snapToGrid w:val="0"/>
    </w:pPr>
    <w:rPr>
      <w:rFonts w:ascii="Calibri" w:hAnsi="Calibri" w:cs="Calibri" w:eastAsia="Microsoft YaHei"/>
      <w:b w:val="0"/>
      <w:i w:val="0"/>
      <w:iCs/>
      <w:color w:val="555555"/>
      <w:spacing w:val="15"/>
      <w:sz w:val="24"/>
      <w:szCs w:val="24"/>
      <w:u w:val="none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widowControl/>
      <w:spacing w:before="0" w:after="0" w:line="260" w:lineRule="exact"/>
      <w:jc w:val="left"/>
      <w:snapToGrid w:val="0"/>
    </w:pPr>
    <w:rPr>
      <w:rFonts w:ascii="Calibri" w:hAnsi="Calibri" w:cs="Calibri" w:eastAsia="Microsoft YaHei"/>
      <w:b w:val="0"/>
      <w:i w:val="0"/>
      <w:color w:val="202020"/>
      <w:sz w:val="19"/>
      <w:u w:val="none"/>
      <w:lang w:val="en-US" w:eastAsia="zh-CN"/>
    </w:rPr>
  </w:style>
  <w:style w:type="paragraph" w:customStyle="1" w:styleId="TableHeader">
    <w:name w:val="Table Header"/>
    <w:pPr>
      <w:widowControl/>
      <w:spacing w:before="0" w:after="0" w:line="260" w:lineRule="exact"/>
      <w:jc w:val="left"/>
      <w:snapToGrid w:val="0"/>
    </w:pPr>
    <w:rPr>
      <w:rFonts w:ascii="Calibri" w:hAnsi="Calibri" w:cs="Calibri" w:eastAsia="Microsoft YaHei"/>
      <w:b/>
      <w:i w:val="0"/>
      <w:color w:val="1F4D78"/>
      <w:sz w:val="19"/>
      <w:u w:val="none"/>
      <w:lang w:val="en-US" w:eastAsia="zh-CN"/>
    </w:rPr>
  </w:style>
  <w:style w:type="paragraph" w:customStyle="1" w:styleId="Metadata">
    <w:name w:val="Metadata"/>
    <w:pPr>
      <w:widowControl/>
      <w:spacing w:before="0" w:after="60" w:line="270" w:lineRule="exact"/>
      <w:jc w:val="left"/>
      <w:snapToGrid w:val="0"/>
    </w:pPr>
    <w:rPr>
      <w:rFonts w:ascii="Calibri" w:hAnsi="Calibri" w:cs="Calibri" w:eastAsia="Microsoft YaHei"/>
      <w:b w:val="0"/>
      <w:i w:val="0"/>
      <w:color w:val="555555"/>
      <w:sz w:val="19"/>
      <w:u w:val="none"/>
      <w:lang w:val="en-US" w:eastAsia="zh-CN"/>
    </w:rPr>
  </w:style>
  <w:style w:type="paragraph" w:customStyle="1" w:styleId="Note">
    <w:name w:val="Note"/>
    <w:pPr>
      <w:widowControl/>
      <w:spacing w:before="80" w:after="80" w:line="260" w:lineRule="exact"/>
      <w:jc w:val="left"/>
      <w:snapToGrid w:val="0"/>
    </w:pPr>
    <w:rPr>
      <w:rFonts w:ascii="Calibri" w:hAnsi="Calibri" w:cs="Calibri" w:eastAsia="Microsoft YaHei"/>
      <w:b w:val="0"/>
      <w:i w:val="0"/>
      <w:color w:val="555555"/>
      <w:sz w:val="19"/>
      <w:u w:val="none"/>
      <w:lang w:val="en-US" w:eastAsia="zh-CN"/>
    </w:rPr>
  </w:style>
  <w:style w:type="paragraph" w:customStyle="1" w:styleId="TableSource">
    <w:name w:val="Table Source"/>
    <w:pPr>
      <w:widowControl/>
      <w:spacing w:before="80" w:after="80" w:line="260" w:lineRule="exact"/>
      <w:jc w:val="left"/>
      <w:snapToGrid w:val="0"/>
    </w:pPr>
    <w:rPr>
      <w:rFonts w:ascii="Calibri" w:hAnsi="Calibri" w:cs="Calibri" w:eastAsia="Microsoft YaHei"/>
      <w:b w:val="0"/>
      <w:i w:val="0"/>
      <w:color w:val="555555"/>
      <w:sz w:val="18"/>
      <w:u w:val="none"/>
      <w:lang w:val="en-US" w:eastAsia="zh-CN"/>
    </w:rPr>
  </w:style>
  <w:style w:type="paragraph" w:customStyle="1" w:styleId="CodeText">
    <w:name w:val="Code Text"/>
    <w:pPr>
      <w:widowControl/>
      <w:spacing w:before="0" w:after="80" w:line="240" w:lineRule="exact"/>
      <w:jc w:val="left"/>
      <w:snapToGrid w:val="0"/>
    </w:pPr>
    <w:rPr>
      <w:rFonts w:ascii="Calibri" w:hAnsi="Calibri" w:cs="Calibri" w:eastAsia="Microsoft YaHei"/>
      <w:b w:val="0"/>
      <w:i w:val="0"/>
      <w:color w:val="202020"/>
      <w:sz w:val="18"/>
      <w:u w:val="none"/>
      <w:lang w:val="en-US" w:eastAsia="zh-CN"/>
    </w:rPr>
  </w:style>
  <w:style w:type="paragraph" w:customStyle="1" w:styleId="ActionList">
    <w:name w:val="Action List"/>
    <w:pPr>
      <w:widowControl/>
      <w:spacing w:before="0" w:after="80" w:line="340" w:lineRule="exact"/>
      <w:jc w:val="left"/>
      <w:snapToGrid w:val="0"/>
    </w:pPr>
    <w:rPr>
      <w:rFonts w:ascii="Calibri" w:hAnsi="Calibri" w:cs="Calibri" w:eastAsia="Microsoft YaHei"/>
      <w:b w:val="0"/>
      <w:i w:val="0"/>
      <w:color w:val="202020"/>
      <w:sz w:val="22"/>
      <w:u w:val="none"/>
      <w:lang w:val="en-US" w:eastAsia="zh-CN"/>
    </w:rPr>
  </w:style>
  <w:style w:type="paragraph" w:customStyle="1" w:styleId="Lead">
    <w:name w:val="Lead"/>
    <w:pPr>
      <w:widowControl/>
      <w:spacing w:before="80" w:after="160" w:line="340" w:lineRule="exact"/>
      <w:jc w:val="left"/>
      <w:snapToGrid w:val="0"/>
    </w:pPr>
    <w:rPr>
      <w:rFonts w:ascii="Calibri" w:hAnsi="Calibri" w:cs="Calibri" w:eastAsia="Microsoft YaHei"/>
      <w:b/>
      <w:i w:val="0"/>
      <w:color w:val="9B1C1C"/>
      <w:sz w:val="22"/>
      <w:u w:val="none"/>
      <w:lang w:val="en-US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江苏润盛：点位表与远程测试报告</dc:title>
  <dc:subject>2026年9月7日签名部署、只读采集、数据库验证与未决问题</dc:subject>
  <dc:creator>项目测试记录</dc:creator>
  <cp:keywords>候选点位表,只读采集,独立测试库,未完成生产验收</cp:keywords>
  <dc:description>generated by python-docx</dc:description>
  <cp:lastModifiedBy>项目测试记录</cp:lastModifiedBy>
  <cp:revision>1</cp:revision>
  <dcterms:created xsi:type="dcterms:W3CDTF">2026-09-07T00:00:00Z</dcterms:created>
  <dcterms:modified xsi:type="dcterms:W3CDTF">2026-09-07T00:00:00Z</dcterms:modified>
  <cp:category/>
</cp:coreProperties>
</file>