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江苏润盛</w:t>
        <w:br/>
        <w:t>零起点整块读取测试报告</w:t>
      </w:r>
    </w:p>
    <w:p>
      <w:pPr>
        <w:pStyle w:val="Subtitle"/>
      </w:pPr>
      <w:r>
        <w:t>B-11 实机只读通信、36 个响应位置原值对照及未决问题</w:t>
      </w:r>
    </w:p>
    <w:p>
      <w:pPr>
        <w:pStyle w:val="Metadata"/>
      </w:pPr>
      <w:r>
        <w:t>测试日期：2026年9月7日    文档版本：1.0</w:t>
      </w:r>
    </w:p>
    <w:p>
      <w:pPr>
        <w:pStyle w:val="Metadata"/>
      </w:pPr>
      <w:r>
        <w:t>目标机：WIN-OAUCM8UQUGH / 100.109.90.21</w:t>
      </w:r>
    </w:p>
    <w:p>
      <w:pPr>
        <w:pStyle w:val="Metadata"/>
      </w:pPr>
      <w:r>
        <w:t>证据截止：2026-09-07 13:31:18（北京时间，UTC+8）</w:t>
      </w:r>
    </w:p>
    <w:p>
      <w:pPr>
        <w:pStyle w:val="Metadata"/>
      </w:pPr>
      <w:r>
        <w:t>本文件整理既有测试证据；编制文档期间未新增远程测试或设备操作。</w:t>
      </w:r>
    </w:p>
    <w:p>
      <w:pPr>
        <w:pStyle w:val="Heading1"/>
      </w:pPr>
      <w:r>
        <w:t>结论</w:t>
      </w:r>
    </w:p>
    <w:p>
      <w:pPr>
        <w:pStyle w:val="Lead"/>
      </w:pPr>
      <w:r>
        <w:rPr>
          <w:b/>
        </w:rPr>
        <w:t>本轮零起点整块读取通信验证完成；点位含义未确认，正式采集验收仍然阻断。</w:t>
      </w:r>
    </w:p>
    <w:p>
      <w:pPr/>
      <w:r>
        <w:t>设备已返回3帧完整的36寄存器响应，每帧77字节、CRC正确。与27/6寄存器的零起点短读相比，稳定参考位置没有发现不一致，但大量位置为相同零值或动态变化，不能据此确认物理点位、单位和倍率。上轮非零起点地址相关性反证仍然有效，本轮未重测或关闭该问题。</w:t>
      </w:r>
    </w:p>
    <w:p>
      <w:pPr/>
      <w:r>
        <w:t>首次36寄存器请求超时约401.757ms、收到0字节；按预先批准的一次重试后获得有效响应。共6条FC3读取命令、1次重试、5帧有效响应，没有设备寄存器写入。不能用这一次短实验推算长期通信成功率，也没有通过放宽超时或自动重复实验掩盖首次失败。</w:t>
      </w:r>
    </w:p>
    <w:p>
      <w:pPr>
        <w:pStyle w:val="Heading1"/>
      </w:pPr>
      <w:r>
        <w:t>固定范围及实测</w:t>
      </w:r>
    </w:p>
    <w:p>
      <w:pPr/>
      <w:r>
        <w:t>目标WIN-OAUCM8UQUGH / 100.109.90.21，适配器0403:6001/AI06JYFW，9600/8N1，从站1，FC3。所有请求从零基地址0开始，不涉及FC1、设备写入或物理状态改变。</w:t>
      </w:r>
    </w:p>
    <w:p>
      <w:pPr/>
      <w:r>
        <w:t>运行ID：b81c5dd8-d64d-48e2-81c1-eef5ae8bf910。时间13:30:04.804至13:30:08.830 +08。预先固定计划见</w:t>
      </w:r>
      <w:hyperlink r:id="rId11">
        <w:r>
          <w:rPr>
            <w:color w:val="2E74B5"/>
          </w:rPr>
          <w:t>README.md</w:t>
        </w:r>
      </w:hyperlink>
      <w:r>
        <w:t>；授权配置SHA-256为a6736686c594894326647f3fbb1ced3006783078d5d11c4482bee123f6f02ff7。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700"/>
        <w:gridCol w:w="1250"/>
        <w:gridCol w:w="1250"/>
        <w:gridCol w:w="2050"/>
        <w:gridCol w:w="4110"/>
      </w:tblGrid>
      <w:tr>
        <w:trPr>
          <w:cantSplit/>
          <w:tblHeader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步骤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请求数量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响应字节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有效响应时延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结果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36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77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242.837ms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首次超时，一次重试有效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27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59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211.289ms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首次有效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36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77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211.763ms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首次有效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6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17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164.649ms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首次有效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36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77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211.223ms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首次有效</w:t>
            </w:r>
          </w:p>
        </w:tc>
      </w:tr>
    </w:tbl>
    <w:p>
      <w:pPr/>
      <w:r>
        <w:t>原始审计中的attempted_write_bytes=48表示发送6条读取命令所用的串口字节，不是设备参数写入。五帧共141个原始数值，包含重复读取，不能称作141个独立物理点。</w:t>
      </w:r>
    </w:p>
    <w:p>
      <w:pPr>
        <w:pStyle w:val="Heading1"/>
      </w:pPr>
      <w:r>
        <w:t>长短读取对照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对照范围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相同非零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相同零值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动态未决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稳定不一致</w:t>
            </w:r>
          </w:p>
        </w:tc>
      </w:tr>
      <w:tr>
        <w:trPr>
          <w:cantSplit/>
        </w:trPr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27个寄存器短读对照前后36个整读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6个寄存器短读对照前后36个整读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合计对照位置，包含重复位置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14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</w:tr>
    </w:tbl>
    <w:p>
      <w:pPr>
        <w:pStyle w:val="TableSource"/>
      </w:pPr>
      <w:r>
        <w:t>相同非零：前、中、后均相同的非零原值；相同零值不证明点位身份。动态未决表示前后参考已变化。</w:t>
      </w:r>
    </w:p>
    <w:p>
      <w:pPr/>
      <w:r>
        <w:t>三次整读中26/36个响应位置的原值相同，10个位置变化。稳定非零位置仅说明本轮值相同，不等于物理点位已识别。前后相同也不能排除中间瞬态；本轮没有独立物理参照，因此不能判定长度效应、固件根因或校准精度。</w:t>
      </w:r>
    </w:p>
    <w:p>
      <w:pPr/>
      <w:r>
        <w:t>例如响应位置19的三次原值为38500、2500、4300；位置26为123、123、123；位置27为456、456、456；位置35为290、290、290。没有把123自动解释为温度，也没有把超过32767的原值擅自按旧s16声明或倍率换算。</w:t>
      </w:r>
    </w:p>
    <w:p>
      <w:pPr>
        <w:pStyle w:val="Heading1"/>
      </w:pPr>
      <w:r>
        <w:t>36个响应位置原值表</w:t>
      </w:r>
    </w:p>
    <w:p>
      <w:pPr/>
      <w:r>
        <w:t>以下是从地址0开始的响应位置，不是已经确认的正式点位表。只保留无符号16位原始字，不赋予工程单位、物理名称或倍率。列对应步骤1（重试成功）、3、5。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1200"/>
        <w:gridCol w:w="1350"/>
        <w:gridCol w:w="1350"/>
        <w:gridCol w:w="1350"/>
        <w:gridCol w:w="4110"/>
      </w:tblGrid>
      <w:tr>
        <w:trPr>
          <w:cantSplit/>
          <w:tblHeader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响应位置（零基）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整读1原值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整读2原值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整读3原值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本轮状态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本轮相同，含义未证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19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23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24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18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21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6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7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8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11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12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14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16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本轮相同，含义未证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17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1000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18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本轮相同，含义未证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19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38500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2500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4300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38600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2400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4300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21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38200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2400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4300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22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40000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5600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4400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45300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6200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4900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24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44000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5700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4400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动态未决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5000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5000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5000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本轮相同，含义未证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26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123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123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123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本轮相同，含义未证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27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456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456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456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本轮相同，含义未证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28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29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31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32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34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相同零值，含义未证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290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290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290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本轮相同，含义未证</w:t>
            </w:r>
          </w:p>
        </w:tc>
      </w:tr>
    </w:tbl>
    <w:p>
      <w:pPr>
        <w:pStyle w:val="TableSource"/>
      </w:pPr>
      <w:r>
        <w:t>数据源：physical.jsonl 与 whole-block-comparison.json。表内均为原始字，不是已确认的工程测量值。</w:t>
      </w:r>
    </w:p>
    <w:p>
      <w:pPr>
        <w:pStyle w:val="Heading1"/>
      </w:pPr>
      <w:r>
        <w:t>已完成的软件调整</w:t>
      </w:r>
    </w:p>
    <w:p>
      <w:pPr/>
      <w:r>
        <w:t>在独立干净工作树中新增固定B-11诊断模式，只允许0起点的36/27/36/6/36五步读取。其接收上限固定为80字节以容纳77字节标准完整帧，并保留少量噪声检查空间；B-06/B-09/B-10仍固定64字节，未全局放宽。Python和PowerShell均约束模式、帧序列和预算；新增整块响应长度及接收预算审计，同时修正失败记录沿用旧4帧范围的问题。</w:t>
      </w:r>
    </w:p>
    <w:p>
      <w:pPr/>
      <w:r>
        <w:t>诊断源码提交5d83607bc6d5bf90234ac713aa5dab6b96eb3461，分支codex/zero-origin-block-20260907。主工作区同三份文件哈希一致，其他既有改动保留。没有推送、PR或合并。</w:t>
      </w:r>
    </w:p>
    <w:p>
      <w:pPr/>
      <w:r>
        <w:t>签名候选deploy-20260907.3的逻辑标识为sha256:294a0cc73a05b2a7372324e75dbec90299462a0a1a0381ba1ce513bf33c90181。五个镜像ID沿用当前生产镜像，仅新增认证诊断工具；差量在本地和远端均重构并验证完整SHA-256，然后经受保护publisher签名、完整文件和实际加载镜像核验。未修改生产环境、发布信任或原有探测配置。</w:t>
      </w:r>
    </w:p>
    <w:p>
      <w:pPr/>
      <w:r>
        <w:t>publisher返回2明确保留B-04阻断，随后成功安装认证工具。该返回值不代表现场正式验收通过；安装控制器只有在回执、脚本/镜像哈希及配置ACL核验通过后才报告安装成功。</w:t>
      </w:r>
    </w:p>
    <w:p>
      <w:pPr>
        <w:pStyle w:val="Heading1"/>
      </w:pPr>
      <w:r>
        <w:t>回归与收尾</w:t>
      </w:r>
    </w:p>
    <w:p>
      <w:pPr>
        <w:pStyle w:val="ActionList"/>
        <w:numPr>
          <w:ilvl w:val="0"/>
          <w:numId w:val="11"/>
        </w:numPr>
      </w:pPr>
      <w:r>
        <w:t>相关回归537项通过、5项POSIX/Linux专属测试在Windows跳过；发布认证另有4项通过。</w:t>
      </w:r>
    </w:p>
    <w:p>
      <w:pPr>
        <w:pStyle w:val="ActionList"/>
        <w:numPr>
          <w:ilvl w:val="0"/>
          <w:numId w:val="11"/>
        </w:numPr>
      </w:pPr>
      <w:r>
        <w:t>专项90项通过，包含于上述回归范围，不重复合计；提交前格式化后在干净工作树复跑仍为90通过。代码风格和类型检查通过。</w:t>
      </w:r>
    </w:p>
    <w:p>
      <w:pPr>
        <w:pStyle w:val="ActionList"/>
        <w:numPr>
          <w:ilvl w:val="0"/>
          <w:numId w:val="11"/>
        </w:numPr>
      </w:pPr>
      <w:r>
        <w:t>离线比较规则6项通过，覆盖相同非零、相同零、动态参考、不一致和比较边界。</w:t>
      </w:r>
    </w:p>
    <w:p>
      <w:pPr>
        <w:pStyle w:val="ActionList"/>
        <w:numPr>
          <w:ilvl w:val="0"/>
          <w:numId w:val="11"/>
        </w:numPr>
      </w:pPr>
      <w:r>
        <w:t>目标机零通信预演通过；新配置仅对Administrators/SYSTEM可写，执行前由现有受保护runner核对身份、哈希和GW串口边界。</w:t>
      </w:r>
    </w:p>
    <w:p>
      <w:pPr>
        <w:pStyle w:val="ActionList"/>
        <w:numPr>
          <w:ilvl w:val="0"/>
          <w:numId w:val="11"/>
        </w:numPr>
      </w:pPr>
      <w:r>
        <w:t>原始报文重新核算CRC、单位号、功能码、长度和原始数值；原始与runner审计绑定同一运行、配置、脚本、镜像和安装回执。</w:t>
      </w:r>
    </w:p>
    <w:p>
      <w:pPr>
        <w:pStyle w:val="ActionList"/>
        <w:numPr>
          <w:ilvl w:val="0"/>
          <w:numId w:val="11"/>
        </w:numPr>
      </w:pPr>
      <w:r>
        <w:t>五份远端证据逐字节哈希与下载副本一致；完整收尾核验88项通过，见</w:t>
      </w:r>
      <w:hyperlink r:id="rId12">
        <w:r>
          <w:rPr>
            <w:color w:val="2E74B5"/>
          </w:rPr>
          <w:t>completed-run-validation.json</w:t>
        </w:r>
      </w:hyperlink>
      <w:r>
        <w:t>。</w:t>
      </w:r>
    </w:p>
    <w:p>
      <w:pPr>
        <w:pStyle w:val="ActionList"/>
        <w:numPr>
          <w:ilvl w:val="0"/>
          <w:numId w:val="11"/>
        </w:numPr>
      </w:pPr>
      <w:r>
        <w:t>13:31:18 +08状态复核：五个生产容器ID、镜像、启动时间、重启计数均与测试前相同；API/GW即时ready，Web200；无维护锁或诊断容器残留。</w:t>
      </w:r>
    </w:p>
    <w:p>
      <w:pPr>
        <w:pStyle w:val="ActionList"/>
        <w:numPr>
          <w:ilvl w:val="0"/>
          <w:numId w:val="11"/>
        </w:numPr>
      </w:pPr>
      <w:r>
        <w:t>生产users/devices/device_points/realtime/history均为0，旧隔离库仍为实时126、历史168；数据库迁移版本未变。</w:t>
      </w:r>
    </w:p>
    <w:p>
      <w:pPr>
        <w:pStyle w:val="ActionList"/>
        <w:numPr>
          <w:ilvl w:val="0"/>
          <w:numId w:val="11"/>
        </w:numPr>
      </w:pPr>
      <w:r>
        <w:t>生产活动版本仍是deploy-20260907.1 / 2150b5e，deploy-20260907.3仅是新诊断工具来源。订阅、信任、旧配置、发布备份和既有审计哈希未变。临时签名进程已停止。</w:t>
      </w:r>
    </w:p>
    <w:p>
      <w:pPr>
        <w:pStyle w:val="ActionList"/>
        <w:numPr>
          <w:ilvl w:val="0"/>
          <w:numId w:val="11"/>
        </w:numPr>
      </w:pPr>
      <w:r>
        <w:t>本次一次性有限物理实验授权已消耗，没有自动再次执行或扩展范围。</w:t>
      </w:r>
    </w:p>
    <w:p>
      <w:pPr>
        <w:pStyle w:val="Heading1"/>
      </w:pPr>
      <w:r>
        <w:t>未决问题与下一步</w:t>
      </w:r>
    </w:p>
    <w:p>
      <w:pPr>
        <w:pStyle w:val="ActionList"/>
        <w:numPr>
          <w:ilvl w:val="0"/>
          <w:numId w:val="10"/>
        </w:numPr>
      </w:pPr>
      <w:r>
        <w:t>非零起点响应错位：本轮仅支持“从零起点整读可获得完整帧”，不能据此恢复通用分段轮询。需要设备协议/固件确认起始地址处理方式。</w:t>
      </w:r>
    </w:p>
    <w:p>
      <w:pPr>
        <w:pStyle w:val="ActionList"/>
        <w:numPr>
          <w:ilvl w:val="0"/>
          <w:numId w:val="10"/>
        </w:numPr>
      </w:pPr>
      <w:r>
        <w:t>点位语义：旧数据库46行只是BCMM/CBMM候选。仍缺与当前设备/固件绑定的点表或独立物理参照，不能推定型号、符号、倍率和单位。旧42个FC3的s16仍不受当前软件支持，4个FC1的地址/RBit冲突仍未验证。</w:t>
      </w:r>
    </w:p>
    <w:p>
      <w:pPr>
        <w:pStyle w:val="ActionList"/>
        <w:numPr>
          <w:ilvl w:val="0"/>
          <w:numId w:val="10"/>
        </w:numPr>
      </w:pPr>
      <w:r>
        <w:t>首次超时及动态值：本轮记录1次零字节超时，随后重试成功；位置2..4、17、19..24出现变化。原因和合理范围未确认。后续需要单独设计和授权通信稳定性/已知输入对照实验。</w:t>
      </w:r>
    </w:p>
    <w:p>
      <w:pPr>
        <w:pStyle w:val="ActionList"/>
        <w:numPr>
          <w:ilvl w:val="0"/>
          <w:numId w:val="10"/>
        </w:numPr>
      </w:pPr>
      <w:r>
        <w:t>正式采集与数据库验收：尚不具备资格/审批、点表和类型支持等前置条件；本轮未开启持续采集、未配置生产点位、未进行新的生产写库测试。旧隔离库回放结果不能替代实机端到端验收。</w:t>
      </w:r>
    </w:p>
    <w:p>
      <w:pPr/>
      <w:r>
        <w:t>下一步需要能关联这台自研设备的通讯协议或固件资料；若无资料，则需要现场人员配合一次已知测量量/状态变化，并记录独立读数，才能逐点建立含义和倍率证据。这些不是继续扩大软件读取范围就能自动推导出的事实。</w:t>
      </w:r>
    </w:p>
    <w:p>
      <w:pPr>
        <w:pStyle w:val="Heading1"/>
      </w:pPr>
      <w:r>
        <w:t>证据入口</w:t>
      </w:r>
    </w:p>
    <w:p>
      <w:pPr>
        <w:pStyle w:val="EvidenceText"/>
        <w:numPr>
          <w:ilvl w:val="0"/>
          <w:numId w:val="11"/>
        </w:numPr>
      </w:pPr>
      <w:hyperlink r:id="rId13">
        <w:r>
          <w:rPr>
            <w:color w:val="2E74B5"/>
          </w:rPr>
          <w:t>physical.jsonl</w:t>
        </w:r>
      </w:hyperlink>
      <w:r>
        <w:t>：含首次超时、一次重试、全部收发帧及终态。</w:t>
      </w:r>
    </w:p>
    <w:p>
      <w:pPr>
        <w:pStyle w:val="EvidenceText"/>
        <w:numPr>
          <w:ilvl w:val="0"/>
          <w:numId w:val="11"/>
        </w:numPr>
      </w:pPr>
      <w:hyperlink r:id="rId14">
        <w:r>
          <w:rPr>
            <w:color w:val="2E74B5"/>
          </w:rPr>
          <w:t>whole-block-comparison.json</w:t>
        </w:r>
      </w:hyperlink>
      <w:r>
        <w:t>：33个前后对照位置及36个整读位置的完整机器可读数据。</w:t>
      </w:r>
    </w:p>
    <w:p>
      <w:pPr>
        <w:pStyle w:val="EvidenceText"/>
        <w:numPr>
          <w:ilvl w:val="0"/>
          <w:numId w:val="11"/>
        </w:numPr>
      </w:pPr>
      <w:hyperlink r:id="rId15">
        <w:r>
          <w:rPr>
            <w:color w:val="2E74B5"/>
          </w:rPr>
          <w:t>原始执行runner</w:t>
        </w:r>
      </w:hyperlink>
      <w:r>
        <w:t>与</w:t>
      </w:r>
      <w:hyperlink r:id="rId16">
        <w:r>
          <w:rPr>
            <w:color w:val="2E74B5"/>
          </w:rPr>
          <w:t>零I/O预演runner</w:t>
        </w:r>
      </w:hyperlink>
      <w:r>
        <w:t>。</w:t>
      </w:r>
    </w:p>
    <w:p>
      <w:pPr>
        <w:pStyle w:val="EvidenceText"/>
        <w:numPr>
          <w:ilvl w:val="0"/>
          <w:numId w:val="11"/>
        </w:numPr>
      </w:pPr>
      <w:hyperlink r:id="rId17">
        <w:r>
          <w:rPr>
            <w:color w:val="2E74B5"/>
          </w:rPr>
          <w:t>target-install.log</w:t>
        </w:r>
      </w:hyperlink>
      <w:r>
        <w:t>、</w:t>
      </w:r>
      <w:hyperlink r:id="rId18">
        <w:r>
          <w:rPr>
            <w:color w:val="2E74B5"/>
          </w:rPr>
          <w:t>installed-receipt.json</w:t>
        </w:r>
      </w:hyperlink>
      <w:r>
        <w:t>、</w:t>
      </w:r>
      <w:hyperlink r:id="rId19">
        <w:r>
          <w:rPr>
            <w:color w:val="2E74B5"/>
          </w:rPr>
          <w:t>target-evidence-hashes.json</w:t>
        </w:r>
      </w:hyperlink>
      <w:r>
        <w:t>。</w:t>
      </w:r>
    </w:p>
    <w:p>
      <w:pPr>
        <w:pStyle w:val="EvidenceText"/>
        <w:numPr>
          <w:ilvl w:val="0"/>
          <w:numId w:val="11"/>
        </w:numPr>
      </w:pPr>
      <w:hyperlink r:id="rId20">
        <w:r>
          <w:rPr>
            <w:color w:val="2E74B5"/>
          </w:rPr>
          <w:t>测试前快照</w:t>
        </w:r>
      </w:hyperlink>
      <w:r>
        <w:t>、</w:t>
      </w:r>
      <w:hyperlink r:id="rId21">
        <w:r>
          <w:rPr>
            <w:color w:val="2E74B5"/>
          </w:rPr>
          <w:t>测试后快照</w:t>
        </w:r>
      </w:hyperlink>
      <w:r>
        <w:t>、</w:t>
      </w:r>
      <w:hyperlink r:id="rId12">
        <w:r>
          <w:rPr>
            <w:color w:val="2E74B5"/>
          </w:rPr>
          <w:t>收尾校验</w:t>
        </w:r>
      </w:hyperlink>
      <w:r>
        <w:t>。</w:t>
      </w:r>
    </w:p>
    <w:p>
      <w:pPr>
        <w:pStyle w:val="EvidenceText"/>
        <w:numPr>
          <w:ilvl w:val="0"/>
          <w:numId w:val="11"/>
        </w:numPr>
      </w:pPr>
      <w:hyperlink r:id="rId22">
        <w:r>
          <w:rPr>
            <w:color w:val="2E74B5"/>
          </w:rPr>
          <w:t>analyze_results.py</w:t>
        </w:r>
      </w:hyperlink>
      <w:r>
        <w:t>、</w:t>
      </w:r>
      <w:hyperlink r:id="rId23">
        <w:r>
          <w:rPr>
            <w:color w:val="2E74B5"/>
          </w:rPr>
          <w:t>validate_completed_run.ps1</w:t>
        </w:r>
      </w:hyperlink>
      <w:r>
        <w:t>：仅离线重算，不发起设备通信。</w:t>
      </w:r>
    </w:p>
    <w:p>
      <w:pPr/>
      <w:r>
        <w:t>既有Word报告保留原历史版本；本文件为其后续实测补充，不把旧报告日期下的结论静默替换成新证据。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测试记录  |  第 </w:t>
    </w:r>
    <w:fldSimple w:instr="PAGE">
      <w:r>
        <w:t>1</w:t>
      </w:r>
    </w:fldSimple>
    <w:r>
      <w:t xml:space="preserve"> 页 / 共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江苏润盛  |  B-11 零起点整块读取测试  |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1"/>
        <w:tabs>
          <w:tab w:val="num" w:pos="540"/>
        </w:tabs>
        <w:spacing w:before="0" w:after="80" w:line="340" w:lineRule="exact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1"/>
        <w:tabs>
          <w:tab w:val="num" w:pos="540"/>
        </w:tabs>
        <w:spacing w:before="0" w:after="80" w:line="340" w:lineRule="exact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40" w:lineRule="exact"/>
      <w:jc w:val="left"/>
      <w:snapToGrid w:val="0"/>
    </w:pPr>
    <w:rPr>
      <w:rFonts w:ascii="Calibri" w:hAnsi="Calibri" w:cs="Calibri" w:eastAsia="Microsoft YaHei"/>
      <w:b w:val="0"/>
      <w:i w:val="0"/>
      <w:color w:val="20202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exact" w:before="0"/>
      <w:jc w:val="left"/>
      <w:snapToGrid w:val="0"/>
    </w:pPr>
    <w:rPr>
      <w:rFonts w:ascii="Calibri" w:hAnsi="Calibri" w:cs="Calibri" w:eastAsia="Microsoft YaHei"/>
      <w:b w:val="0"/>
      <w:i w:val="0"/>
      <w:color w:val="666666"/>
      <w:sz w:val="18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exact" w:before="0"/>
      <w:jc w:val="left"/>
      <w:snapToGrid w:val="0"/>
    </w:pPr>
    <w:rPr>
      <w:rFonts w:ascii="Calibri" w:hAnsi="Calibri" w:cs="Calibri" w:eastAsia="Microsoft YaHei"/>
      <w:b w:val="0"/>
      <w:i w:val="0"/>
      <w:color w:val="666666"/>
      <w:sz w:val="18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420" w:lineRule="exact"/>
      <w:jc w:val="left"/>
      <w:outlineLvl w:val="0"/>
      <w:snapToGrid w:val="0"/>
    </w:pPr>
    <w:rPr>
      <w:rFonts w:ascii="Calibri" w:hAnsi="Calibri" w:cs="Calibri" w:eastAsia="Microsoft YaHei"/>
      <w:b/>
      <w:bCs/>
      <w:i w:val="0"/>
      <w:color w:val="2E74B5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60" w:lineRule="exact"/>
      <w:jc w:val="left"/>
      <w:outlineLvl w:val="1"/>
      <w:snapToGrid w:val="0"/>
    </w:pPr>
    <w:rPr>
      <w:rFonts w:ascii="Calibri" w:hAnsi="Calibri" w:cs="Calibri" w:eastAsia="Microsoft YaHei"/>
      <w:b/>
      <w:bCs/>
      <w:i w:val="0"/>
      <w:color w:val="2E74B5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40" w:lineRule="exact"/>
      <w:jc w:val="left"/>
      <w:outlineLvl w:val="2"/>
      <w:snapToGrid w:val="0"/>
    </w:pPr>
    <w:rPr>
      <w:rFonts w:ascii="Calibri" w:hAnsi="Calibri" w:cs="Calibri" w:eastAsia="Microsoft YaHei"/>
      <w:b/>
      <w:bCs/>
      <w:i w:val="0"/>
      <w:color w:val="1F4D78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00" w:line="580" w:lineRule="exact" w:before="0"/>
      <w:contextualSpacing/>
      <w:jc w:val="left"/>
      <w:snapToGrid w:val="0"/>
    </w:pPr>
    <w:rPr>
      <w:rFonts w:ascii="Calibri" w:hAnsi="Calibri" w:cs="Calibri" w:eastAsia="Microsoft YaHei"/>
      <w:b/>
      <w:i w:val="0"/>
      <w:color w:val="20202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00" w:line="320" w:lineRule="exact"/>
      <w:jc w:val="left"/>
      <w:snapToGrid w:val="0"/>
    </w:pPr>
    <w:rPr>
      <w:rFonts w:ascii="Calibri" w:hAnsi="Calibri" w:cs="Calibri" w:eastAsia="Microsoft YaHei"/>
      <w:b w:val="0"/>
      <w:i w:val="0"/>
      <w:iCs/>
      <w:color w:val="555555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keepNext w:val="0"/>
      <w:widowControl/>
      <w:spacing w:before="0" w:after="0" w:line="260" w:lineRule="exact"/>
      <w:jc w:val="left"/>
      <w:snapToGrid w:val="0"/>
    </w:pPr>
    <w:rPr>
      <w:rFonts w:ascii="Calibri" w:hAnsi="Calibri" w:cs="Calibri" w:eastAsia="Microsoft YaHei"/>
      <w:b w:val="0"/>
      <w:i w:val="0"/>
      <w:color w:val="202020"/>
      <w:sz w:val="19"/>
      <w:u w:val="none"/>
    </w:rPr>
  </w:style>
  <w:style w:type="paragraph" w:customStyle="1" w:styleId="TableHeader">
    <w:name w:val="Table Header"/>
    <w:pPr>
      <w:keepNext w:val="0"/>
      <w:widowControl/>
      <w:spacing w:before="0" w:after="0" w:line="260" w:lineRule="exact"/>
      <w:jc w:val="left"/>
      <w:snapToGrid w:val="0"/>
    </w:pPr>
    <w:rPr>
      <w:rFonts w:ascii="Calibri" w:hAnsi="Calibri" w:cs="Calibri" w:eastAsia="Microsoft YaHei"/>
      <w:b/>
      <w:i w:val="0"/>
      <w:color w:val="1F4D78"/>
      <w:sz w:val="19"/>
      <w:u w:val="none"/>
    </w:rPr>
  </w:style>
  <w:style w:type="paragraph" w:customStyle="1" w:styleId="Metadata">
    <w:name w:val="Metadata"/>
    <w:pPr>
      <w:keepNext w:val="0"/>
      <w:widowControl/>
      <w:spacing w:before="0" w:after="60" w:line="270" w:lineRule="exact"/>
      <w:jc w:val="left"/>
      <w:snapToGrid w:val="0"/>
    </w:pPr>
    <w:rPr>
      <w:rFonts w:ascii="Calibri" w:hAnsi="Calibri" w:cs="Calibri" w:eastAsia="Microsoft YaHei"/>
      <w:b w:val="0"/>
      <w:i w:val="0"/>
      <w:color w:val="555555"/>
      <w:sz w:val="19"/>
      <w:u w:val="none"/>
    </w:rPr>
  </w:style>
  <w:style w:type="paragraph" w:customStyle="1" w:styleId="TableSource">
    <w:name w:val="Table Source"/>
    <w:pPr>
      <w:keepNext w:val="0"/>
      <w:widowControl/>
      <w:spacing w:before="80" w:after="80" w:line="260" w:lineRule="exact"/>
      <w:jc w:val="left"/>
      <w:snapToGrid w:val="0"/>
    </w:pPr>
    <w:rPr>
      <w:rFonts w:ascii="Calibri" w:hAnsi="Calibri" w:cs="Calibri" w:eastAsia="Microsoft YaHei"/>
      <w:b w:val="0"/>
      <w:i w:val="0"/>
      <w:color w:val="555555"/>
      <w:sz w:val="18"/>
      <w:u w:val="none"/>
    </w:rPr>
  </w:style>
  <w:style w:type="paragraph" w:customStyle="1" w:styleId="EvidenceText">
    <w:name w:val="Evidence Text"/>
    <w:pPr>
      <w:keepNext w:val="0"/>
      <w:widowControl/>
      <w:spacing w:before="0" w:after="80" w:line="280" w:lineRule="exact"/>
      <w:jc w:val="left"/>
      <w:snapToGrid w:val="0"/>
    </w:pPr>
    <w:rPr>
      <w:rFonts w:ascii="Calibri" w:hAnsi="Calibri" w:cs="Calibri" w:eastAsia="Microsoft YaHei"/>
      <w:b w:val="0"/>
      <w:i w:val="0"/>
      <w:color w:val="555555"/>
      <w:sz w:val="19"/>
      <w:u w:val="none"/>
    </w:rPr>
  </w:style>
  <w:style w:type="paragraph" w:customStyle="1" w:styleId="ActionList">
    <w:name w:val="Action List"/>
    <w:pPr>
      <w:keepNext w:val="0"/>
      <w:widowControl/>
      <w:spacing w:before="0" w:after="80" w:line="340" w:lineRule="exact"/>
      <w:jc w:val="left"/>
      <w:snapToGrid w:val="0"/>
    </w:pPr>
    <w:rPr>
      <w:rFonts w:ascii="Calibri" w:hAnsi="Calibri" w:cs="Calibri" w:eastAsia="Microsoft YaHei"/>
      <w:b w:val="0"/>
      <w:i w:val="0"/>
      <w:color w:val="202020"/>
      <w:sz w:val="22"/>
      <w:u w:val="none"/>
    </w:rPr>
  </w:style>
  <w:style w:type="paragraph" w:customStyle="1" w:styleId="Lead">
    <w:name w:val="Lead"/>
    <w:pPr>
      <w:keepNext w:val="0"/>
      <w:widowControl/>
      <w:spacing w:before="80" w:after="160" w:line="340" w:lineRule="exact"/>
      <w:jc w:val="left"/>
      <w:snapToGrid w:val="0"/>
    </w:pPr>
    <w:rPr>
      <w:rFonts w:ascii="Calibri" w:hAnsi="Calibri" w:cs="Calibri" w:eastAsia="Microsoft YaHei"/>
      <w:b/>
      <w:i w:val="0"/>
      <w:color w:val="9B1C1C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%E6%B1%9F%E8%8B%8F%E6%B6%A6%E7%9B%9B/docs/superpowers/specs/evidence/zero-origin-block-20260907/README.md" TargetMode="External"/><Relationship Id="rId12" Type="http://schemas.openxmlformats.org/officeDocument/2006/relationships/hyperlink" Target="file:///D:/%E6%B1%9F%E8%8B%8F%E6%B6%A6%E7%9B%9B/docs/superpowers/specs/evidence/zero-origin-block-20260907/completed-run-validation.json" TargetMode="External"/><Relationship Id="rId13" Type="http://schemas.openxmlformats.org/officeDocument/2006/relationships/hyperlink" Target="file:///D:/%E6%B1%9F%E8%8B%8F%E6%B6%A6%E7%9B%9B/docs/superpowers/specs/evidence/zero-origin-block-20260907/physical.jsonl" TargetMode="External"/><Relationship Id="rId14" Type="http://schemas.openxmlformats.org/officeDocument/2006/relationships/hyperlink" Target="file:///D:/%E6%B1%9F%E8%8B%8F%E6%B6%A6%E7%9B%9B/docs/superpowers/specs/evidence/zero-origin-block-20260907/whole-block-comparison.json" TargetMode="External"/><Relationship Id="rId15" Type="http://schemas.openxmlformats.org/officeDocument/2006/relationships/hyperlink" Target="file:///D:/%E6%B1%9F%E8%8B%8F%E6%B6%A6%E7%9B%9B/docs/superpowers/specs/evidence/zero-origin-block-20260907/modbus-runner-b81c5dd8-d64d-48e2-81c1-eef5ae8bf910.jsonl" TargetMode="External"/><Relationship Id="rId16" Type="http://schemas.openxmlformats.org/officeDocument/2006/relationships/hyperlink" Target="file:///D:/%E6%B1%9F%E8%8B%8F%E6%B6%A6%E7%9B%9B/docs/superpowers/specs/evidence/zero-origin-block-20260907/modbus-runner-e33566ea-a93f-4843-a433-d4b8210b5fd0.jsonl" TargetMode="External"/><Relationship Id="rId17" Type="http://schemas.openxmlformats.org/officeDocument/2006/relationships/hyperlink" Target="file:///D:/%E6%B1%9F%E8%8B%8F%E6%B6%A6%E7%9B%9B/docs/superpowers/specs/evidence/zero-origin-block-20260907/target-install.log" TargetMode="External"/><Relationship Id="rId18" Type="http://schemas.openxmlformats.org/officeDocument/2006/relationships/hyperlink" Target="file:///D:/%E6%B1%9F%E8%8B%8F%E6%B6%A6%E7%9B%9B/docs/superpowers/specs/evidence/zero-origin-block-20260907/installed-receipt.json" TargetMode="External"/><Relationship Id="rId19" Type="http://schemas.openxmlformats.org/officeDocument/2006/relationships/hyperlink" Target="file:///D:/%E6%B1%9F%E8%8B%8F%E6%B6%A6%E7%9B%9B/docs/superpowers/specs/evidence/zero-origin-block-20260907/target-evidence-hashes.json" TargetMode="External"/><Relationship Id="rId20" Type="http://schemas.openxmlformats.org/officeDocument/2006/relationships/hyperlink" Target="file:///D:/%E6%B1%9F%E8%8B%8F%E6%B6%A6%E7%9B%9B/docs/superpowers/specs/evidence/zero-origin-block-20260907/target-before-approved-run.json" TargetMode="External"/><Relationship Id="rId21" Type="http://schemas.openxmlformats.org/officeDocument/2006/relationships/hyperlink" Target="file:///D:/%E6%B1%9F%E8%8B%8F%E6%B6%A6%E7%9B%9B/docs/superpowers/specs/evidence/zero-origin-block-20260907/target-after-approved-run.json" TargetMode="External"/><Relationship Id="rId22" Type="http://schemas.openxmlformats.org/officeDocument/2006/relationships/hyperlink" Target="file:///D:/%E6%B1%9F%E8%8B%8F%E6%B6%A6%E7%9B%9B/docs/superpowers/specs/evidence/zero-origin-block-20260907/analyze_results.py" TargetMode="External"/><Relationship Id="rId23" Type="http://schemas.openxmlformats.org/officeDocument/2006/relationships/hyperlink" Target="file:///D:/%E6%B1%9F%E8%8B%8F%E6%B6%A6%E7%9B%9B/docs/superpowers/specs/evidence/zero-origin-block-20260907/validate_completed_run.p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江苏润盛：零起点整块读取测试报告</dc:title>
  <dc:subject>B-11 实机只读通信、原值对照与未决问题</dc:subject>
  <dc:creator>项目测试记录</dc:creator>
  <cp:keywords>B-11,36寄存器,只读测试,正式验收未通过</cp:keywords>
  <dc:description>generated by python-docx</dc:description>
  <cp:lastModifiedBy>项目测试记录</cp:lastModifiedBy>
  <cp:revision>1</cp:revision>
  <dcterms:created xsi:type="dcterms:W3CDTF">2026-09-07T00:00:00Z</dcterms:created>
  <dcterms:modified xsi:type="dcterms:W3CDTF">2026-09-07T06:00:03Z</dcterms:modified>
  <cp:category/>
</cp:coreProperties>
</file>