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72353" cy="571500"/>
            <wp:docPr id="1" name="Picture 1" descr="IE University"/>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72353" cy="571500"/>
                    </a:xfrm>
                    <a:prstGeom prst="rect"/>
                  </pic:spPr>
                </pic:pic>
              </a:graphicData>
            </a:graphic>
          </wp:inline>
        </w:drawing>
      </w:r>
    </w:p>
    <w:p>
      <w:pPr>
        <w:pStyle w:val="Title"/>
      </w:pPr>
      <w:r>
        <w:t>Assignment 1 Choosing your mortgage</w:t>
      </w:r>
    </w:p>
    <w:p>
      <w:pPr>
        <w:pStyle w:val="Subtitle"/>
      </w:pPr>
      <w:r>
        <w:t>Data Analytics for Better Decisions · Individual assignment · Part 1 of 2</w:t>
      </w:r>
    </w:p>
    <w:p>
      <w:r>
        <w:t>Choose a real property, compare mortgage offers and make an initial financing decision. Use generative AI for research and calculations, verify its outputs and explain your own reasoning. Assignment 2 will test the same decision under uncertainty. Suggested workload: 3–4 hours.</w:t>
      </w:r>
    </w:p>
    <w:p>
      <w:pPr>
        <w:pStyle w:val="Heading1"/>
      </w:pPr>
      <w:r>
        <w:t>1 Set up your case</w:t>
      </w:r>
    </w:p>
    <w:p>
      <w:r>
        <w:t>Before starting the activity, write down your initial mortgage preference, maximum monthly payment, minimum cash reserve and what might change your mind. Use a real or coherent fictional financial profile; private information is not required.</w:t>
      </w:r>
    </w:p>
    <w:p>
      <w:pPr>
        <w:pStyle w:val="ListBullet"/>
      </w:pPr>
      <w:r>
        <w:t>Select a property priced above €100,000 or its local currency equivalent. Include a screenshot, link and access date, and explain why it fits your profile.</w:t>
      </w:r>
    </w:p>
    <w:p>
      <w:pPr>
        <w:pStyle w:val="ListBullet"/>
      </w:pPr>
      <w:r>
        <w:t>Assume a down payment of at least 30% and a mortgage of at least €50,000 or equivalent. This is a simulation, not a real loan application.</w:t>
      </w:r>
    </w:p>
    <w:p>
      <w:pPr>
        <w:pStyle w:val="ListBullet"/>
      </w:pPr>
      <w:r>
        <w:t>Check: principal = price − down payment</w:t>
      </w:r>
    </w:p>
    <w:p>
      <w:pPr>
        <w:pStyle w:val="Heading1"/>
      </w:pPr>
      <w:r>
        <w:t>2 Compare offers and calculate payments</w:t>
      </w:r>
    </w:p>
    <w:p>
      <w:r>
        <w:t>Find two fixed and two variable offers from at least two lenders in your country. Use lender sources and record links, dates and screenshots. In a compact table, include only lender, mortgage type and applicable annual nominal interest rate.</w:t>
      </w:r>
    </w:p>
    <w:p>
      <w:r>
        <w:t>Select one of each type, using the same currency, principal and 20 year term. Assume the fixed rate lasts all 20 years; flag any difference from the offer. Ignore fees and linked products.</w:t>
      </w:r>
    </w:p>
    <w:p>
      <w:r>
        <w:t>Use the formula and generative AI in Colab to simulate 240 monthly payments and total interest for the fixed mortgage and three variable scenarios. Assume annual reviews, first after twelve payments:</w:t>
      </w:r>
    </w:p>
    <w:p>
      <w:pPr>
        <w:pStyle w:val="ListBullet"/>
      </w:pPr>
      <w:r>
        <w:t>Base: the starting annual nominal rate stays unchanged for all 20 years.</w:t>
      </w:r>
    </w:p>
    <w:p>
      <w:pPr>
        <w:pStyle w:val="ListBullet"/>
      </w:pPr>
      <w:r>
        <w:t>Acid: the rate rises by 2 percentage points from month 13 and remains there.</w:t>
      </w:r>
    </w:p>
    <w:p>
      <w:pPr>
        <w:pStyle w:val="ListBullet"/>
      </w:pPr>
      <w:r>
        <w:t>Positive: the rate falls by 1 percentage point from month 13 and remains there; assume a zero minimum rate for this exercise.</w:t>
      </w:r>
    </w:p>
    <w:p>
      <w:pPr>
        <w:jc w:val="center"/>
      </w:pPr>
      <m:oMath>
        <m:r>
          <m:t>C = P × </m:t>
        </m:r>
        <m:f>
          <m:num>
            <m:r>
              <m:t>i</m:t>
            </m:r>
          </m:num>
          <m:den>
            <m:r>
              <m:t>1 − </m:t>
            </m:r>
            <m:sSup>
              <m:e>
                <m:r>
                  <m:t>(1 + i)</m:t>
                </m:r>
              </m:e>
              <m:sup>
                <m:r>
                  <m:t>−n</m:t>
                </m:r>
              </m:sup>
            </m:sSup>
          </m:den>
        </m:f>
      </m:oMath>
    </w:p>
    <w:p>
      <w:r>
        <w:t>C is the payment, P the outstanding principal, i = annual nominal rate in decimal form / 12, and n the remaining months (240 initially). Recalculate after rate reviews using the remaining balance and term. If i = 0, C = P / n. Verify one payment independently.</w:t>
      </w:r>
    </w:p>
    <w:p>
      <w:r>
        <w:t>Report the initial and revised payments, total paid over 20 years and total interest. With fees excluded, total interest = sum of all payments − original principal. These scenarios are assumptions, not forecasts.</w:t>
      </w:r>
    </w:p>
    <w:p>
      <w:pPr>
        <w:pStyle w:val="Heading1"/>
        <w:pageBreakBefore/>
      </w:pPr>
      <w:r>
        <w:t>3 Explain your decision and possible unconscious biases</w:t>
      </w:r>
    </w:p>
    <w:p>
      <w:r>
        <w:t>Did you change your mind after looking at the numbers and comparing the benefits of fixed and variable mortgages? State your original preference and your provisional choice. Explain which figures influenced you most, weighing payment stability, potential savings and contractual repayment flexibility. If your view stayed the same, explain why. Justify your choice against your budget and reserve, and identify one risk to investigate in Assignment 2.</w:t>
      </w:r>
    </w:p>
    <w:p>
      <w:r>
        <w:t>Include a 100–150 word reflection on at least two possible unconscious biases that may have influenced your chosen path, including your property or mortgage selection. Consider anchoring on the first advertised payment, confirmation bias, loss aversion or a halo effect from an attractive property or familiar lender.</w:t>
      </w:r>
    </w:p>
    <w:p>
      <w:pPr>
        <w:pStyle w:val="ListBullet"/>
      </w:pPr>
      <w:r>
        <w:t>Identify a specific moment or piece of information in your process where each bias may have operated. What did you give too much weight to, or overlook?</w:t>
      </w:r>
    </w:p>
    <w:p>
      <w:pPr>
        <w:pStyle w:val="ListBullet"/>
      </w:pPr>
      <w:r>
        <w:t>Explain how it could have influenced your choice and one action you took, or would take, to counter it. Distinguish a justified preference for stability from a possible bias.</w:t>
      </w:r>
    </w:p>
    <w:p>
      <w:r>
        <w:t>Treat these as plausible influences supported by your process, not proven diagnoses. Naming or defining biases alone is insufficient. You do not need to disclose sensitive personal experiences.</w:t>
      </w:r>
    </w:p>
    <w:p>
      <w:pPr>
        <w:pStyle w:val="Heading1"/>
      </w:pPr>
      <w:r>
        <w:t>4 Submit your work</w:t>
      </w:r>
    </w:p>
    <w:p>
      <w:pPr>
        <w:pStyle w:val="ListBullet"/>
      </w:pPr>
      <w:r>
        <w:t>A 500–700 word report, including the bias reflection, excluding tables, references and appendices.</w:t>
      </w:r>
    </w:p>
    <w:p>
      <w:pPr>
        <w:pStyle w:val="ListBullet"/>
      </w:pPr>
      <w:r>
        <w:t>Your four offer comparison, source evidence and executed notebook with the fixed mortgage and three variable simulations. Include a summary table of payments and total interest.</w:t>
      </w:r>
    </w:p>
    <w:p>
      <w:pPr>
        <w:pStyle w:val="ListBullet"/>
      </w:pPr>
      <w:r>
        <w:t>Two brief AI log entries with the prompt, relevant output, your verification and whether you accepted, modified or rejected it. Disclose other significant AI use.</w:t>
      </w:r>
    </w:p>
    <w:p>
      <w:r>
        <w:t>Keep the submitted version, your written starting preferences and any feedback. Assignment 2 must continue the same property, profile and two finalists. Record later corrections rather than silently replacing earlier work.</w:t>
      </w:r>
    </w:p>
    <w:p>
      <w:pPr>
        <w:pStyle w:val="Heading2"/>
      </w:pPr>
      <w:r>
        <w:t>Assessment rubric out of 100 points</w:t>
      </w:r>
    </w:p>
    <w:tbl>
      <w:tblPr>
        <w:tblW w:type="auto" w:w="0"/>
        <w:jc w:val="center"/>
        <w:tblLayout w:type="fixed"/>
        <w:tblLook w:firstColumn="1" w:firstRow="1" w:lastColumn="0" w:lastRow="0" w:noHBand="0" w:noVBand="1" w:val="04A0"/>
      </w:tblPr>
      <w:tblGrid>
        <w:gridCol w:w="3168"/>
        <w:gridCol w:w="1152"/>
        <w:gridCol w:w="5760"/>
      </w:tblGrid>
      <w:tr>
        <w:trPr>
          <w:cantSplit/>
          <w:tblHeader/>
        </w:trPr>
        <w:tc>
          <w:tcPr>
            <w:tcW w:type="dxa" w:w="3168"/>
            <w:vAlign w:val="center"/>
            <w:shd w:fill="00006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4"/>
              </w:rPr>
              <w:t>Criterion</w:t>
            </w:r>
          </w:p>
        </w:tc>
        <w:tc>
          <w:tcPr>
            <w:tcW w:type="dxa" w:w="1152"/>
            <w:vAlign w:val="center"/>
            <w:shd w:fill="00006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4"/>
              </w:rPr>
              <w:t>Points</w:t>
            </w:r>
          </w:p>
        </w:tc>
        <w:tc>
          <w:tcPr>
            <w:tcW w:type="dxa" w:w="5760"/>
            <w:vAlign w:val="center"/>
            <w:shd w:fill="00006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color w:val="FFFFFF"/>
                <w:sz w:val="24"/>
              </w:rPr>
              <w:t>Evidence assessed</w:t>
            </w:r>
          </w:p>
        </w:tc>
      </w:tr>
      <w:tr>
        <w:trPr>
          <w:cantSplit/>
        </w:trPr>
        <w:tc>
          <w:tcPr>
            <w:tcW w:type="dxa" w:w="3168"/>
            <w:vAlign w:val="center"/>
            <w:shd w:fill="F8F8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Case and sources</w:t>
            </w:r>
          </w:p>
        </w:tc>
        <w:tc>
          <w:tcPr>
            <w:tcW w:type="dxa" w:w="1152"/>
            <w:vAlign w:val="center"/>
            <w:shd w:fill="F8F8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30</w:t>
            </w:r>
          </w:p>
        </w:tc>
        <w:tc>
          <w:tcPr>
            <w:tcW w:type="dxa" w:w="5760"/>
            <w:vAlign w:val="center"/>
            <w:shd w:fill="F8F8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t>Property, down payment, principal and four verified offers.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Payment calculations</w:t>
            </w:r>
          </w:p>
        </w:tc>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25</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t>Correct 20 year simulations, total interest and independent check.</w:t>
            </w:r>
          </w:p>
        </w:tc>
      </w:tr>
      <w:tr>
        <w:trPr>
          <w:cantSplit/>
        </w:trPr>
        <w:tc>
          <w:tcPr>
            <w:tcW w:type="dxa" w:w="3168"/>
            <w:vAlign w:val="center"/>
            <w:shd w:fill="F8F8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Decision and biases</w:t>
            </w:r>
          </w:p>
        </w:tc>
        <w:tc>
          <w:tcPr>
            <w:tcW w:type="dxa" w:w="1152"/>
            <w:vAlign w:val="center"/>
            <w:shd w:fill="F8F8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25</w:t>
            </w:r>
          </w:p>
        </w:tc>
        <w:tc>
          <w:tcPr>
            <w:tcW w:type="dxa" w:w="5760"/>
            <w:vAlign w:val="center"/>
            <w:shd w:fill="F8F8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Evidence based choice and specific reflection on two possible biases.</w:t>
            </w:r>
          </w:p>
        </w:tc>
      </w:tr>
      <w:tr>
        <w:trPr>
          <w:cantSplit/>
        </w:trPr>
        <w:tc>
          <w:tcPr>
            <w:tcW w:type="dxa" w:w="31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Process and AI use</w:t>
            </w:r>
          </w:p>
        </w:tc>
        <w:tc>
          <w:tcPr>
            <w:tcW w:type="dxa" w:w="11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rPr>
                <w:b w:val="0"/>
                <w:color w:val="0F0F0F"/>
                <w:sz w:val="24"/>
              </w:rPr>
              <w:t>20</w:t>
            </w:r>
          </w:p>
        </w:tc>
        <w:tc>
          <w:tcPr>
            <w:tcW w:type="dxa" w:w="57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5" w:lineRule="auto"/>
            </w:pPr>
            <w:r>
              <w:t>Written starting preferences, verified AI outputs and preserved work.</w:t>
            </w:r>
          </w:p>
        </w:tc>
      </w:tr>
    </w:tbl>
    <w:p>
      <w:pPr>
        <w:spacing w:after="0" w:line="120" w:lineRule="exact"/>
      </w:pPr>
    </w:p>
    <w:p>
      <w:r>
        <w:t>Both mortgage choices can receive full marks when the evidence and reasoning support them.</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Data Analytics for Better Decisions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F0F0F"/>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color w:val="0F0F0F"/>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F0F0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Times New Roman" w:hAnsi="Times New Roman"/>
      <w:color w:val="0F0F0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prof-apartida/data-exercises/blob/main/ecb_monetary_policy_monthly.csv" TargetMode="External"/><Relationship Id="rId12" Type="http://schemas.openxmlformats.org/officeDocument/2006/relationships/hyperlink" Target="https://clientebancario.bde.es/pcb/es/menu-horizontal/podemosayudarte/simuladores/simulador_prestamo_hipotecario_personal.html" TargetMode="External"/><Relationship Id="rId13" Type="http://schemas.openxmlformats.org/officeDocument/2006/relationships/hyperlink" Target="https://clientebancario.bde.es/pcb/es/menu-horizontal/podemosayudarte/simuladores/calculo-de-la-tae-de-un-prestamo-hipotecario.html" TargetMode="External"/><Relationship Id="rId14" Type="http://schemas.openxmlformats.org/officeDocument/2006/relationships/hyperlink" Target="https://www.ecb.europa.eu/mopo/intro/transmission/html/index.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Choosing your mortgage</dc:title>
  <dc:subject/>
  <dc:creator>Angélica Partida</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