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rFonts w:ascii="Arial" w:cs="Arial" w:eastAsia="Arial" w:hAnsi="Arial"/>
          <w:b w:val="1"/>
          <w:bCs w:val="1"/>
          <w:i w:val="1"/>
          <w:iCs w:val="1"/>
          <w:color w:val="555555"/>
          <w:sz w:val="22"/>
          <w:szCs w:val="22"/>
        </w:rPr>
      </w:pPr>
      <w:r w:rsidDel="00000000" w:rsidR="00000000" w:rsidRPr="00000000">
        <w:rPr>
          <w:b w:val="1"/>
          <w:bCs w:val="1"/>
          <w:i w:val="1"/>
          <w:iCs w:val="1"/>
          <w:color w:val="555555"/>
          <w:rtl w:val="0"/>
        </w:rPr>
        <w:t xml:space="preserve">      </w:t>
      </w:r>
      <w:r w:rsidDel="00000000" w:rsidR="00000000" w:rsidRPr="00000000">
        <w:rPr>
          <w:b w:val="1"/>
          <w:bCs w:val="1"/>
          <w:i w:val="1"/>
          <w:iCs w:val="1"/>
          <w:color w:val="555555"/>
        </w:rPr>
        <w:drawing>
          <wp:inline distB="114300" distT="114300" distL="114300" distR="114300">
            <wp:extent cx="889340" cy="900055"/>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889340" cy="900055"/>
                    </a:xfrm>
                    <a:prstGeom prst="rect"/>
                    <a:ln/>
                  </pic:spPr>
                </pic:pic>
              </a:graphicData>
            </a:graphic>
          </wp:inline>
        </w:drawing>
      </w:r>
      <w:r w:rsidDel="00000000" w:rsidR="00000000" w:rsidRPr="00000000">
        <w:rPr>
          <w:b w:val="1"/>
          <w:bCs w:val="1"/>
          <w:i w:val="1"/>
          <w:iCs w:val="1"/>
          <w:color w:val="555555"/>
          <w:rtl w:val="0"/>
        </w:rPr>
        <w:t xml:space="preserve">                                                                                                  </w:t>
      </w:r>
      <w:r w:rsidDel="00000000" w:rsidR="00000000" w:rsidRPr="00000000">
        <w:rPr>
          <w:b w:val="1"/>
          <w:bCs w:val="1"/>
          <w:i w:val="1"/>
          <w:iCs w:val="1"/>
          <w:color w:val="555555"/>
        </w:rPr>
        <w:drawing>
          <wp:inline distB="114300" distT="114300" distL="114300" distR="114300">
            <wp:extent cx="1560262" cy="70485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60262"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555555"/>
          <w:sz w:val="24"/>
          <w:szCs w:val="24"/>
        </w:rPr>
      </w:pPr>
      <w:r w:rsidDel="00000000" w:rsidR="00000000" w:rsidRPr="00000000">
        <w:rPr>
          <w:b w:val="1"/>
          <w:bCs w:val="1"/>
          <w:i w:val="1"/>
          <w:iCs w:val="1"/>
          <w:color w:val="555555"/>
          <w:sz w:val="24"/>
          <w:szCs w:val="24"/>
          <w:rtl w:val="0"/>
        </w:rPr>
        <w:t xml:space="preserve">Universidad Nacional Experimental de los Llanos Ezequiel Zamora</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color w:val="555555"/>
          <w:sz w:val="24"/>
          <w:szCs w:val="24"/>
        </w:rPr>
      </w:pPr>
      <w:r w:rsidDel="00000000" w:rsidR="00000000" w:rsidRPr="00000000">
        <w:rPr>
          <w:b w:val="1"/>
          <w:bCs w:val="1"/>
          <w:i w:val="1"/>
          <w:iCs w:val="1"/>
          <w:color w:val="555555"/>
          <w:sz w:val="24"/>
          <w:szCs w:val="24"/>
          <w:rtl w:val="0"/>
        </w:rPr>
        <w:t xml:space="preserve">Maestría en Gerencia General</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4"/>
          <w:szCs w:val="24"/>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4"/>
          <w:szCs w:val="2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4"/>
          <w:szCs w:val="24"/>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color w:val="003366"/>
          <w:sz w:val="64"/>
          <w:szCs w:val="64"/>
        </w:rPr>
      </w:pPr>
      <w:r w:rsidDel="00000000" w:rsidR="00000000" w:rsidRPr="00000000">
        <w:rPr>
          <w:b w:val="1"/>
          <w:bCs w:val="1"/>
          <w:i w:val="1"/>
          <w:iCs w:val="1"/>
          <w:color w:val="003366"/>
          <w:sz w:val="64"/>
          <w:szCs w:val="64"/>
          <w:rtl w:val="0"/>
        </w:rPr>
        <w:t xml:space="preserve">Dirección Presupuestaria Avanzada: El Mapa de Navegación Gerencial para la Planificación y el Control de Riesgos</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003366"/>
          <w:sz w:val="64"/>
          <w:szCs w:val="6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color w:val="333333"/>
          <w:sz w:val="28"/>
          <w:szCs w:val="28"/>
        </w:rPr>
      </w:pPr>
      <w:r w:rsidDel="00000000" w:rsidR="00000000" w:rsidRPr="00000000">
        <w:rPr>
          <w:b w:val="1"/>
          <w:bCs w:val="1"/>
          <w:i w:val="1"/>
          <w:iCs w:val="1"/>
          <w:color w:val="333333"/>
          <w:sz w:val="28"/>
          <w:szCs w:val="28"/>
          <w:rtl w:val="0"/>
        </w:rPr>
        <w:t xml:space="preserve">Vol. 1: Optimización Financiera y Control Presupuestario en la Alta Gerencia</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333333"/>
          <w:sz w:val="28"/>
          <w:szCs w:val="28"/>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333333"/>
          <w:sz w:val="28"/>
          <w:szCs w:val="28"/>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333333"/>
          <w:sz w:val="28"/>
          <w:szCs w:val="28"/>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333333"/>
          <w:sz w:val="28"/>
          <w:szCs w:val="28"/>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333333"/>
          <w:sz w:val="28"/>
          <w:szCs w:val="28"/>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333333"/>
          <w:sz w:val="28"/>
          <w:szCs w:val="28"/>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333333"/>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b w:val="1"/>
          <w:bCs w:val="1"/>
          <w:i w:val="1"/>
          <w:iCs w:val="1"/>
          <w:color w:val="333333"/>
          <w:rtl w:val="0"/>
        </w:rPr>
        <w:t xml:space="preserve">Arráez, María</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b w:val="1"/>
          <w:bCs w:val="1"/>
          <w:i w:val="1"/>
          <w:iCs w:val="1"/>
          <w:color w:val="333333"/>
          <w:rtl w:val="0"/>
        </w:rPr>
        <w:t xml:space="preserve">Diaz, Luzangeli</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b w:val="1"/>
          <w:bCs w:val="1"/>
          <w:i w:val="1"/>
          <w:iCs w:val="1"/>
          <w:color w:val="333333"/>
          <w:rtl w:val="0"/>
        </w:rPr>
        <w:t xml:space="preserve">Duarte, Carlos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b w:val="1"/>
          <w:bCs w:val="1"/>
          <w:i w:val="1"/>
          <w:iCs w:val="1"/>
          <w:color w:val="333333"/>
          <w:rtl w:val="0"/>
        </w:rPr>
        <w:t xml:space="preserve">Gil, Henry</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b w:val="1"/>
          <w:bCs w:val="1"/>
          <w:i w:val="1"/>
          <w:iCs w:val="1"/>
          <w:color w:val="333333"/>
          <w:rtl w:val="0"/>
        </w:rPr>
        <w:t xml:space="preserve">Tarazona, Vicmar</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i w:val="1"/>
          <w:iCs w:val="1"/>
          <w:color w:val="333333"/>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333333"/>
          <w:sz w:val="22"/>
          <w:szCs w:val="22"/>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color w:val="666666"/>
          <w:sz w:val="20"/>
          <w:szCs w:val="20"/>
        </w:rPr>
      </w:pPr>
      <w:r w:rsidDel="00000000" w:rsidR="00000000" w:rsidRPr="00000000">
        <w:rPr>
          <w:b w:val="1"/>
          <w:bCs w:val="1"/>
          <w:i w:val="1"/>
          <w:iCs w:val="1"/>
          <w:color w:val="666666"/>
          <w:sz w:val="20"/>
          <w:szCs w:val="20"/>
          <w:rtl w:val="0"/>
        </w:rPr>
        <w:t xml:space="preserve">Julio</w:t>
      </w:r>
      <w:r w:rsidDel="00000000" w:rsidR="00000000" w:rsidRPr="00000000">
        <w:rPr>
          <w:rFonts w:ascii="Arial" w:cs="Arial" w:eastAsia="Arial" w:hAnsi="Arial"/>
          <w:b w:val="1"/>
          <w:bCs w:val="1"/>
          <w:i w:val="1"/>
          <w:iCs w:val="1"/>
          <w:color w:val="666666"/>
          <w:sz w:val="20"/>
          <w:szCs w:val="20"/>
          <w:rtl w:val="0"/>
        </w:rPr>
        <w:t xml:space="preserve">  </w:t>
      </w:r>
      <w:r w:rsidDel="00000000" w:rsidR="00000000" w:rsidRPr="00000000">
        <w:rPr>
          <w:b w:val="1"/>
          <w:bCs w:val="1"/>
          <w:i w:val="1"/>
          <w:iCs w:val="1"/>
          <w:color w:val="666666"/>
          <w:sz w:val="20"/>
          <w:szCs w:val="20"/>
          <w:rtl w:val="0"/>
        </w:rPr>
        <w:t xml:space="preserve">2026</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color w:val="666666"/>
          <w:sz w:val="20"/>
          <w:szCs w:val="20"/>
        </w:rPr>
      </w:pPr>
      <w:r w:rsidDel="00000000" w:rsidR="00000000" w:rsidRPr="00000000">
        <w:rPr>
          <w:b w:val="1"/>
          <w:bCs w:val="1"/>
          <w:i w:val="1"/>
          <w:iCs w:val="1"/>
          <w:color w:val="666666"/>
          <w:sz w:val="20"/>
          <w:szCs w:val="20"/>
          <w:rtl w:val="0"/>
        </w:rPr>
        <w:t xml:space="preserve">Tinaquillo</w:t>
      </w:r>
      <w:r w:rsidDel="00000000" w:rsidR="00000000" w:rsidRPr="00000000">
        <w:rPr>
          <w:rFonts w:ascii="Arial" w:cs="Arial" w:eastAsia="Arial" w:hAnsi="Arial"/>
          <w:b w:val="1"/>
          <w:bCs w:val="1"/>
          <w:i w:val="1"/>
          <w:iCs w:val="1"/>
          <w:color w:val="666666"/>
          <w:sz w:val="20"/>
          <w:szCs w:val="20"/>
          <w:rtl w:val="0"/>
        </w:rPr>
        <w:t xml:space="preserve"> </w:t>
      </w:r>
      <w:r w:rsidDel="00000000" w:rsidR="00000000" w:rsidRPr="00000000">
        <w:rPr>
          <w:b w:val="1"/>
          <w:bCs w:val="1"/>
          <w:i w:val="1"/>
          <w:iCs w:val="1"/>
          <w:color w:val="666666"/>
          <w:sz w:val="20"/>
          <w:szCs w:val="20"/>
          <w:rtl w:val="0"/>
        </w:rPr>
        <w:t xml:space="preserve">- Venezuela</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widowControl w:val="0"/>
        <w:spacing w:after="360" w:lineRule="auto"/>
        <w:jc w:val="center"/>
        <w:rPr>
          <w:b w:val="1"/>
          <w:bCs w:val="1"/>
          <w:i w:val="1"/>
          <w:iCs w:val="1"/>
          <w:color w:val="003366"/>
          <w:sz w:val="44"/>
          <w:szCs w:val="44"/>
        </w:rPr>
      </w:pPr>
      <w:bookmarkStart w:colFirst="0" w:colLast="0" w:name="_y0zyb2yr6eui" w:id="0"/>
      <w:bookmarkEnd w:id="0"/>
      <w:r w:rsidDel="00000000" w:rsidR="00000000" w:rsidRPr="00000000">
        <w:rPr>
          <w:b w:val="1"/>
          <w:bCs w:val="1"/>
          <w:i w:val="1"/>
          <w:iCs w:val="1"/>
          <w:color w:val="003366"/>
          <w:sz w:val="44"/>
          <w:szCs w:val="44"/>
          <w:rtl w:val="0"/>
        </w:rPr>
        <w:t xml:space="preserve">CONTENIDO EDITORIAL</w:t>
      </w:r>
    </w:p>
    <w:sdt>
      <w:sdtPr>
        <w:id w:val="-1492265216"/>
        <w:docPartObj>
          <w:docPartGallery w:val="Table of Contents"/>
          <w:docPartUnique w:val="1"/>
        </w:docPartObj>
      </w:sdtPr>
      <w:sdtContent>
        <w:p w:rsidR="00000000" w:rsidDel="00000000" w:rsidP="00000000" w:rsidRDefault="00000000" w:rsidRPr="00000000" w14:paraId="0000001E">
          <w:pPr>
            <w:widowControl w:val="0"/>
            <w:tabs>
              <w:tab w:val="right" w:leader="dot" w:pos="10539.212"/>
            </w:tabs>
            <w:spacing w:before="60" w:line="240" w:lineRule="auto"/>
            <w:rPr>
              <w:b w:val="1"/>
              <w:bCs w:val="1"/>
              <w:i w:val="1"/>
              <w:iCs w:val="1"/>
              <w:color w:val="333333"/>
              <w:sz w:val="20"/>
              <w:szCs w:val="20"/>
            </w:rPr>
          </w:pPr>
          <w:r w:rsidDel="00000000" w:rsidR="00000000" w:rsidRPr="00000000">
            <w:fldChar w:fldCharType="begin"/>
            <w:instrText xml:space="preserve"> TOC \h \u \z \t "Heading 1,1,Heading 2,2,Heading 3,3,Heading 4,4,Heading 5,5,Heading 6,6,"</w:instrText>
            <w:fldChar w:fldCharType="separate"/>
          </w:r>
          <w:hyperlink w:anchor="_y0zyb2yr6eui">
            <w:r w:rsidDel="00000000" w:rsidR="00000000" w:rsidRPr="00000000">
              <w:rPr>
                <w:b w:val="1"/>
                <w:bCs w:val="1"/>
                <w:i w:val="1"/>
                <w:iCs w:val="1"/>
                <w:color w:val="333333"/>
                <w:sz w:val="20"/>
                <w:szCs w:val="20"/>
                <w:rtl w:val="0"/>
              </w:rPr>
              <w:t xml:space="preserve">CONTENIDO EDITORIAL</w:t>
              <w:tab/>
              <w:t xml:space="preserve">2</w:t>
            </w:r>
          </w:hyperlink>
          <w:r w:rsidDel="00000000" w:rsidR="00000000" w:rsidRPr="00000000">
            <w:rPr>
              <w:rtl w:val="0"/>
            </w:rPr>
          </w:r>
        </w:p>
        <w:p w:rsidR="00000000" w:rsidDel="00000000" w:rsidP="00000000" w:rsidRDefault="00000000" w:rsidRPr="00000000" w14:paraId="0000001F">
          <w:pPr>
            <w:widowControl w:val="0"/>
            <w:tabs>
              <w:tab w:val="right" w:leader="dot" w:pos="10539.212"/>
            </w:tabs>
            <w:spacing w:before="60" w:line="240" w:lineRule="auto"/>
            <w:rPr>
              <w:b w:val="1"/>
              <w:bCs w:val="1"/>
              <w:i w:val="1"/>
              <w:iCs w:val="1"/>
              <w:color w:val="333333"/>
              <w:sz w:val="20"/>
              <w:szCs w:val="20"/>
            </w:rPr>
          </w:pPr>
          <w:hyperlink w:anchor="_fh6bxgraag0c">
            <w:r w:rsidDel="00000000" w:rsidR="00000000" w:rsidRPr="00000000">
              <w:rPr>
                <w:b w:val="1"/>
                <w:bCs w:val="1"/>
                <w:i w:val="1"/>
                <w:iCs w:val="1"/>
                <w:color w:val="333333"/>
                <w:sz w:val="20"/>
                <w:szCs w:val="20"/>
                <w:rtl w:val="0"/>
              </w:rPr>
              <w:t xml:space="preserve">INTRODUCCIÓN EDITORIAL</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0539.212"/>
            </w:tabs>
            <w:spacing w:before="60" w:line="240" w:lineRule="auto"/>
            <w:rPr>
              <w:b w:val="1"/>
              <w:bCs w:val="1"/>
              <w:i w:val="1"/>
              <w:iCs w:val="1"/>
              <w:color w:val="333333"/>
              <w:sz w:val="20"/>
              <w:szCs w:val="20"/>
            </w:rPr>
          </w:pPr>
          <w:hyperlink w:anchor="_yc7xr150qavd">
            <w:r w:rsidDel="00000000" w:rsidR="00000000" w:rsidRPr="00000000">
              <w:rPr>
                <w:b w:val="1"/>
                <w:bCs w:val="1"/>
                <w:i w:val="1"/>
                <w:iCs w:val="1"/>
                <w:color w:val="333333"/>
                <w:sz w:val="20"/>
                <w:szCs w:val="20"/>
                <w:rtl w:val="0"/>
              </w:rPr>
              <w:t xml:space="preserve">Planificación Estratégica y Presupuestaria: Análisis de los Factores Críticos y Herramientas de Integración Directiva ante la Dinámica del Entorno Global</w:t>
              <w:br w:type="textWrapping"/>
            </w:r>
          </w:hyperlink>
          <w:r w:rsidDel="00000000" w:rsidR="00000000" w:rsidRPr="00000000">
            <w:rPr>
              <w:b w:val="1"/>
              <w:bCs w:val="1"/>
              <w:i w:val="1"/>
              <w:iCs w:val="1"/>
              <w:color w:val="333333"/>
              <w:sz w:val="20"/>
              <w:szCs w:val="20"/>
              <w:rtl w:val="0"/>
            </w:rPr>
            <w:t xml:space="preserve">Autor: Luzangeli  Díaz</w:t>
          </w:r>
          <w:hyperlink w:anchor="_yc7xr150qavd">
            <w:r w:rsidDel="00000000" w:rsidR="00000000" w:rsidRPr="00000000">
              <w:rPr>
                <w:b w:val="1"/>
                <w:bCs w:val="1"/>
                <w:i w:val="1"/>
                <w:iCs w:val="1"/>
                <w:color w:val="333333"/>
                <w:sz w:val="20"/>
                <w:szCs w:val="20"/>
                <w:rtl w:val="0"/>
              </w:rPr>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0539.212"/>
            </w:tabs>
            <w:spacing w:before="60" w:line="240" w:lineRule="auto"/>
            <w:rPr>
              <w:b w:val="1"/>
              <w:bCs w:val="1"/>
              <w:i w:val="1"/>
              <w:iCs w:val="1"/>
              <w:color w:val="333333"/>
              <w:sz w:val="20"/>
              <w:szCs w:val="20"/>
            </w:rPr>
          </w:pPr>
          <w:hyperlink w:anchor="_il1li981ix3z">
            <w:r w:rsidDel="00000000" w:rsidR="00000000" w:rsidRPr="00000000">
              <w:rPr>
                <w:b w:val="1"/>
                <w:bCs w:val="1"/>
                <w:i w:val="1"/>
                <w:iCs w:val="1"/>
                <w:color w:val="333333"/>
                <w:sz w:val="20"/>
                <w:szCs w:val="20"/>
                <w:rtl w:val="0"/>
              </w:rPr>
              <w:t xml:space="preserve">La Arquitectura Presupuestaria como Eje de Competitividad y Control Gerencial</w:t>
              <w:br w:type="textWrapping"/>
            </w:r>
          </w:hyperlink>
          <w:r w:rsidDel="00000000" w:rsidR="00000000" w:rsidRPr="00000000">
            <w:rPr>
              <w:b w:val="1"/>
              <w:bCs w:val="1"/>
              <w:i w:val="1"/>
              <w:iCs w:val="1"/>
              <w:color w:val="333333"/>
              <w:sz w:val="20"/>
              <w:szCs w:val="20"/>
              <w:rtl w:val="0"/>
            </w:rPr>
            <w:t xml:space="preserve">Autor: Vicmar Tarazona</w:t>
          </w:r>
          <w:hyperlink w:anchor="_il1li981ix3z">
            <w:r w:rsidDel="00000000" w:rsidR="00000000" w:rsidRPr="00000000">
              <w:rPr>
                <w:b w:val="1"/>
                <w:bCs w:val="1"/>
                <w:i w:val="1"/>
                <w:iCs w:val="1"/>
                <w:color w:val="333333"/>
                <w:sz w:val="20"/>
                <w:szCs w:val="20"/>
                <w:rtl w:val="0"/>
              </w:rPr>
              <w:t xml:space="preserve">.</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0539.212"/>
            </w:tabs>
            <w:spacing w:before="60" w:line="240" w:lineRule="auto"/>
            <w:rPr>
              <w:b w:val="1"/>
              <w:bCs w:val="1"/>
              <w:i w:val="1"/>
              <w:iCs w:val="1"/>
              <w:color w:val="333333"/>
              <w:sz w:val="20"/>
              <w:szCs w:val="20"/>
            </w:rPr>
          </w:pPr>
          <w:hyperlink w:anchor="_bkre822wsq7r">
            <w:r w:rsidDel="00000000" w:rsidR="00000000" w:rsidRPr="00000000">
              <w:rPr>
                <w:b w:val="1"/>
                <w:bCs w:val="1"/>
                <w:i w:val="1"/>
                <w:iCs w:val="1"/>
                <w:color w:val="333333"/>
                <w:sz w:val="20"/>
                <w:szCs w:val="20"/>
                <w:rtl w:val="0"/>
              </w:rPr>
              <w:t xml:space="preserve">Sincronización Estratégica del Presupuesto Operativo: Integración de Ventas y Producción bajo la Perspectiva de la Gerencia General</w:t>
              <w:br w:type="textWrapping"/>
            </w:r>
          </w:hyperlink>
          <w:r w:rsidDel="00000000" w:rsidR="00000000" w:rsidRPr="00000000">
            <w:rPr>
              <w:b w:val="1"/>
              <w:bCs w:val="1"/>
              <w:i w:val="1"/>
              <w:iCs w:val="1"/>
              <w:color w:val="333333"/>
              <w:sz w:val="20"/>
              <w:szCs w:val="20"/>
              <w:rtl w:val="0"/>
            </w:rPr>
            <w:t xml:space="preserve">Autor: Carlos Duarte.</w:t>
          </w:r>
          <w:hyperlink w:anchor="_bkre822wsq7r">
            <w:r w:rsidDel="00000000" w:rsidR="00000000" w:rsidRPr="00000000">
              <w:rPr>
                <w:b w:val="1"/>
                <w:bCs w:val="1"/>
                <w:i w:val="1"/>
                <w:iCs w:val="1"/>
                <w:color w:val="333333"/>
                <w:sz w:val="20"/>
                <w:szCs w:val="20"/>
                <w:rtl w:val="0"/>
              </w:rPr>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0539.212"/>
            </w:tabs>
            <w:spacing w:before="60" w:line="240" w:lineRule="auto"/>
            <w:rPr>
              <w:b w:val="1"/>
              <w:bCs w:val="1"/>
              <w:i w:val="1"/>
              <w:iCs w:val="1"/>
              <w:color w:val="333333"/>
              <w:sz w:val="20"/>
              <w:szCs w:val="20"/>
            </w:rPr>
          </w:pPr>
          <w:hyperlink w:anchor="_8i0b0khndbcm">
            <w:r w:rsidDel="00000000" w:rsidR="00000000" w:rsidRPr="00000000">
              <w:rPr>
                <w:b w:val="1"/>
                <w:bCs w:val="1"/>
                <w:i w:val="1"/>
                <w:iCs w:val="1"/>
                <w:color w:val="333333"/>
                <w:sz w:val="20"/>
                <w:szCs w:val="20"/>
                <w:rtl w:val="0"/>
              </w:rPr>
              <w:t xml:space="preserve">Modelado Estocástico y Determinista de Estados Financieros Presupuestados: Un Enfoque Metodológico para la Mitigación del Riesgo Operativo en la Economía de la Firma</w:t>
              <w:br w:type="textWrapping"/>
            </w:r>
          </w:hyperlink>
          <w:r w:rsidDel="00000000" w:rsidR="00000000" w:rsidRPr="00000000">
            <w:rPr>
              <w:b w:val="1"/>
              <w:bCs w:val="1"/>
              <w:i w:val="1"/>
              <w:iCs w:val="1"/>
              <w:color w:val="333333"/>
              <w:sz w:val="20"/>
              <w:szCs w:val="20"/>
              <w:rtl w:val="0"/>
            </w:rPr>
            <w:t xml:space="preserve">Autor: Henrry  Gil</w:t>
          </w:r>
          <w:hyperlink w:anchor="_8i0b0khndbcm">
            <w:r w:rsidDel="00000000" w:rsidR="00000000" w:rsidRPr="00000000">
              <w:rPr>
                <w:b w:val="1"/>
                <w:bCs w:val="1"/>
                <w:i w:val="1"/>
                <w:iCs w:val="1"/>
                <w:color w:val="333333"/>
                <w:sz w:val="20"/>
                <w:szCs w:val="20"/>
                <w:rtl w:val="0"/>
              </w:rPr>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dot" w:pos="10539.212"/>
            </w:tabs>
            <w:spacing w:before="60" w:line="240" w:lineRule="auto"/>
            <w:rPr>
              <w:b w:val="1"/>
              <w:bCs w:val="1"/>
              <w:i w:val="1"/>
              <w:iCs w:val="1"/>
              <w:color w:val="333333"/>
              <w:sz w:val="20"/>
              <w:szCs w:val="20"/>
            </w:rPr>
          </w:pPr>
          <w:hyperlink w:anchor="_5fl8cwmie0g7">
            <w:r w:rsidDel="00000000" w:rsidR="00000000" w:rsidRPr="00000000">
              <w:rPr>
                <w:b w:val="1"/>
                <w:bCs w:val="1"/>
                <w:i w:val="1"/>
                <w:iCs w:val="1"/>
                <w:color w:val="333333"/>
                <w:sz w:val="20"/>
                <w:szCs w:val="20"/>
                <w:rtl w:val="0"/>
              </w:rPr>
              <w:t xml:space="preserve">Planeación Estratégica vs. El Presupuesto de Papel: El Laberinto de la Ejecución Organizacional</w:t>
              <w:br w:type="textWrapping"/>
            </w:r>
          </w:hyperlink>
          <w:r w:rsidDel="00000000" w:rsidR="00000000" w:rsidRPr="00000000">
            <w:rPr>
              <w:b w:val="1"/>
              <w:bCs w:val="1"/>
              <w:i w:val="1"/>
              <w:iCs w:val="1"/>
              <w:color w:val="333333"/>
              <w:sz w:val="20"/>
              <w:szCs w:val="20"/>
              <w:rtl w:val="0"/>
            </w:rPr>
            <w:t xml:space="preserve">Autor: María Arraéz</w:t>
          </w:r>
          <w:hyperlink w:anchor="_5fl8cwmie0g7">
            <w:r w:rsidDel="00000000" w:rsidR="00000000" w:rsidRPr="00000000">
              <w:rPr>
                <w:b w:val="1"/>
                <w:bCs w:val="1"/>
                <w:i w:val="1"/>
                <w:iCs w:val="1"/>
                <w:color w:val="333333"/>
                <w:sz w:val="20"/>
                <w:szCs w:val="20"/>
                <w:rtl w:val="0"/>
              </w:rPr>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0539.212"/>
            </w:tabs>
            <w:spacing w:before="60" w:line="240" w:lineRule="auto"/>
            <w:rPr>
              <w:b w:val="1"/>
              <w:bCs w:val="1"/>
              <w:color w:val="000000"/>
              <w:u w:val="none"/>
            </w:rPr>
          </w:pPr>
          <w:hyperlink w:anchor="_jp5pdhkdbont">
            <w:r w:rsidDel="00000000" w:rsidR="00000000" w:rsidRPr="00000000">
              <w:rPr>
                <w:b w:val="1"/>
                <w:bCs w:val="1"/>
                <w:i w:val="1"/>
                <w:iCs w:val="1"/>
                <w:color w:val="333333"/>
                <w:sz w:val="20"/>
                <w:szCs w:val="20"/>
                <w:rtl w:val="0"/>
              </w:rPr>
              <w:t xml:space="preserve">Pregunta del Comité Editorial</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Heading1"/>
        <w:widowControl w:val="0"/>
        <w:spacing w:after="360" w:lineRule="auto"/>
        <w:jc w:val="center"/>
        <w:rPr/>
      </w:pPr>
      <w:bookmarkStart w:colFirst="0" w:colLast="0" w:name="_vlkyjcebcuhn" w:id="1"/>
      <w:bookmarkEnd w:id="1"/>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i w:val="1"/>
          <w:iCs w:val="1"/>
          <w:color w:val="333333"/>
          <w:sz w:val="20"/>
          <w:szCs w:val="20"/>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333333"/>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widowControl w:val="0"/>
        <w:spacing w:after="120" w:lineRule="auto"/>
        <w:ind w:left="2160" w:firstLine="0"/>
        <w:rPr/>
      </w:pPr>
      <w:bookmarkStart w:colFirst="0" w:colLast="0" w:name="_fh6bxgraag0c" w:id="2"/>
      <w:bookmarkEnd w:id="2"/>
      <w:r w:rsidDel="00000000" w:rsidR="00000000" w:rsidRPr="00000000">
        <w:rPr>
          <w:b w:val="1"/>
          <w:bCs w:val="1"/>
          <w:i w:val="1"/>
          <w:iCs w:val="1"/>
          <w:color w:val="003366"/>
          <w:sz w:val="44"/>
          <w:szCs w:val="44"/>
          <w:rtl w:val="0"/>
        </w:rPr>
        <w:t xml:space="preserve">INTRODUCCIÓN EDITORIAL</w:t>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Por: </w:t>
      </w:r>
      <w:r w:rsidDel="00000000" w:rsidR="00000000" w:rsidRPr="00000000">
        <w:rPr>
          <w:b w:val="1"/>
          <w:bCs w:val="1"/>
          <w:i w:val="1"/>
          <w:iCs w:val="1"/>
          <w:color w:val="555555"/>
          <w:rtl w:val="0"/>
        </w:rPr>
        <w:t xml:space="preserve">El Comité Editorial</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tbl>
      <w:tblPr>
        <w:tblStyle w:val="Table1"/>
        <w:tblW w:w="10200.0" w:type="dxa"/>
        <w:jc w:val="left"/>
        <w:tblLayout w:type="fixed"/>
        <w:tblLook w:val="0600"/>
      </w:tblPr>
      <w:tblGrid>
        <w:gridCol w:w="5100"/>
        <w:gridCol w:w="5100"/>
        <w:tblGridChange w:id="0">
          <w:tblGrid>
            <w:gridCol w:w="5100"/>
            <w:gridCol w:w="5100"/>
          </w:tblGrid>
        </w:tblGridChange>
      </w:tblGrid>
      <w:tr>
        <w:trPr>
          <w:cantSplit w:val="0"/>
          <w:trHeight w:val="3937.9541015625" w:hRule="atLeast"/>
          <w:tblHeader w:val="0"/>
        </w:trPr>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el entorno corporativo contemporáneo, la capacidad de anticipación y adaptación es el activo más valioso de la alta gerencia. Las organizaciones ya no pueden gestionarse de forma reactiva; exigen directores capaces de trazar un rumbo claro y coordinar sus recursos de manera eficiente frente a la incertidumbre del mercado. Es bajo esta premisa que el presupuesto se erige como una herramienta gerencial insustituible, diseñada específicamente para orientar a la administración en la planeación, coordinación y control de todas las funciones de la empresa.</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El recorrido analítico de este número aborda la estructura técnica y conceptual de la planificación interna. Se examinan a profundidad los presupuestos de operación —específicamente las áreas medulares de Ventas y Producción— como el motor que dinamiza la actividad comercial. Asimismo, se analiza la trascendencia de los Presupuestos Financieros, los cuales permiten a la dirección proyectar sus Estados Financieros Presupuestados y evaluar la viabilidad económica del negocio antes de comprometer capital real.</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tl w:val="0"/>
              </w:rPr>
            </w:r>
          </w:p>
        </w:tc>
      </w:tr>
      <w:tr>
        <w:trPr>
          <w:cantSplit w:val="0"/>
          <w:trHeight w:val="3645" w:hRule="atLeast"/>
          <w:tblHeader w:val="0"/>
        </w:trPr>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3">
            <w:pPr>
              <w:widowControl w:val="0"/>
              <w:spacing w:after="160" w:lineRule="auto"/>
              <w:jc w:val="both"/>
              <w:rPr>
                <w:rFonts w:ascii="Arial" w:cs="Arial" w:eastAsia="Arial" w:hAnsi="Arial"/>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Esta edición especial ha sido concebida como un compendio de análisis teórico exhaustivo sobre la gestión presupuestaria de vanguardia. A lo largo de sus páginas, la publicación desglosa el papel crítico que juega el presupuesto como el brazo ejecutor de la planeación estratégica, demostrando cómo los objetivos a largo plazo de una corporación se transforman en metas operativas medibles y alcanzables a través del presupuesto integral.</w:t>
            </w:r>
            <w:r w:rsidDel="00000000" w:rsidR="00000000" w:rsidRPr="00000000">
              <w:rPr>
                <w:rtl w:val="0"/>
              </w:rPr>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4">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Finalmente, la publicación aborda la fase de control directivo mediante el Análisis de la Ejecución Presupuestaria. Este enfoque demuestra que el presupuesto no es un documento estático ni un mero control de gastos, sino un sistema dinámico de evaluación que permite comparar los resultados reales contra los planificados, facilitando la toma de decisiones correctivas en tiempo real. Los invitamos a profundizar en esta obra teórica, diseñada desde la alta gerencia para convertirse en un manual de referencia sobre el control estratégico y la eficiencia operativa.</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color w:val="555555"/>
              </w:rPr>
            </w:pPr>
            <w:r w:rsidDel="00000000" w:rsidR="00000000" w:rsidRPr="00000000">
              <w:rPr>
                <w:rtl w:val="0"/>
              </w:rPr>
            </w:r>
          </w:p>
        </w:tc>
      </w:tr>
    </w:tbl>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38">
      <w:pPr>
        <w:pStyle w:val="Heading1"/>
        <w:rPr/>
      </w:pPr>
      <w:bookmarkStart w:colFirst="0" w:colLast="0" w:name="_yc7xr150qavd" w:id="3"/>
      <w:bookmarkEnd w:id="3"/>
      <w:r w:rsidDel="00000000" w:rsidR="00000000" w:rsidRPr="00000000">
        <w:br w:type="page"/>
      </w:r>
      <w:r w:rsidDel="00000000" w:rsidR="00000000" w:rsidRPr="00000000">
        <w:rPr>
          <w:b w:val="1"/>
          <w:bCs w:val="1"/>
          <w:i w:val="1"/>
          <w:iCs w:val="1"/>
          <w:color w:val="003366"/>
          <w:sz w:val="44"/>
          <w:szCs w:val="44"/>
          <w:rtl w:val="0"/>
        </w:rPr>
        <w:t xml:space="preserve">Planificación Estratégica y Presupuestaria: Análisis de los Factores Críticos y Herramientas de Integración Directiva ante la Dinámica del Entorno Global</w:t>
      </w:r>
      <w:r w:rsidDel="00000000" w:rsidR="00000000" w:rsidRPr="00000000">
        <w:rPr>
          <w:rtl w:val="0"/>
        </w:rPr>
      </w:r>
    </w:p>
    <w:p w:rsidR="00000000" w:rsidDel="00000000" w:rsidP="00000000" w:rsidRDefault="00000000" w:rsidRPr="00000000" w14:paraId="00000039">
      <w:pPr>
        <w:widowControl w:val="0"/>
        <w:spacing w:after="240" w:lineRule="auto"/>
        <w:rPr>
          <w:b w:val="1"/>
          <w:bCs w:val="1"/>
          <w:i w:val="1"/>
          <w:iCs w:val="1"/>
          <w:color w:val="555555"/>
        </w:rPr>
      </w:pPr>
      <w:r w:rsidDel="00000000" w:rsidR="00000000" w:rsidRPr="00000000">
        <w:rPr>
          <w:b w:val="1"/>
          <w:bCs w:val="1"/>
          <w:i w:val="1"/>
          <w:iCs w:val="1"/>
          <w:color w:val="555555"/>
          <w:rtl w:val="0"/>
        </w:rPr>
        <w:t xml:space="preserve">Por: Luzangeli  Díaz</w:t>
      </w:r>
    </w:p>
    <w:p w:rsidR="00000000" w:rsidDel="00000000" w:rsidP="00000000" w:rsidRDefault="00000000" w:rsidRPr="00000000" w14:paraId="0000003A">
      <w:pPr>
        <w:widowControl w:val="0"/>
        <w:spacing w:after="240" w:lineRule="auto"/>
        <w:rPr>
          <w:b w:val="1"/>
          <w:bCs w:val="1"/>
          <w:i w:val="1"/>
          <w:iCs w:val="1"/>
          <w:color w:val="555555"/>
        </w:rPr>
      </w:pPr>
      <w:r w:rsidDel="00000000" w:rsidR="00000000" w:rsidRPr="00000000">
        <w:rPr>
          <w:rtl w:val="0"/>
        </w:rPr>
      </w:r>
    </w:p>
    <w:tbl>
      <w:tblPr>
        <w:tblStyle w:val="Table2"/>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03B">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3C">
            <w:pPr>
              <w:widowControl w:val="0"/>
              <w:jc w:val="both"/>
              <w:rPr>
                <w:rFonts w:ascii="Times New Roman" w:cs="Times New Roman" w:eastAsia="Times New Roman" w:hAnsi="Times New Roman"/>
                <w:b w:val="1"/>
                <w:bCs w:val="1"/>
                <w:i w:val="1"/>
                <w:iCs w:val="1"/>
                <w:color w:val="555555"/>
              </w:rPr>
            </w:pPr>
            <w:r w:rsidDel="00000000" w:rsidR="00000000" w:rsidRPr="00000000">
              <w:rPr>
                <w:b w:val="1"/>
                <w:bCs w:val="1"/>
                <w:i w:val="1"/>
                <w:iCs w:val="1"/>
                <w:color w:val="555555"/>
                <w:rtl w:val="0"/>
              </w:rPr>
              <w:t xml:space="preserve">Abstract: El presente estudio examina la relación intrínseca entre la planificación estratégica y la gestión presupuestaria mediante una revisión documental sistemática. Ante la alta volatilidad y complejidad que caracteriza al entorno global contemporáneo, la investigación identifica los factores críticos que obstaculizan dicha alineación y evalúa herramientas de integración que facilitan una gestión financiera eficiente. Los hallazgos subrayan la necesidad de transitar hacia modelos de gestión que permitan a la Gerencia General una respuesta adaptativa y coherente frente a las incertidumbres del entorno, consolidando al presupuesto como un instrumento dinámico de planificación, control y evaluación indispensable para la efectividad organizacional.En el management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r w:rsidDel="00000000" w:rsidR="00000000" w:rsidRPr="00000000">
              <w:rPr>
                <w:rtl w:val="0"/>
              </w:rPr>
            </w:r>
          </w:p>
          <w:p w:rsidR="00000000" w:rsidDel="00000000" w:rsidP="00000000" w:rsidRDefault="00000000" w:rsidRPr="00000000" w14:paraId="0000003D">
            <w:pPr>
              <w:widowControl w:val="0"/>
              <w:spacing w:before="120" w:lineRule="auto"/>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Palabras clave / Keywords: Alineación estratégica, proceso presupuestario, gestión estratégica, efectividad organizacional.</w:t>
            </w:r>
          </w:p>
        </w:tc>
      </w:tr>
    </w:tbl>
    <w:p w:rsidR="00000000" w:rsidDel="00000000" w:rsidP="00000000" w:rsidRDefault="00000000" w:rsidRPr="00000000" w14:paraId="0000003E">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3F">
      <w:pPr>
        <w:widowControl w:val="0"/>
        <w:spacing w:after="240" w:lineRule="auto"/>
        <w:rPr>
          <w:b w:val="1"/>
          <w:bCs w:val="1"/>
          <w:i w:val="1"/>
          <w:iCs w:val="1"/>
          <w:color w:val="555555"/>
        </w:rPr>
      </w:pPr>
      <w:r w:rsidDel="00000000" w:rsidR="00000000" w:rsidRPr="00000000">
        <w:rPr>
          <w:rtl w:val="0"/>
        </w:rPr>
      </w:r>
    </w:p>
    <w:tbl>
      <w:tblPr>
        <w:tblStyle w:val="Table3"/>
        <w:tblW w:w="10200.0" w:type="dxa"/>
        <w:jc w:val="left"/>
        <w:tblLayout w:type="fixed"/>
        <w:tblLook w:val="0600"/>
      </w:tblPr>
      <w:tblGrid>
        <w:gridCol w:w="5100"/>
        <w:gridCol w:w="5100"/>
        <w:tblGridChange w:id="0">
          <w:tblGrid>
            <w:gridCol w:w="5100"/>
            <w:gridCol w:w="5100"/>
          </w:tblGrid>
        </w:tblGridChange>
      </w:tblGrid>
      <w:tr>
        <w:trPr>
          <w:cantSplit w:val="0"/>
          <w:trHeight w:val="5669.291338582678" w:hRule="atLeast"/>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40">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41">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c>
        <w:tc>
          <w:tcPr>
            <w:shd w:fill="auto" w:val="clear"/>
            <w:tcMar>
              <w:top w:w="100.0" w:type="dxa"/>
              <w:left w:w="160.0" w:type="dxa"/>
              <w:bottom w:w="100.0" w:type="dxa"/>
              <w:right w:w="0.0" w:type="dxa"/>
            </w:tcMar>
            <w:vAlign w:val="top"/>
          </w:tcPr>
          <w:p w:rsidR="00000000" w:rsidDel="00000000" w:rsidP="00000000" w:rsidRDefault="00000000" w:rsidRPr="00000000" w14:paraId="00000042">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43">
            <w:pPr>
              <w:widowControl w:val="0"/>
              <w:spacing w:after="160" w:lineRule="auto"/>
              <w:jc w:val="both"/>
              <w:rPr>
                <w:rFonts w:ascii="Times New Roman" w:cs="Times New Roman" w:eastAsia="Times New Roman" w:hAnsi="Times New Roman"/>
                <w:b w:val="1"/>
                <w:bCs w:val="1"/>
                <w:i w:val="1"/>
                <w:iCs w:val="1"/>
                <w:color w:val="555555"/>
                <w:sz w:val="20"/>
                <w:szCs w:val="20"/>
              </w:rPr>
            </w:pPr>
            <w:r w:rsidDel="00000000" w:rsidR="00000000" w:rsidRPr="00000000">
              <w:rPr>
                <w:rFonts w:ascii="Georgia" w:cs="Georgia" w:eastAsia="Georgia" w:hAnsi="Georgia"/>
                <w:b w:val="1"/>
                <w:bCs w:val="1"/>
                <w:i w:val="1"/>
                <w:iCs w:val="1"/>
                <w:color w:val="003366"/>
                <w:rtl w:val="0"/>
              </w:rPr>
              <w:t xml:space="preserve">   La planificación estratégica carece de operatividad sin su contraparte financiera; el presupuesto convierte la visión abstracta de largo plazo en hitos ejecutables.</w:t>
            </w:r>
            <w:r w:rsidDel="00000000" w:rsidR="00000000" w:rsidRPr="00000000">
              <w:rPr>
                <w:rtl w:val="0"/>
              </w:rPr>
            </w:r>
          </w:p>
          <w:p w:rsidR="00000000" w:rsidDel="00000000" w:rsidP="00000000" w:rsidRDefault="00000000" w:rsidRPr="00000000" w14:paraId="00000044">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(Balanced Scorecard) y la metodología Hoshin Kanri, la cual asegura el despliegue coherente de los objetivos a través de todos los niveles de la organización, garantizando que cada área operativa reciba el respaldo financiero necesario para cumplir su parte de la estrategia viva.</w:t>
            </w:r>
          </w:p>
        </w:tc>
      </w:tr>
    </w:tbl>
    <w:p w:rsidR="00000000" w:rsidDel="00000000" w:rsidP="00000000" w:rsidRDefault="00000000" w:rsidRPr="00000000" w14:paraId="00000045">
      <w:pPr>
        <w:widowControl w:val="0"/>
        <w:spacing w:after="240" w:lineRule="auto"/>
        <w:rPr>
          <w:b w:val="1"/>
          <w:bCs w:val="1"/>
          <w:i w:val="1"/>
          <w:iCs w:val="1"/>
          <w:color w:val="555555"/>
        </w:rPr>
      </w:pPr>
      <w:r w:rsidDel="00000000" w:rsidR="00000000" w:rsidRPr="00000000">
        <w:rPr>
          <w:rtl w:val="0"/>
        </w:rPr>
      </w:r>
    </w:p>
    <w:tbl>
      <w:tblPr>
        <w:tblStyle w:val="Table4"/>
        <w:tblW w:w="10200.0" w:type="dxa"/>
        <w:jc w:val="left"/>
        <w:tblLayout w:type="fixed"/>
        <w:tblLook w:val="0600"/>
      </w:tblPr>
      <w:tblGrid>
        <w:gridCol w:w="5100"/>
        <w:gridCol w:w="5100"/>
        <w:tblGridChange w:id="0">
          <w:tblGrid>
            <w:gridCol w:w="5100"/>
            <w:gridCol w:w="5100"/>
          </w:tblGrid>
        </w:tblGridChange>
      </w:tblGrid>
      <w:tr>
        <w:trPr>
          <w:cantSplit w:val="0"/>
          <w:trHeight w:val="3624.9501953125" w:hRule="atLeast"/>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46">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Forecast) y el Presupuesto Basado en Actividades (ABB).</w:t>
            </w:r>
          </w:p>
          <w:p w:rsidR="00000000" w:rsidDel="00000000" w:rsidP="00000000" w:rsidRDefault="00000000" w:rsidRPr="00000000" w14:paraId="00000047">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48">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5"/>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49">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4A">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La brecha entre la estrategia y los recursos no se cierra con hojas de cálculo, sino con una reconfiguración profunda del gobierno corporativo. </w:t>
                  </w:r>
                </w:p>
              </w:tc>
            </w:tr>
          </w:tbl>
          <w:p w:rsidR="00000000" w:rsidDel="00000000" w:rsidP="00000000" w:rsidRDefault="00000000" w:rsidRPr="00000000" w14:paraId="0000004B">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4C">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4D">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tc>
        <w:tc>
          <w:tcPr>
            <w:shd w:fill="auto" w:val="clear"/>
            <w:tcMar>
              <w:top w:w="100.0" w:type="dxa"/>
              <w:left w:w="160.0" w:type="dxa"/>
              <w:bottom w:w="100.0" w:type="dxa"/>
              <w:right w:w="0.0" w:type="dxa"/>
            </w:tcMar>
            <w:vAlign w:val="top"/>
          </w:tcPr>
          <w:p w:rsidR="00000000" w:rsidDel="00000000" w:rsidP="00000000" w:rsidRDefault="00000000" w:rsidRPr="00000000" w14:paraId="0000004E">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(KPIs) en tiempo real, y un proceso de revisión y ajuste continuo para reasignar recursos dinámicamente si las prioridades del mercado cambian..</w:t>
            </w:r>
          </w:p>
          <w:tbl>
            <w:tblPr>
              <w:tblStyle w:val="Table6"/>
              <w:jc w:val="left"/>
              <w:tblLayout w:type="fixed"/>
              <w:tblLook w:val="0600"/>
            </w:tblPr>
            <w:tblGrid>
              <w:gridCol w:w="4940"/>
              <w:tblGridChange w:id="0">
                <w:tblGrid>
                  <w:gridCol w:w="4940"/>
                </w:tblGrid>
              </w:tblGridChange>
            </w:tblGrid>
            <w:tr>
              <w:trPr>
                <w:cantSplit w:val="0"/>
                <w:trHeight w:val="2427.5229492187495" w:hRule="atLeast"/>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4F">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50">
                  <w:pPr>
                    <w:widowControl w:val="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La gerencia general del siglo XXI no se define por lo que planea, sino por lo que es capaz de financiar con propósito, transparencia y agilidad.</w:t>
                  </w:r>
                </w:p>
              </w:tc>
            </w:tr>
          </w:tbl>
          <w:p w:rsidR="00000000" w:rsidDel="00000000" w:rsidP="00000000" w:rsidRDefault="00000000" w:rsidRPr="00000000" w14:paraId="00000051">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52">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tc>
      </w:tr>
    </w:tbl>
    <w:p w:rsidR="00000000" w:rsidDel="00000000" w:rsidP="00000000" w:rsidRDefault="00000000" w:rsidRPr="00000000" w14:paraId="00000053">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tbl>
      <w:tblPr>
        <w:tblStyle w:val="Table7"/>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r w:rsidDel="00000000" w:rsidR="00000000" w:rsidRPr="00000000">
              <w:rPr>
                <w:rtl w:val="0"/>
              </w:rPr>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76" w:lineRule="auto"/>
        <w:ind w:left="0" w:right="0" w:firstLine="0"/>
        <w:jc w:val="center"/>
        <w:rPr>
          <w:rFonts w:ascii="Arial" w:cs="Arial" w:eastAsia="Arial" w:hAnsi="Arial"/>
          <w:b w:val="1"/>
          <w:bCs w:val="1"/>
          <w:i w:val="1"/>
          <w:iCs w:val="1"/>
          <w:color w:val="003366"/>
          <w:sz w:val="24"/>
          <w:szCs w:val="24"/>
        </w:rPr>
      </w:pPr>
      <w:r w:rsidDel="00000000" w:rsidR="00000000" w:rsidRPr="00000000">
        <w:rPr>
          <w:rFonts w:ascii="Arial" w:cs="Arial" w:eastAsia="Arial" w:hAnsi="Arial"/>
          <w:b w:val="1"/>
          <w:bCs w:val="1"/>
          <w:i w:val="1"/>
          <w:iCs w:val="1"/>
          <w:color w:val="003366"/>
          <w:sz w:val="24"/>
          <w:szCs w:val="24"/>
          <w:rtl w:val="0"/>
        </w:rPr>
        <w:t xml:space="preserve">Referencias Bibliográficas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Carrillo Arias, R. (2021). Modelos de planeamiento estratégico y su aplicación en tiempos de incertidumbre. Caso de aplicación (Tesis de grado). Universidad Nacional de Educación Enrique Guzmán y Valle. </w:t>
      </w:r>
      <w:hyperlink r:id="rId8">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https://repositorio.une.edu.pe/handle/20.500.14039/6242</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Pacheco Coello, C. E. (2020). Presupuestos: un enfoque gerencial. IMCP. </w:t>
      </w:r>
      <w:hyperlink r:id="rId9">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https://books.google.co.ve/books?id=f1omEAAAQBAJ</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Palacios Rodríguez, M. Á. (2020). Planeación Estratégica, instrumento funcional al interior de las organizaciones. Revista Nacional de Administración, 11(2), 27-56. </w:t>
      </w:r>
      <w:hyperlink r:id="rId10">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https://dx.doi.org/10.22458/rna.v11i2.2756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Pinto De Gracia, A., &amp; Camarena Rodríguez, M. (2025). El rol de la planificación presupuestaria en la mitigación del riesgo financiero y la gestión de la liquidez corporativa. LATAM Revista Latinoamericana de Ciencias Sociales y Humanidades, 6(1), 89-102.</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00000000001" w:right="0"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Rodríguez-Bravo, A. G., &amp; Pilligua-Macías, L. A. (2025). El presupuesto como herramienta de gestión financiera para la toma de decisiones empresarial. REICOMUNICAR, 8(15), 514-525. </w:t>
      </w:r>
      <w:hyperlink r:id="rId11">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https://reicomunicar.org/index.php/reicomunicar/article/view/407</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1"/>
          <w:iCs w:val="1"/>
          <w:color w:val="003366"/>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widowControl w:val="0"/>
        <w:spacing w:after="120" w:lineRule="auto"/>
        <w:rPr/>
      </w:pPr>
      <w:bookmarkStart w:colFirst="0" w:colLast="0" w:name="_il1li981ix3z" w:id="4"/>
      <w:bookmarkEnd w:id="4"/>
      <w:r w:rsidDel="00000000" w:rsidR="00000000" w:rsidRPr="00000000">
        <w:rPr>
          <w:b w:val="1"/>
          <w:bCs w:val="1"/>
          <w:i w:val="1"/>
          <w:iCs w:val="1"/>
          <w:color w:val="003366"/>
          <w:sz w:val="44"/>
          <w:szCs w:val="44"/>
          <w:rtl w:val="0"/>
        </w:rPr>
        <w:t xml:space="preserve">La Arquitectura Presupuestaria como Eje de Competitividad y Control Gerencial.</w:t>
      </w:r>
      <w:r w:rsidDel="00000000" w:rsidR="00000000" w:rsidRPr="00000000">
        <w:rPr>
          <w:rtl w:val="0"/>
        </w:rPr>
      </w:r>
    </w:p>
    <w:p w:rsidR="00000000" w:rsidDel="00000000" w:rsidP="00000000" w:rsidRDefault="00000000" w:rsidRPr="00000000" w14:paraId="00000065">
      <w:pPr>
        <w:widowControl w:val="0"/>
        <w:spacing w:after="240" w:lineRule="auto"/>
        <w:rPr>
          <w:b w:val="1"/>
          <w:bCs w:val="1"/>
          <w:i w:val="1"/>
          <w:iCs w:val="1"/>
          <w:color w:val="555555"/>
        </w:rPr>
      </w:pPr>
      <w:r w:rsidDel="00000000" w:rsidR="00000000" w:rsidRPr="00000000">
        <w:rPr>
          <w:b w:val="1"/>
          <w:bCs w:val="1"/>
          <w:i w:val="1"/>
          <w:iCs w:val="1"/>
          <w:color w:val="555555"/>
          <w:rtl w:val="0"/>
        </w:rPr>
        <w:t xml:space="preserve">Por: Vicmar Tarazona</w:t>
      </w:r>
    </w:p>
    <w:tbl>
      <w:tblPr>
        <w:tblStyle w:val="Table8"/>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066">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67">
            <w:pPr>
              <w:widowControl w:val="0"/>
              <w:jc w:val="both"/>
              <w:rPr>
                <w:rFonts w:ascii="Times New Roman" w:cs="Times New Roman" w:eastAsia="Times New Roman" w:hAnsi="Times New Roman"/>
                <w:b w:val="1"/>
                <w:bCs w:val="1"/>
                <w:i w:val="1"/>
                <w:iCs w:val="1"/>
                <w:color w:val="555555"/>
              </w:rPr>
            </w:pPr>
            <w:r w:rsidDel="00000000" w:rsidR="00000000" w:rsidRPr="00000000">
              <w:rPr>
                <w:b w:val="1"/>
                <w:bCs w:val="1"/>
                <w:i w:val="1"/>
                <w:iCs w:val="1"/>
                <w:color w:val="555555"/>
                <w:rtl w:val="0"/>
              </w:rPr>
              <w:t xml:space="preserve">Abstract: El presente artículo examina la trascendencia del presupuesto como instrumento técnico-administrativo y eje articulador en la gestión empresarial contemporánea. A través de un riguroso análisis documental, se definen sus características intrínsecas —integralidad, previsión y realismo—, y se evalúa el valor competitivo que su implementación aporta al fortalecimiento del control interno corporativo. Asimismo, se discute cómo la cultura de disciplina financiera, derivada de una planificación presupuestaria eficaz, facilita la alineación de los esfuerzos operativos con la visión estratégica de la alta dirección. Finalmente, se concluye que un sistema presupuestario robusto no solo optimiza la asignación de recursos limitados, sino que es una herramienta determinante para garantizar la sostenibilidad operativa y la toma de decisiones informadas ante entornos de alta incertidumbre económica, consolidándose como un factor diferenciador en la competitividad organizacional del mercado actual.</w:t>
            </w:r>
            <w:r w:rsidDel="00000000" w:rsidR="00000000" w:rsidRPr="00000000">
              <w:rPr>
                <w:rtl w:val="0"/>
              </w:rPr>
            </w:r>
          </w:p>
          <w:p w:rsidR="00000000" w:rsidDel="00000000" w:rsidP="00000000" w:rsidRDefault="00000000" w:rsidRPr="00000000" w14:paraId="00000068">
            <w:pPr>
              <w:widowControl w:val="0"/>
              <w:spacing w:before="120" w:lineRule="auto"/>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Palabras clave / Keywords: Presupuesto, Gestión, Control, Estrategia, Competitividad.</w:t>
            </w:r>
          </w:p>
        </w:tc>
      </w:tr>
    </w:tbl>
    <w:p w:rsidR="00000000" w:rsidDel="00000000" w:rsidP="00000000" w:rsidRDefault="00000000" w:rsidRPr="00000000" w14:paraId="00000069">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6A">
      <w:pPr>
        <w:widowControl w:val="0"/>
        <w:spacing w:after="240" w:lineRule="auto"/>
        <w:rPr>
          <w:b w:val="1"/>
          <w:bCs w:val="1"/>
          <w:i w:val="1"/>
          <w:iCs w:val="1"/>
          <w:color w:val="555555"/>
        </w:rPr>
      </w:pPr>
      <w:r w:rsidDel="00000000" w:rsidR="00000000" w:rsidRPr="00000000">
        <w:rPr>
          <w:rtl w:val="0"/>
        </w:rPr>
      </w:r>
    </w:p>
    <w:tbl>
      <w:tblPr>
        <w:tblStyle w:val="Table9"/>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6B">
            <w:pPr>
              <w:widowControl w:val="0"/>
              <w:spacing w:after="160" w:lineRule="auto"/>
              <w:jc w:val="both"/>
              <w:rPr>
                <w:b w:val="1"/>
                <w:bCs w:val="1"/>
                <w:i w:val="1"/>
                <w:iCs w:val="1"/>
                <w:color w:val="555555"/>
              </w:rPr>
            </w:pPr>
            <w:r w:rsidDel="00000000" w:rsidR="00000000" w:rsidRPr="00000000">
              <w:rPr>
                <w:b w:val="1"/>
                <w:bCs w:val="1"/>
                <w:i w:val="1"/>
                <w:iCs w:val="1"/>
                <w:color w:val="555555"/>
                <w:rtl w:val="0"/>
              </w:rPr>
              <w:t xml:space="preserve"> </w:t>
            </w:r>
          </w:p>
          <w:p w:rsidR="00000000" w:rsidDel="00000000" w:rsidP="00000000" w:rsidRDefault="00000000" w:rsidRPr="00000000" w14:paraId="0000006C">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bl>
            <w:tblPr>
              <w:tblStyle w:val="Table10"/>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6D">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6E">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El presupuesto no es solo un mapa financiero, es el testeo de escenarios futuros que permite a la gerencia navegar la incertidumbre con proactividad en lugar de reacción.</w:t>
                  </w:r>
                </w:p>
              </w:tc>
            </w:tr>
          </w:tbl>
          <w:p w:rsidR="00000000" w:rsidDel="00000000" w:rsidP="00000000" w:rsidRDefault="00000000" w:rsidRPr="00000000" w14:paraId="0000006F">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70">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71">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c>
        <w:tc>
          <w:tcPr>
            <w:shd w:fill="auto" w:val="clear"/>
            <w:tcMar>
              <w:top w:w="100.0" w:type="dxa"/>
              <w:left w:w="160.0" w:type="dxa"/>
              <w:bottom w:w="100.0" w:type="dxa"/>
              <w:right w:w="0.0" w:type="dxa"/>
            </w:tcMar>
            <w:vAlign w:val="top"/>
          </w:tcPr>
          <w:p w:rsidR="00000000" w:rsidDel="00000000" w:rsidP="00000000" w:rsidRDefault="00000000" w:rsidRPr="00000000" w14:paraId="00000072">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73">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tbl>
            <w:tblPr>
              <w:tblStyle w:val="Table11"/>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74">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75">
                  <w:pPr>
                    <w:widowControl w:val="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La verdadera ventaja competitiva radica en transformar los datos presupuestarios en conocimiento estratégico, convirtiendo la disciplina financiera en un pilar para la sostenibilidad.</w:t>
                  </w:r>
                </w:p>
              </w:tc>
            </w:tr>
          </w:tbl>
          <w:p w:rsidR="00000000" w:rsidDel="00000000" w:rsidP="00000000" w:rsidRDefault="00000000" w:rsidRPr="00000000" w14:paraId="00000076">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77">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c>
      </w:tr>
    </w:tbl>
    <w:p w:rsidR="00000000" w:rsidDel="00000000" w:rsidP="00000000" w:rsidRDefault="00000000" w:rsidRPr="00000000" w14:paraId="00000078">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79">
      <w:pPr>
        <w:widowControl w:val="0"/>
        <w:spacing w:after="240" w:lineRule="auto"/>
        <w:rPr>
          <w:b w:val="1"/>
          <w:bCs w:val="1"/>
          <w:i w:val="1"/>
          <w:iCs w:val="1"/>
          <w:color w:val="555555"/>
        </w:rPr>
      </w:pPr>
      <w:r w:rsidDel="00000000" w:rsidR="00000000" w:rsidRPr="00000000">
        <w:rPr>
          <w:rtl w:val="0"/>
        </w:rPr>
      </w:r>
    </w:p>
    <w:p w:rsidR="00000000" w:rsidDel="00000000" w:rsidP="00000000" w:rsidRDefault="00000000" w:rsidRPr="00000000" w14:paraId="0000007A">
      <w:pPr>
        <w:widowControl w:val="0"/>
        <w:spacing w:after="120" w:before="240" w:lineRule="auto"/>
        <w:ind w:left="720.0000000000001" w:hanging="720.0000000000001"/>
        <w:jc w:val="center"/>
        <w:rPr>
          <w:b w:val="1"/>
          <w:bCs w:val="1"/>
          <w:i w:val="1"/>
          <w:iCs w:val="1"/>
          <w:color w:val="003366"/>
          <w:sz w:val="24"/>
          <w:szCs w:val="24"/>
        </w:rPr>
      </w:pPr>
      <w:r w:rsidDel="00000000" w:rsidR="00000000" w:rsidRPr="00000000">
        <w:rPr>
          <w:b w:val="1"/>
          <w:bCs w:val="1"/>
          <w:i w:val="1"/>
          <w:iCs w:val="1"/>
          <w:color w:val="003366"/>
          <w:sz w:val="24"/>
          <w:szCs w:val="24"/>
          <w:rtl w:val="0"/>
        </w:rPr>
        <w:t xml:space="preserve">Referencias Bibliográficas </w:t>
      </w:r>
    </w:p>
    <w:p w:rsidR="00000000" w:rsidDel="00000000" w:rsidP="00000000" w:rsidRDefault="00000000" w:rsidRPr="00000000" w14:paraId="0000007B">
      <w:pPr>
        <w:widowControl w:val="0"/>
        <w:spacing w:after="120" w:before="240" w:lineRule="auto"/>
        <w:ind w:left="720.0000000000001" w:hanging="720.0000000000001"/>
        <w:jc w:val="center"/>
        <w:rPr>
          <w:b w:val="1"/>
          <w:bCs w:val="1"/>
          <w:i w:val="1"/>
          <w:iCs w:val="1"/>
          <w:color w:val="003366"/>
          <w:sz w:val="24"/>
          <w:szCs w:val="24"/>
        </w:rPr>
      </w:pPr>
      <w:r w:rsidDel="00000000" w:rsidR="00000000" w:rsidRPr="00000000">
        <w:rPr>
          <w:rtl w:val="0"/>
        </w:rPr>
      </w:r>
    </w:p>
    <w:p w:rsidR="00000000" w:rsidDel="00000000" w:rsidP="00000000" w:rsidRDefault="00000000" w:rsidRPr="00000000" w14:paraId="0000007C">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Burbano, J. E. (2011). Presupuestos: Un enfoque de gestión, planeación y control. McGraw-Hill. </w:t>
      </w:r>
      <w:hyperlink r:id="rId12">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https://www.academia.edu/35639678/Presupuestos_</w:t>
        </w:r>
      </w:hyperlink>
      <w:r w:rsidDel="00000000" w:rsidR="00000000" w:rsidRPr="00000000">
        <w:rPr>
          <w:rFonts w:ascii="Times New Roman" w:cs="Times New Roman" w:eastAsia="Times New Roman" w:hAnsi="Times New Roman"/>
          <w:b w:val="1"/>
          <w:bCs w:val="1"/>
          <w:i w:val="1"/>
          <w:iCs w:val="1"/>
          <w:color w:val="003366"/>
          <w:sz w:val="20"/>
          <w:szCs w:val="20"/>
          <w:rtl w:val="0"/>
        </w:rPr>
        <w:t xml:space="preserve">JORGE_BUSTOS_BURBANO</w:t>
      </w:r>
    </w:p>
    <w:p w:rsidR="00000000" w:rsidDel="00000000" w:rsidP="00000000" w:rsidRDefault="00000000" w:rsidRPr="00000000" w14:paraId="0000007D">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7E">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Horngren, C. T., Datar, S. M., &amp; Rajan, M. V. (2012). Contabilidad de costos: Un enfoque gerencial (14va ed.). Pearson Educación. </w:t>
      </w:r>
      <w:hyperlink r:id="rId13">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https://www.academia.edu/37397759/Contabilidad_de_costos_un_enfoque_gerencial_14va_edici%C3%B3n</w:t>
        </w:r>
      </w:hyperlink>
      <w:r w:rsidDel="00000000" w:rsidR="00000000" w:rsidRPr="00000000">
        <w:rPr>
          <w:rtl w:val="0"/>
        </w:rPr>
      </w:r>
    </w:p>
    <w:p w:rsidR="00000000" w:rsidDel="00000000" w:rsidP="00000000" w:rsidRDefault="00000000" w:rsidRPr="00000000" w14:paraId="0000007F">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80">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81">
      <w:pPr>
        <w:widowControl w:val="0"/>
        <w:rPr>
          <w:rFonts w:ascii="Times New Roman" w:cs="Times New Roman" w:eastAsia="Times New Roman" w:hAnsi="Times New Roman"/>
          <w:b w:val="1"/>
          <w:bCs w:val="1"/>
          <w:i w:val="1"/>
          <w:iCs w:val="1"/>
          <w:color w:val="003366"/>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widowControl w:val="0"/>
        <w:spacing w:after="120" w:lineRule="auto"/>
        <w:rPr/>
      </w:pPr>
      <w:bookmarkStart w:colFirst="0" w:colLast="0" w:name="_bkre822wsq7r" w:id="5"/>
      <w:bookmarkEnd w:id="5"/>
      <w:r w:rsidDel="00000000" w:rsidR="00000000" w:rsidRPr="00000000">
        <w:rPr>
          <w:b w:val="1"/>
          <w:bCs w:val="1"/>
          <w:i w:val="1"/>
          <w:iCs w:val="1"/>
          <w:color w:val="003366"/>
          <w:sz w:val="44"/>
          <w:szCs w:val="44"/>
          <w:rtl w:val="0"/>
        </w:rPr>
        <w:t xml:space="preserve">Sincronización Estratégica del Presupuesto Operativo: Integración de Ventas y Producción bajo la Perspectiva de la Gerencia General</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Por: </w:t>
      </w:r>
      <w:r w:rsidDel="00000000" w:rsidR="00000000" w:rsidRPr="00000000">
        <w:rPr>
          <w:b w:val="1"/>
          <w:bCs w:val="1"/>
          <w:i w:val="1"/>
          <w:iCs w:val="1"/>
          <w:color w:val="555555"/>
          <w:rtl w:val="0"/>
        </w:rPr>
        <w:t xml:space="preserve">Carlos Duarte</w:t>
      </w:r>
      <w:r w:rsidDel="00000000" w:rsidR="00000000" w:rsidRPr="00000000">
        <w:rPr>
          <w:rtl w:val="0"/>
        </w:rPr>
      </w:r>
    </w:p>
    <w:tbl>
      <w:tblPr>
        <w:tblStyle w:val="Table12"/>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Abstract: </w:t>
            </w:r>
            <w:r w:rsidDel="00000000" w:rsidR="00000000" w:rsidRPr="00000000">
              <w:rPr>
                <w:b w:val="1"/>
                <w:bCs w:val="1"/>
                <w:i w:val="1"/>
                <w:iCs w:val="1"/>
                <w:color w:val="555555"/>
                <w:rtl w:val="0"/>
              </w:rPr>
              <w:t xml:space="preserve">El presupuesto de operación constituye la columna vertebral de la planeación y el control financiero en las organizaciones manufactureras. Este artículo analiza la integración sistémica de los presupuestos de ventas y producción como una herramienta crítica para la toma de decisiones estratégicas desde la perspectiva de la gerencia general. Mediante una revisión analítica de la literatura clásica y contemporánea en contabilidad administrativa, se examina cómo la coordinación de estos instrumentos mitiga conflictos interdepartamentales y optimiza el uso de recursos limitados. El estudio revela que la gerencia general debe actuar como el integrador estratégico que sincroniza las proyecciones de demanda con la capacidad técnica instalada. Asimismo, se discute el impacto del monitoreo de desviaciones y la incorporación de enfoques dinámicos como el Beyond Budgeting. Se concluye que el presupuesto de operación supera su tradicional función de control contable, constituyéndose en un habilitador de alineación estratégica indispensable para asegurar la competitividad y sostenibilidad corporativa en entornos volátiles.</w:t>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sz w:val="22"/>
                <w:szCs w:val="22"/>
                <w:rtl w:val="0"/>
              </w:rPr>
              <w:t xml:space="preserve">Palabras clave / Keywords: </w:t>
            </w:r>
            <w:r w:rsidDel="00000000" w:rsidR="00000000" w:rsidRPr="00000000">
              <w:rPr>
                <w:rFonts w:ascii="Times New Roman" w:cs="Times New Roman" w:eastAsia="Times New Roman" w:hAnsi="Times New Roman"/>
                <w:b w:val="1"/>
                <w:bCs w:val="1"/>
                <w:i w:val="1"/>
                <w:iCs w:val="1"/>
                <w:color w:val="555555"/>
                <w:rtl w:val="0"/>
              </w:rPr>
              <w:t xml:space="preserve">Contabilidad administrativa, Presupuesto de ventas, Presupuesto de producción, Gerencia general, Alineación estratégica.</w:t>
            </w:r>
            <w:r w:rsidDel="00000000" w:rsidR="00000000" w:rsidRPr="00000000">
              <w:rPr>
                <w:rtl w:val="0"/>
              </w:rPr>
            </w:r>
          </w:p>
        </w:tc>
      </w:tr>
    </w:tbl>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tbl>
      <w:tblPr>
        <w:tblStyle w:val="Table13"/>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14"/>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El presupuesto operativo conecta la incertidumbre de la demanda exterior con la capacidad interna, superando el control contable tradicional.</w:t>
                  </w:r>
                </w:p>
              </w:tc>
            </w:tr>
          </w:tb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Este instrumento comprende la proyección coordinada de ingresos, costos y gastos de las actividades diarias. Al integrar los subpresupuestos de ventas y producción, traduce planes físicos en proyecciones financieras para elaborar el estado de resultados proyectado o pro-forma, permitiendo anticipar el margen operativo de la planeación estratégica.</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15"/>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El presupuesto flexible es el único blindaje real para proteger los márgenes de utilidad frente a la ilusión monetaria en entornos inflacionarios.</w:t>
                  </w:r>
                </w:p>
              </w:tc>
            </w:tr>
          </w:tbl>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(feedback) y simulación predictiva (feedforward) para anticipar riesgos de liquidez. El presupuesto de ventas es el motor del presupuesto maestro, pues define la expectativa de ingresos que sustenta a todos los demás planes operativos corporativos.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tl w:val="0"/>
              </w:rPr>
            </w:r>
          </w:p>
        </w:tc>
      </w:tr>
    </w:tbl>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9A">
      <w:pPr>
        <w:widowControl w:val="0"/>
        <w:spacing w:after="240" w:lineRule="auto"/>
        <w:rPr>
          <w:b w:val="1"/>
          <w:bCs w:val="1"/>
          <w:i w:val="1"/>
          <w:iCs w:val="1"/>
          <w:color w:val="555555"/>
        </w:rPr>
      </w:pPr>
      <w:r w:rsidDel="00000000" w:rsidR="00000000" w:rsidRPr="00000000">
        <w:rPr>
          <w:rtl w:val="0"/>
        </w:rPr>
      </w:r>
    </w:p>
    <w:tbl>
      <w:tblPr>
        <w:tblStyle w:val="Table16"/>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9B">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9C">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9D">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rsidR="00000000" w:rsidDel="00000000" w:rsidP="00000000" w:rsidRDefault="00000000" w:rsidRPr="00000000" w14:paraId="0000009E">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9F">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0">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1">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17"/>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A2">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3">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La gerencia general debe liderar como un árbitro estratégico la coordinación de ventas y producción, transformando el presupuesto en un canal de comunicación abierta.</w:t>
                  </w:r>
                </w:p>
              </w:tc>
            </w:tr>
          </w:tbl>
          <w:p w:rsidR="00000000" w:rsidDel="00000000" w:rsidP="00000000" w:rsidRDefault="00000000" w:rsidRPr="00000000" w14:paraId="000000A4">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5">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6">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Aprobado el volumen comercial, el presupuesto de producción determina las unidades físicas a fabricar para cubrir las ventas estimadas y cumplir las políticas de inventario mediante la fórmula: Unidades a Producir (Up) es igual a las Ventas Proyectadas (Vp) más el Inventario Final deseado (If), menos el Inventario Inicial (Ii). Del volumen de producción derivan los presupuestos de compras de materiales directos, mano de obra directa y costos indirectos de fabricación (CIF), sirviendo como un regulador financiero clave para la planeación de flujos de efectivo.</w:t>
            </w:r>
          </w:p>
        </w:tc>
        <w:tc>
          <w:tcPr>
            <w:shd w:fill="auto" w:val="clear"/>
            <w:tcMar>
              <w:top w:w="100.0" w:type="dxa"/>
              <w:left w:w="160.0" w:type="dxa"/>
              <w:bottom w:w="100.0" w:type="dxa"/>
              <w:right w:w="0.0" w:type="dxa"/>
            </w:tcMar>
            <w:vAlign w:val="top"/>
          </w:tcPr>
          <w:p w:rsidR="00000000" w:rsidDel="00000000" w:rsidP="00000000" w:rsidRDefault="00000000" w:rsidRPr="00000000" w14:paraId="000000A7">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18"/>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A8">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9">
                  <w:pPr>
                    <w:widowControl w:val="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La gerencia general debe liderar como un árbitro estratégico la coordinación de ventas y producción, transformando el presupuesto en un canal de comunicación abierta.”</w:t>
                  </w:r>
                </w:p>
              </w:tc>
            </w:tr>
          </w:tbl>
          <w:p w:rsidR="00000000" w:rsidDel="00000000" w:rsidP="00000000" w:rsidRDefault="00000000" w:rsidRPr="00000000" w14:paraId="000000AA">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B">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C">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D">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E">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AF">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B0">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B1">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rsidR="00000000" w:rsidDel="00000000" w:rsidP="00000000" w:rsidRDefault="00000000" w:rsidRPr="00000000" w14:paraId="000000B2">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B3">
            <w:pPr>
              <w:widowControl w:val="0"/>
              <w:jc w:val="both"/>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La adopción de enfoques dinámicos como el Beyond Budgeting empodera a los equipos operativos y maximiza la velocidad de respuesta estratégica.</w:t>
            </w:r>
          </w:p>
          <w:p w:rsidR="00000000" w:rsidDel="00000000" w:rsidP="00000000" w:rsidRDefault="00000000" w:rsidRPr="00000000" w14:paraId="000000B4">
            <w:pPr>
              <w:widowControl w:val="0"/>
              <w:jc w:val="both"/>
              <w:rPr>
                <w:rFonts w:ascii="Georgia" w:cs="Georgia" w:eastAsia="Georgia" w:hAnsi="Georgia"/>
                <w:b w:val="1"/>
                <w:bCs w:val="1"/>
                <w:i w:val="1"/>
                <w:iCs w:val="1"/>
                <w:color w:val="003366"/>
                <w:sz w:val="24"/>
                <w:szCs w:val="24"/>
              </w:rPr>
            </w:pPr>
            <w:r w:rsidDel="00000000" w:rsidR="00000000" w:rsidRPr="00000000">
              <w:rPr>
                <w:rtl w:val="0"/>
              </w:rPr>
            </w:r>
          </w:p>
          <w:p w:rsidR="00000000" w:rsidDel="00000000" w:rsidP="00000000" w:rsidRDefault="00000000" w:rsidRPr="00000000" w14:paraId="000000B5">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Beyond Budgeting, optimizando recursos para la sostenibilidad a largo plazo.</w:t>
            </w:r>
          </w:p>
        </w:tc>
      </w:tr>
    </w:tbl>
    <w:p w:rsidR="00000000" w:rsidDel="00000000" w:rsidP="00000000" w:rsidRDefault="00000000" w:rsidRPr="00000000" w14:paraId="000000B6">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B7">
      <w:pPr>
        <w:widowControl w:val="0"/>
        <w:spacing w:after="240" w:lineRule="auto"/>
        <w:rPr>
          <w:b w:val="1"/>
          <w:bCs w:val="1"/>
          <w:i w:val="1"/>
          <w:iCs w:val="1"/>
          <w:color w:val="555555"/>
        </w:rPr>
      </w:pPr>
      <w:r w:rsidDel="00000000" w:rsidR="00000000" w:rsidRPr="00000000">
        <w:rPr>
          <w:rtl w:val="0"/>
        </w:rPr>
      </w:r>
    </w:p>
    <w:p w:rsidR="00000000" w:rsidDel="00000000" w:rsidP="00000000" w:rsidRDefault="00000000" w:rsidRPr="00000000" w14:paraId="000000B8">
      <w:pPr>
        <w:widowControl w:val="0"/>
        <w:spacing w:after="240" w:lineRule="auto"/>
        <w:rPr>
          <w:b w:val="1"/>
          <w:bCs w:val="1"/>
          <w:i w:val="1"/>
          <w:iCs w:val="1"/>
          <w:color w:val="555555"/>
        </w:rPr>
      </w:pPr>
      <w:r w:rsidDel="00000000" w:rsidR="00000000" w:rsidRPr="00000000">
        <w:rPr>
          <w:rtl w:val="0"/>
        </w:rPr>
      </w:r>
    </w:p>
    <w:p w:rsidR="00000000" w:rsidDel="00000000" w:rsidP="00000000" w:rsidRDefault="00000000" w:rsidRPr="00000000" w14:paraId="000000B9">
      <w:pPr>
        <w:widowControl w:val="0"/>
        <w:spacing w:after="240" w:lineRule="auto"/>
        <w:rPr>
          <w:b w:val="1"/>
          <w:bCs w:val="1"/>
          <w:i w:val="1"/>
          <w:iCs w:val="1"/>
          <w:color w:val="555555"/>
        </w:rPr>
      </w:pPr>
      <w:r w:rsidDel="00000000" w:rsidR="00000000" w:rsidRPr="00000000">
        <w:rPr>
          <w:rtl w:val="0"/>
        </w:rPr>
      </w:r>
    </w:p>
    <w:p w:rsidR="00000000" w:rsidDel="00000000" w:rsidP="00000000" w:rsidRDefault="00000000" w:rsidRPr="00000000" w14:paraId="000000BA">
      <w:pPr>
        <w:widowControl w:val="0"/>
        <w:spacing w:after="240" w:lineRule="auto"/>
        <w:rPr>
          <w:b w:val="1"/>
          <w:bCs w:val="1"/>
          <w:i w:val="1"/>
          <w:iCs w:val="1"/>
          <w:color w:val="555555"/>
        </w:rPr>
      </w:pPr>
      <w:r w:rsidDel="00000000" w:rsidR="00000000" w:rsidRPr="00000000">
        <w:rPr>
          <w:rtl w:val="0"/>
        </w:rPr>
      </w:r>
    </w:p>
    <w:p w:rsidR="00000000" w:rsidDel="00000000" w:rsidP="00000000" w:rsidRDefault="00000000" w:rsidRPr="00000000" w14:paraId="000000BB">
      <w:pPr>
        <w:widowControl w:val="0"/>
        <w:spacing w:after="120" w:before="240" w:lineRule="auto"/>
        <w:jc w:val="center"/>
        <w:rPr>
          <w:b w:val="1"/>
          <w:bCs w:val="1"/>
          <w:i w:val="1"/>
          <w:iCs w:val="1"/>
          <w:color w:val="003366"/>
          <w:sz w:val="24"/>
          <w:szCs w:val="24"/>
        </w:rPr>
      </w:pPr>
      <w:r w:rsidDel="00000000" w:rsidR="00000000" w:rsidRPr="00000000">
        <w:rPr>
          <w:b w:val="1"/>
          <w:bCs w:val="1"/>
          <w:i w:val="1"/>
          <w:iCs w:val="1"/>
          <w:color w:val="003366"/>
          <w:sz w:val="24"/>
          <w:szCs w:val="24"/>
          <w:rtl w:val="0"/>
        </w:rPr>
        <w:t xml:space="preserve">Referencias Bibliográficas</w:t>
      </w:r>
    </w:p>
    <w:p w:rsidR="00000000" w:rsidDel="00000000" w:rsidP="00000000" w:rsidRDefault="00000000" w:rsidRPr="00000000" w14:paraId="000000BC">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Burbano Ruiz, J. R. (2011). Presupuestos: Planificación y control de recursos (4.ª ed.). McGraw-Hill. Enlace: </w:t>
      </w:r>
      <w:hyperlink r:id="rId14">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https://es.scribd.com/document/573858578/Presupuestos-Enfoque-de-Gestion-Burbano</w:t>
        </w:r>
      </w:hyperlink>
      <w:r w:rsidDel="00000000" w:rsidR="00000000" w:rsidRPr="00000000">
        <w:rPr>
          <w:rtl w:val="0"/>
        </w:rPr>
      </w:r>
    </w:p>
    <w:p w:rsidR="00000000" w:rsidDel="00000000" w:rsidP="00000000" w:rsidRDefault="00000000" w:rsidRPr="00000000" w14:paraId="000000BD">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BE">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Garrison, R. H., Noreen, E. W., &amp; Brewer, P. C. (2021). Contabilidad administrativa (17.ª ed.). McGraw-Hill. Enlace: </w:t>
      </w:r>
      <w:hyperlink r:id="rId15">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https://es.slideshare.net/slideshow/contabilidad-administrativa-ray-h-garrison-eric-w-noreen-peter-c-brewer/280010353</w:t>
        </w:r>
      </w:hyperlink>
      <w:r w:rsidDel="00000000" w:rsidR="00000000" w:rsidRPr="00000000">
        <w:rPr>
          <w:rtl w:val="0"/>
        </w:rPr>
      </w:r>
    </w:p>
    <w:p w:rsidR="00000000" w:rsidDel="00000000" w:rsidP="00000000" w:rsidRDefault="00000000" w:rsidRPr="00000000" w14:paraId="000000BF">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Hope, J., &amp; Fraser, R. (2003). Beyond Budgeting: How managers can break free from the annual performance trap. Harvard Business School Press. Enlace: </w:t>
      </w:r>
      <w:hyperlink r:id="rId16">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https://hbsp.harvard.edu/product/8660-HBK-ENG</w:t>
        </w:r>
      </w:hyperlink>
      <w:r w:rsidDel="00000000" w:rsidR="00000000" w:rsidRPr="00000000">
        <w:rPr>
          <w:rtl w:val="0"/>
        </w:rPr>
      </w:r>
    </w:p>
    <w:p w:rsidR="00000000" w:rsidDel="00000000" w:rsidP="00000000" w:rsidRDefault="00000000" w:rsidRPr="00000000" w14:paraId="000000C0">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1">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Horngren, C. T., Datar, S. M., &amp; Rajan, M. V. (2012). Contabilidad de costos: Un enfoque gerencial (14.ª ed.). Pearson Educación. Enlace: </w:t>
      </w:r>
      <w:hyperlink r:id="rId17">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https://books.google.com.pe/books?id=zDCb9fDzN-gC</w:t>
        </w:r>
      </w:hyperlink>
      <w:r w:rsidDel="00000000" w:rsidR="00000000" w:rsidRPr="00000000">
        <w:rPr>
          <w:rtl w:val="0"/>
        </w:rPr>
      </w:r>
    </w:p>
    <w:p w:rsidR="00000000" w:rsidDel="00000000" w:rsidP="00000000" w:rsidRDefault="00000000" w:rsidRPr="00000000" w14:paraId="000000C2">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3">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Navarrete, J. (2023). El presupuesto como herramienta de gestión financiera para la toma de decisiones en el Instituto Superior Universitario Almirante Illingworth. ECA Sinergia, 14(3), 105-113.  Enlace: </w:t>
      </w:r>
      <w:hyperlink r:id="rId18">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https://revistas.utm.edu.ec/index.php/ECASinergia/article/view/5852</w:t>
        </w:r>
      </w:hyperlink>
      <w:r w:rsidDel="00000000" w:rsidR="00000000" w:rsidRPr="00000000">
        <w:rPr>
          <w:rtl w:val="0"/>
        </w:rPr>
      </w:r>
    </w:p>
    <w:p w:rsidR="00000000" w:rsidDel="00000000" w:rsidP="00000000" w:rsidRDefault="00000000" w:rsidRPr="00000000" w14:paraId="000000C4">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5">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6">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Ramírez Padilla, D. N. (2018). Contabilidad administrativa (10.ª ed.). McGraw-Hill. Enlace: </w:t>
      </w:r>
      <w:hyperlink r:id="rId19">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https://books.instituto-idema.org/sites/default/files/Contabilidad%20administrativa%20-%20David%20Noel%20Ram%C3%ADrez%20-%208ed.pdf</w:t>
        </w:r>
      </w:hyperlink>
      <w:r w:rsidDel="00000000" w:rsidR="00000000" w:rsidRPr="00000000">
        <w:rPr>
          <w:rtl w:val="0"/>
        </w:rPr>
      </w:r>
    </w:p>
    <w:p w:rsidR="00000000" w:rsidDel="00000000" w:rsidP="00000000" w:rsidRDefault="00000000" w:rsidRPr="00000000" w14:paraId="000000C7">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8">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Santillán-Yuqui, C., Narváez-Zurita, C. I., &amp; Erazo-Álvarez, J. C. (2020). Presupuesto de operación y su incidencia en la toma de decisiones gerenciales en empresas manufactureras. Ciencia Matria, 6(2), 584-614. Enlace: </w:t>
      </w:r>
      <w:hyperlink r:id="rId20">
        <w:r w:rsidDel="00000000" w:rsidR="00000000" w:rsidRPr="00000000">
          <w:rPr>
            <w:rFonts w:ascii="Times New Roman" w:cs="Times New Roman" w:eastAsia="Times New Roman" w:hAnsi="Times New Roman"/>
            <w:b w:val="1"/>
            <w:bCs w:val="1"/>
            <w:i w:val="1"/>
            <w:iCs w:val="1"/>
            <w:color w:val="1155cc"/>
            <w:sz w:val="20"/>
            <w:szCs w:val="20"/>
            <w:u w:val="single"/>
            <w:rtl w:val="0"/>
          </w:rPr>
          <w:t xml:space="preserve">https://dialnet.unirioja.es/servlet/articulo?codigo=8316330</w:t>
        </w:r>
      </w:hyperlink>
      <w:r w:rsidDel="00000000" w:rsidR="00000000" w:rsidRPr="00000000">
        <w:rPr>
          <w:rtl w:val="0"/>
        </w:rPr>
      </w:r>
    </w:p>
    <w:p w:rsidR="00000000" w:rsidDel="00000000" w:rsidP="00000000" w:rsidRDefault="00000000" w:rsidRPr="00000000" w14:paraId="000000C9">
      <w:pPr>
        <w:widowControl w:val="0"/>
        <w:ind w:left="720.0000000000001" w:hanging="720.0000000000001"/>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A">
      <w:pPr>
        <w:widowControl w:val="0"/>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CB">
      <w:pPr>
        <w:widowControl w:val="0"/>
        <w:rPr>
          <w:rFonts w:ascii="Times New Roman" w:cs="Times New Roman" w:eastAsia="Times New Roman" w:hAnsi="Times New Roman"/>
          <w:b w:val="1"/>
          <w:bCs w:val="1"/>
          <w:i w:val="1"/>
          <w:iCs w:val="1"/>
          <w:color w:val="003366"/>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1"/>
        <w:widowControl w:val="0"/>
        <w:spacing w:after="120" w:lineRule="auto"/>
        <w:rPr/>
      </w:pPr>
      <w:bookmarkStart w:colFirst="0" w:colLast="0" w:name="_8i0b0khndbcm" w:id="6"/>
      <w:bookmarkEnd w:id="6"/>
      <w:r w:rsidDel="00000000" w:rsidR="00000000" w:rsidRPr="00000000">
        <w:rPr>
          <w:b w:val="1"/>
          <w:bCs w:val="1"/>
          <w:i w:val="1"/>
          <w:iCs w:val="1"/>
          <w:color w:val="003366"/>
          <w:sz w:val="44"/>
          <w:szCs w:val="44"/>
          <w:rtl w:val="0"/>
        </w:rPr>
        <w:t xml:space="preserve">Modelado Estocástico y Determinista de Estados Financieros Presupuestados: Un Enfoque Metodológico para la Mitigación del Riesgo Operativo en la Economía de la Firma</w:t>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Por: Henrry  Gil</w:t>
      </w:r>
    </w:p>
    <w:tbl>
      <w:tblPr>
        <w:tblStyle w:val="Table19"/>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Abstract: </w:t>
            </w:r>
            <w:r w:rsidDel="00000000" w:rsidR="00000000" w:rsidRPr="00000000">
              <w:rPr>
                <w:b w:val="1"/>
                <w:bCs w:val="1"/>
                <w:i w:val="1"/>
                <w:iCs w:val="1"/>
                <w:color w:val="555555"/>
                <w:rtl w:val="0"/>
              </w:rPr>
              <w:t xml:space="preserve">El objetivo de esta investigación es evaluar la precisión y el impacto analítico de los Estados Financieros Presupuestados (proforma) como instrumentos de planificación y mitigación del riesgo operativo en la economía financiera. Mediante un enfoque metodológico mixto, se analiza el proceso de transformación del presupuesto maestro en estados financieros proyectados. Los resultados demuestran que la integración de variables macroeconómicas exógenas combinada con el análisis de sensibilidad estocástica incrementa la fiabilidad de las proyecciones en un 18% en comparación con los modelos lineales tradicionales. Se concluye que los estados financieros presupuestados reducen la asimetría de información y previenen crisis de liquidez estructural.</w:t>
            </w: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sz w:val="22"/>
                <w:szCs w:val="22"/>
                <w:rtl w:val="0"/>
              </w:rPr>
              <w:t xml:space="preserve">Palabras clave / Keywords: </w:t>
            </w:r>
            <w:r w:rsidDel="00000000" w:rsidR="00000000" w:rsidRPr="00000000">
              <w:rPr>
                <w:rFonts w:ascii="Times New Roman" w:cs="Times New Roman" w:eastAsia="Times New Roman" w:hAnsi="Times New Roman"/>
                <w:b w:val="1"/>
                <w:bCs w:val="1"/>
                <w:i w:val="1"/>
                <w:iCs w:val="1"/>
                <w:color w:val="555555"/>
                <w:rtl w:val="0"/>
              </w:rPr>
              <w:t xml:space="preserve">Estados financieros presupuestados, Modelado estocástico, Riesgo operativo, Economía de la firma, Análisis de sensibilidad.</w:t>
            </w:r>
            <w:r w:rsidDel="00000000" w:rsidR="00000000" w:rsidRPr="00000000">
              <w:rPr>
                <w:rtl w:val="0"/>
              </w:rPr>
            </w:r>
          </w:p>
        </w:tc>
      </w:tr>
    </w:tbl>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tbl>
      <w:tblPr>
        <w:tblStyle w:val="Table20"/>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r w:rsidDel="00000000" w:rsidR="00000000" w:rsidRPr="00000000">
              <w:rPr>
                <w:rtl w:val="0"/>
              </w:rPr>
            </w:r>
          </w:p>
          <w:tbl>
            <w:tblPr>
              <w:tblStyle w:val="Table21"/>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El valor real del presupuesto no reside en la rigidez de su cumplimiento, sino en su capacidad para actuar como un flujograma de solución ante contingencias del mercado.</w:t>
                  </w:r>
                </w:p>
              </w:tc>
            </w:tr>
          </w:tbl>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22"/>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La separación analítica de gastos fijos y variables con análisis de sensibilidad reduce el error medio absoluto de las proyecciones financieras en más de un 15%.</w:t>
                  </w:r>
                </w:p>
              </w:tc>
            </w:tr>
          </w:tbl>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r w:rsidDel="00000000" w:rsidR="00000000" w:rsidRPr="00000000">
              <w:rPr>
                <w:rtl w:val="0"/>
              </w:rPr>
            </w:r>
          </w:p>
        </w:tc>
      </w:tr>
    </w:tbl>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0E2">
      <w:pPr>
        <w:widowControl w:val="0"/>
        <w:spacing w:after="240" w:lineRule="auto"/>
        <w:rPr>
          <w:b w:val="1"/>
          <w:bCs w:val="1"/>
          <w:i w:val="1"/>
          <w:iCs w:val="1"/>
          <w:color w:val="555555"/>
        </w:rPr>
      </w:pPr>
      <w:r w:rsidDel="00000000" w:rsidR="00000000" w:rsidRPr="00000000">
        <w:rPr>
          <w:rtl w:val="0"/>
        </w:rPr>
      </w:r>
    </w:p>
    <w:tbl>
      <w:tblPr>
        <w:tblStyle w:val="Table23"/>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0E3">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E4">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5">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rsidR="00000000" w:rsidDel="00000000" w:rsidP="00000000" w:rsidRDefault="00000000" w:rsidRPr="00000000" w14:paraId="000000E6">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7">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8">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9">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p w:rsidR="00000000" w:rsidDel="00000000" w:rsidP="00000000" w:rsidRDefault="00000000" w:rsidRPr="00000000" w14:paraId="000000EA">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B">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24"/>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0EC">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ED">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Las proyecciones financieras estructuradas permiten a los economistas de la firma identificar necesidades latentes de financiamiento antes de que ocurra la brecha de caja.</w:t>
                  </w:r>
                </w:p>
              </w:tc>
            </w:tr>
          </w:tbl>
          <w:p w:rsidR="00000000" w:rsidDel="00000000" w:rsidP="00000000" w:rsidRDefault="00000000" w:rsidRPr="00000000" w14:paraId="000000EE">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0EF">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F0">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F1">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Bajo un escenario recesivo (PIB -1%), el crecimiento de ventas cae a -2.0%, el margen EBITDA proforma se contrae a 12.4% y la liquidez estimada baja a 1.05, exigiendo una alta necesidad de apalancamiento externo. El Escenario Base (PIB +2.5%) proyecta un crecimiento de ventas de +5.0%, un margen EBITDA de 18.5% y una liquidez de 1.45, manteniendo un flujo interno neutro. El Escenario Optimista (PIB +4%) expande las ventas un +10.0%, eleva el EBITDA a 22.1% y la liquidez a 1.85, generando excedentes de capital.</w:t>
            </w:r>
          </w:p>
          <w:p w:rsidR="00000000" w:rsidDel="00000000" w:rsidP="00000000" w:rsidRDefault="00000000" w:rsidRPr="00000000" w14:paraId="000000F2">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F3">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rsidR="00000000" w:rsidDel="00000000" w:rsidP="00000000" w:rsidRDefault="00000000" w:rsidRPr="00000000" w14:paraId="000000F4">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F5">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F6">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25"/>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0F7">
                  <w:pPr>
                    <w:widowControl w:val="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Mitigar los riesgos de insolvencia y maximizar el retorno sobre el capital invertido exige blindar la cadena de valor contra perturbaciones del flujo de fondos.</w:t>
                  </w:r>
                </w:p>
              </w:tc>
            </w:tr>
          </w:tbl>
          <w:p w:rsidR="00000000" w:rsidDel="00000000" w:rsidP="00000000" w:rsidRDefault="00000000" w:rsidRPr="00000000" w14:paraId="000000F8">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0F9">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tc>
      </w:tr>
    </w:tbl>
    <w:p w:rsidR="00000000" w:rsidDel="00000000" w:rsidP="00000000" w:rsidRDefault="00000000" w:rsidRPr="00000000" w14:paraId="000000FA">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0FB">
      <w:pPr>
        <w:widowControl w:val="0"/>
        <w:spacing w:after="120" w:before="240" w:lineRule="auto"/>
        <w:jc w:val="center"/>
        <w:rPr>
          <w:b w:val="1"/>
          <w:bCs w:val="1"/>
          <w:i w:val="1"/>
          <w:iCs w:val="1"/>
          <w:color w:val="003366"/>
          <w:sz w:val="24"/>
          <w:szCs w:val="24"/>
        </w:rPr>
      </w:pPr>
      <w:r w:rsidDel="00000000" w:rsidR="00000000" w:rsidRPr="00000000">
        <w:rPr>
          <w:b w:val="1"/>
          <w:bCs w:val="1"/>
          <w:i w:val="1"/>
          <w:iCs w:val="1"/>
          <w:color w:val="003366"/>
          <w:sz w:val="24"/>
          <w:szCs w:val="24"/>
          <w:rtl w:val="0"/>
        </w:rPr>
        <w:t xml:space="preserve">Referencias Bibliográficas </w:t>
      </w:r>
    </w:p>
    <w:p w:rsidR="00000000" w:rsidDel="00000000" w:rsidP="00000000" w:rsidRDefault="00000000" w:rsidRPr="00000000" w14:paraId="000000FC">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Garrison, R. H., Noreen, E. W., &amp; Brewer, P. C. (2021). Contabilidad administrativa (17ª ed.). McGraw-Hill Interamericana.</w:t>
      </w:r>
    </w:p>
    <w:p w:rsidR="00000000" w:rsidDel="00000000" w:rsidP="00000000" w:rsidRDefault="00000000" w:rsidRPr="00000000" w14:paraId="000000FD">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0FE">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Horngren, C. T., Sundem, G. L., &amp; Stratton, W. O. (2006). Contabilidad administrativa (13ª ed.). Pearson Educación.</w:t>
      </w:r>
    </w:p>
    <w:p w:rsidR="00000000" w:rsidDel="00000000" w:rsidP="00000000" w:rsidRDefault="00000000" w:rsidRPr="00000000" w14:paraId="000000FF">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00">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Ramírez Padilla, D. N. (2013). Contabilidad administrativa: Un enfoque estratégico para la competitividad (9ª ed.). McGraw-Hill.</w:t>
      </w:r>
    </w:p>
    <w:p w:rsidR="00000000" w:rsidDel="00000000" w:rsidP="00000000" w:rsidRDefault="00000000" w:rsidRPr="00000000" w14:paraId="00000101">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02">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Rojas, J., &amp; Sánchez, D. (2021). Presupuesto operacional y gestión gerencial. Una mirada en la agroindustria de Sogamoso, Boyacá. Económicas CUC, 42(2), 205–218.</w:t>
      </w:r>
    </w:p>
    <w:p w:rsidR="00000000" w:rsidDel="00000000" w:rsidP="00000000" w:rsidRDefault="00000000" w:rsidRPr="00000000" w14:paraId="00000103">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04">
      <w:pPr>
        <w:widowControl w:val="0"/>
        <w:ind w:left="720.0000000000001" w:hanging="720.0000000000001"/>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Santillán, C., Narváez, C., &amp; Ormaza, J. (2020). Presupuesto de operación y su incidencia en la toma de decisiones financieras. Revista Arbitrada de Investigación en Comunicación, Marketing y Empresa, 8(15), 514-525.</w:t>
      </w:r>
      <w:r w:rsidDel="00000000" w:rsidR="00000000" w:rsidRPr="00000000">
        <w:br w:type="page"/>
      </w:r>
      <w:r w:rsidDel="00000000" w:rsidR="00000000" w:rsidRPr="00000000">
        <w:rPr>
          <w:rtl w:val="0"/>
        </w:rPr>
      </w:r>
    </w:p>
    <w:p w:rsidR="00000000" w:rsidDel="00000000" w:rsidP="00000000" w:rsidRDefault="00000000" w:rsidRPr="00000000" w14:paraId="00000105">
      <w:pPr>
        <w:pStyle w:val="Heading1"/>
        <w:widowControl w:val="0"/>
        <w:spacing w:after="120" w:lineRule="auto"/>
        <w:rPr/>
      </w:pPr>
      <w:bookmarkStart w:colFirst="0" w:colLast="0" w:name="_5fl8cwmie0g7" w:id="7"/>
      <w:bookmarkEnd w:id="7"/>
      <w:r w:rsidDel="00000000" w:rsidR="00000000" w:rsidRPr="00000000">
        <w:rPr>
          <w:b w:val="1"/>
          <w:bCs w:val="1"/>
          <w:i w:val="1"/>
          <w:iCs w:val="1"/>
          <w:color w:val="003366"/>
          <w:sz w:val="44"/>
          <w:szCs w:val="44"/>
          <w:rtl w:val="0"/>
        </w:rPr>
        <w:t xml:space="preserve">Planeación Estratégica vs. El Presupuesto de Papel: El Laberinto de la Ejecución Organizacional</w:t>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Fonts w:ascii="Arial" w:cs="Arial" w:eastAsia="Arial" w:hAnsi="Arial"/>
          <w:b w:val="1"/>
          <w:bCs w:val="1"/>
          <w:i w:val="1"/>
          <w:iCs w:val="1"/>
          <w:color w:val="555555"/>
          <w:sz w:val="22"/>
          <w:szCs w:val="22"/>
          <w:rtl w:val="0"/>
        </w:rPr>
        <w:t xml:space="preserve">Por: </w:t>
      </w:r>
      <w:r w:rsidDel="00000000" w:rsidR="00000000" w:rsidRPr="00000000">
        <w:rPr>
          <w:b w:val="1"/>
          <w:bCs w:val="1"/>
          <w:i w:val="1"/>
          <w:iCs w:val="1"/>
          <w:color w:val="555555"/>
          <w:rtl w:val="0"/>
        </w:rPr>
        <w:t xml:space="preserve">Por: María Arraéz</w:t>
      </w:r>
      <w:r w:rsidDel="00000000" w:rsidR="00000000" w:rsidRPr="00000000">
        <w:rPr>
          <w:rtl w:val="0"/>
        </w:rPr>
      </w:r>
    </w:p>
    <w:tbl>
      <w:tblPr>
        <w:tblStyle w:val="Table26"/>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b w:val="1"/>
                <w:bCs w:val="1"/>
                <w:i w:val="1"/>
                <w:iCs w:val="1"/>
                <w:color w:val="555555"/>
              </w:rPr>
            </w:pPr>
            <w:r w:rsidDel="00000000" w:rsidR="00000000" w:rsidRPr="00000000">
              <w:rPr>
                <w:b w:val="1"/>
                <w:bCs w:val="1"/>
                <w:i w:val="1"/>
                <w:iCs w:val="1"/>
                <w:color w:val="555555"/>
                <w:rtl w:val="0"/>
              </w:rPr>
              <w:t xml:space="preserve">Abstract: En el management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Palabras clave / Keywords: Planeación Estratégica, Presupuesto de Papel, Inercia Presupuestaria, Management Contemporáneo, Rolling Forecast, Presupuesto Base Cero.</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b w:val="1"/>
                <w:bCs w:val="1"/>
                <w:i w:val="1"/>
                <w:iCs w:val="1"/>
                <w:color w:val="555555"/>
              </w:rPr>
            </w:pPr>
            <w:r w:rsidDel="00000000" w:rsidR="00000000" w:rsidRPr="00000000">
              <w:rPr>
                <w:rtl w:val="0"/>
              </w:rPr>
            </w:r>
          </w:p>
        </w:tc>
      </w:tr>
    </w:tbl>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tbl>
      <w:tblPr>
        <w:tblStyle w:val="Table27"/>
        <w:tblW w:w="10215.0" w:type="dxa"/>
        <w:jc w:val="left"/>
        <w:tblLayout w:type="fixed"/>
        <w:tblLook w:val="0600"/>
      </w:tblPr>
      <w:tblGrid>
        <w:gridCol w:w="5100"/>
        <w:gridCol w:w="5115"/>
        <w:tblGridChange w:id="0">
          <w:tblGrid>
            <w:gridCol w:w="5100"/>
            <w:gridCol w:w="5115"/>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555555"/>
                <w:sz w:val="22"/>
                <w:szCs w:val="22"/>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1"/>
                <w:iCs w:val="1"/>
                <w:color w:val="555555"/>
                <w:sz w:val="22"/>
                <w:szCs w:val="22"/>
              </w:rPr>
            </w:pPr>
            <w:r w:rsidDel="00000000" w:rsidR="00000000" w:rsidRPr="00000000">
              <w:rPr>
                <w:rFonts w:ascii="Times New Roman" w:cs="Times New Roman" w:eastAsia="Times New Roman" w:hAnsi="Times New Roman"/>
                <w:b w:val="1"/>
                <w:bCs w:val="1"/>
                <w:i w:val="1"/>
                <w:iCs w:val="1"/>
                <w:color w:val="555555"/>
                <w:rtl w:val="0"/>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Georgia" w:cs="Georgia" w:eastAsia="Georgia" w:hAnsi="Georgia"/>
                <w:b w:val="1"/>
                <w:bCs w:val="1"/>
                <w:i w:val="1"/>
                <w:iCs w:val="1"/>
                <w:color w:val="003366"/>
              </w:rPr>
            </w:pPr>
            <w:r w:rsidDel="00000000" w:rsidR="00000000" w:rsidRPr="00000000">
              <w:rPr>
                <w:rFonts w:ascii="Georgia" w:cs="Georgia" w:eastAsia="Georgia" w:hAnsi="Georgia"/>
                <w:b w:val="1"/>
                <w:bCs w:val="1"/>
                <w:i w:val="1"/>
                <w:iCs w:val="1"/>
                <w:color w:val="003366"/>
                <w:rtl w:val="0"/>
              </w:rPr>
              <w:t xml:space="preserve">  </w:t>
            </w:r>
            <w:r w:rsidDel="00000000" w:rsidR="00000000" w:rsidRPr="00000000">
              <w:rPr>
                <w:rFonts w:ascii="Georgia" w:cs="Georgia" w:eastAsia="Georgia" w:hAnsi="Georgia"/>
                <w:b w:val="1"/>
                <w:bCs w:val="1"/>
                <w:i w:val="1"/>
                <w:iCs w:val="1"/>
                <w:color w:val="003366"/>
                <w:rtl w:val="0"/>
              </w:rPr>
              <w:t xml:space="preserve">Un presupuesto de papel es el resultado de conducir una organización mirando rígidamente el espejo retrovisor de la contabilidad, ignorando el horizonte del futuro estratégico.</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w:t>
            </w:r>
            <w:r w:rsidDel="00000000" w:rsidR="00000000" w:rsidRPr="00000000">
              <w:rPr>
                <w:rFonts w:ascii="Times New Roman" w:cs="Times New Roman" w:eastAsia="Times New Roman" w:hAnsi="Times New Roman"/>
                <w:b w:val="1"/>
                <w:bCs w:val="1"/>
                <w:i w:val="1"/>
                <w:iCs w:val="1"/>
                <w:color w:val="555555"/>
                <w:rtl w:val="0"/>
              </w:rPr>
              <w:t xml:space="preserve">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c>
      </w:tr>
    </w:tbl>
    <w:p w:rsidR="00000000" w:rsidDel="00000000" w:rsidP="00000000" w:rsidRDefault="00000000" w:rsidRPr="00000000" w14:paraId="00000115">
      <w:pPr>
        <w:widowControl w:val="0"/>
        <w:spacing w:after="240" w:lineRule="auto"/>
        <w:rPr>
          <w:b w:val="1"/>
          <w:bCs w:val="1"/>
          <w:i w:val="1"/>
          <w:iCs w:val="1"/>
          <w:color w:val="555555"/>
        </w:rPr>
      </w:pPr>
      <w:r w:rsidDel="00000000" w:rsidR="00000000" w:rsidRPr="00000000">
        <w:rPr>
          <w:rtl w:val="0"/>
        </w:rPr>
      </w:r>
    </w:p>
    <w:tbl>
      <w:tblPr>
        <w:tblStyle w:val="Table28"/>
        <w:tblW w:w="10215.0" w:type="dxa"/>
        <w:jc w:val="left"/>
        <w:tblInd w:w="-15.0" w:type="dxa"/>
        <w:tblLayout w:type="fixed"/>
        <w:tblLook w:val="0600"/>
      </w:tblPr>
      <w:tblGrid>
        <w:gridCol w:w="5115"/>
        <w:gridCol w:w="5100"/>
        <w:tblGridChange w:id="0">
          <w:tblGrid>
            <w:gridCol w:w="5115"/>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116">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29"/>
              <w:jc w:val="left"/>
              <w:tblLayout w:type="fixed"/>
              <w:tblLook w:val="0600"/>
            </w:tblPr>
            <w:tblGrid>
              <w:gridCol w:w="4955"/>
              <w:tblGridChange w:id="0">
                <w:tblGrid>
                  <w:gridCol w:w="4955"/>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117">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8">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Un plan estratégico que no altera la asignación real e inmediata del dinero no es una estrategia; es simplemente retórica corporativa plasmada sobre papel.</w:t>
                  </w:r>
                </w:p>
              </w:tc>
            </w:tr>
          </w:tbl>
          <w:p w:rsidR="00000000" w:rsidDel="00000000" w:rsidP="00000000" w:rsidRDefault="00000000" w:rsidRPr="00000000" w14:paraId="00000119">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A">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B">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c>
        <w:tc>
          <w:tcPr>
            <w:shd w:fill="auto" w:val="clear"/>
            <w:tcMar>
              <w:top w:w="100.0" w:type="dxa"/>
              <w:left w:w="160.0" w:type="dxa"/>
              <w:bottom w:w="100.0" w:type="dxa"/>
              <w:right w:w="0.0" w:type="dxa"/>
            </w:tcMar>
            <w:vAlign w:val="top"/>
          </w:tcPr>
          <w:p w:rsidR="00000000" w:rsidDel="00000000" w:rsidP="00000000" w:rsidRDefault="00000000" w:rsidRPr="00000000" w14:paraId="0000011C">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tl w:val="0"/>
              </w:rPr>
            </w:r>
          </w:p>
          <w:tbl>
            <w:tblPr>
              <w:tblStyle w:val="Table30"/>
              <w:jc w:val="left"/>
              <w:tblLayout w:type="fixed"/>
              <w:tblLook w:val="0600"/>
            </w:tblPr>
            <w:tblGrid>
              <w:gridCol w:w="4940"/>
              <w:tblGridChange w:id="0">
                <w:tblGrid>
                  <w:gridCol w:w="4940"/>
                </w:tblGrid>
              </w:tblGridChange>
            </w:tblGrid>
            <w:tr>
              <w:trPr>
                <w:cantSplit w:val="0"/>
                <w:tblHeader w:val="0"/>
              </w:trPr>
              <w:tc>
                <w:tcPr>
                  <w:shd w:fill="auto" w:val="clear"/>
                  <w:tcMar>
                    <w:top w:w="120.0" w:type="dxa"/>
                    <w:left w:w="160.0" w:type="dxa"/>
                    <w:bottom w:w="120.0" w:type="dxa"/>
                    <w:right w:w="160.0" w:type="dxa"/>
                  </w:tcMar>
                  <w:vAlign w:val="top"/>
                </w:tcPr>
                <w:p w:rsidR="00000000" w:rsidDel="00000000" w:rsidP="00000000" w:rsidRDefault="00000000" w:rsidRPr="00000000" w14:paraId="0000011D">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1E">
                  <w:pPr>
                    <w:widowControl w:val="0"/>
                    <w:jc w:val="center"/>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El Presupuesto Base Cero elimina los gastos heredados obsoletos, mientras que el Rolling Forecast destruye la rigidez de los ciclos de 12 meses, adaptando el capital al mercado real.</w:t>
                  </w:r>
                </w:p>
              </w:tc>
            </w:tr>
          </w:tbl>
          <w:p w:rsidR="00000000" w:rsidDel="00000000" w:rsidP="00000000" w:rsidRDefault="00000000" w:rsidRPr="00000000" w14:paraId="0000011F">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20">
            <w:pPr>
              <w:widowControl w:val="0"/>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c>
      </w:tr>
    </w:tbl>
    <w:p w:rsidR="00000000" w:rsidDel="00000000" w:rsidP="00000000" w:rsidRDefault="00000000" w:rsidRPr="00000000" w14:paraId="00000121">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122">
      <w:pPr>
        <w:widowControl w:val="0"/>
        <w:jc w:val="both"/>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23">
      <w:pPr>
        <w:widowControl w:val="0"/>
        <w:jc w:val="both"/>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24">
      <w:pPr>
        <w:widowControl w:val="0"/>
        <w:spacing w:after="240" w:lineRule="auto"/>
        <w:rPr>
          <w:b w:val="1"/>
          <w:bCs w:val="1"/>
          <w:i w:val="1"/>
          <w:iCs w:val="1"/>
          <w:color w:val="555555"/>
        </w:rPr>
      </w:pPr>
      <w:r w:rsidDel="00000000" w:rsidR="00000000" w:rsidRPr="00000000">
        <w:rPr>
          <w:rtl w:val="0"/>
        </w:rPr>
      </w:r>
    </w:p>
    <w:tbl>
      <w:tblPr>
        <w:tblStyle w:val="Table31"/>
        <w:tblW w:w="10200.0" w:type="dxa"/>
        <w:jc w:val="left"/>
        <w:tblLayout w:type="fixed"/>
        <w:tblLook w:val="0600"/>
      </w:tblPr>
      <w:tblGrid>
        <w:gridCol w:w="5100"/>
        <w:gridCol w:w="5100"/>
        <w:tblGridChange w:id="0">
          <w:tblGrid>
            <w:gridCol w:w="5100"/>
            <w:gridCol w:w="5100"/>
          </w:tblGrid>
        </w:tblGridChange>
      </w:tblGrid>
      <w:tr>
        <w:trPr>
          <w:cantSplit w:val="0"/>
          <w:tblHeader w:val="0"/>
        </w:trPr>
        <w:tc>
          <w:tcPr>
            <w:shd w:fill="auto" w:val="clear"/>
            <w:tcMar>
              <w:top w:w="100.0" w:type="dxa"/>
              <w:left w:w="0.0" w:type="dxa"/>
              <w:bottom w:w="100.0" w:type="dxa"/>
              <w:right w:w="160.0" w:type="dxa"/>
            </w:tcMar>
            <w:vAlign w:val="top"/>
          </w:tcPr>
          <w:p w:rsidR="00000000" w:rsidDel="00000000" w:rsidP="00000000" w:rsidRDefault="00000000" w:rsidRPr="00000000" w14:paraId="00000125">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Por otro lado, el Rolling Forecast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bl>
            <w:tblPr>
              <w:tblStyle w:val="Table32"/>
              <w:jc w:val="left"/>
              <w:tblLayout w:type="fixed"/>
              <w:tblLook w:val="0600"/>
            </w:tblPr>
            <w:tblGrid>
              <w:gridCol w:w="4940"/>
              <w:tblGridChange w:id="0">
                <w:tblGrid>
                  <w:gridCol w:w="4940"/>
                </w:tblGrid>
              </w:tblGridChange>
            </w:tblGrid>
            <w:tr>
              <w:trPr>
                <w:cantSplit w:val="0"/>
                <w:tblHeader w:val="0"/>
              </w:trPr>
              <w:tc>
                <w:tcPr>
                  <w:shd w:fill="f9f9f9" w:val="clear"/>
                  <w:tcMar>
                    <w:top w:w="120.0" w:type="dxa"/>
                    <w:left w:w="160.0" w:type="dxa"/>
                    <w:bottom w:w="120.0" w:type="dxa"/>
                    <w:right w:w="160.0" w:type="dxa"/>
                  </w:tcMar>
                  <w:vAlign w:val="top"/>
                </w:tcPr>
                <w:p w:rsidR="00000000" w:rsidDel="00000000" w:rsidP="00000000" w:rsidRDefault="00000000" w:rsidRPr="00000000" w14:paraId="00000126">
                  <w:pPr>
                    <w:widowControl w:val="0"/>
                    <w:rPr>
                      <w:rFonts w:ascii="Times New Roman" w:cs="Times New Roman" w:eastAsia="Times New Roman" w:hAnsi="Times New Roman"/>
                      <w:b w:val="1"/>
                      <w:bCs w:val="1"/>
                      <w:i w:val="1"/>
                      <w:iCs w:val="1"/>
                      <w:color w:val="555555"/>
                    </w:rPr>
                  </w:pPr>
                  <w:r w:rsidDel="00000000" w:rsidR="00000000" w:rsidRPr="00000000">
                    <w:rPr>
                      <w:rtl w:val="0"/>
                    </w:rPr>
                  </w:r>
                </w:p>
                <w:p w:rsidR="00000000" w:rsidDel="00000000" w:rsidP="00000000" w:rsidRDefault="00000000" w:rsidRPr="00000000" w14:paraId="00000127">
                  <w:pPr>
                    <w:widowControl w:val="0"/>
                    <w:rPr>
                      <w:rFonts w:ascii="Georgia" w:cs="Georgia" w:eastAsia="Georgia" w:hAnsi="Georgia"/>
                      <w:b w:val="1"/>
                      <w:bCs w:val="1"/>
                      <w:i w:val="1"/>
                      <w:iCs w:val="1"/>
                      <w:color w:val="003366"/>
                      <w:sz w:val="24"/>
                      <w:szCs w:val="24"/>
                    </w:rPr>
                  </w:pPr>
                  <w:r w:rsidDel="00000000" w:rsidR="00000000" w:rsidRPr="00000000">
                    <w:rPr>
                      <w:rFonts w:ascii="Georgia" w:cs="Georgia" w:eastAsia="Georgia" w:hAnsi="Georgia"/>
                      <w:b w:val="1"/>
                      <w:bCs w:val="1"/>
                      <w:i w:val="1"/>
                      <w:iCs w:val="1"/>
                      <w:color w:val="003366"/>
                      <w:sz w:val="24"/>
                      <w:szCs w:val="24"/>
                      <w:rtl w:val="0"/>
                    </w:rPr>
                    <w:t xml:space="preserve">   La resiliencia corporativa solo se alcanza cuando los números financieros y la visión de la alta gerencia se fusionan en un proceso de gestión único, dinámico y estratégico.</w:t>
                  </w:r>
                </w:p>
              </w:tc>
            </w:tr>
          </w:tbl>
          <w:p w:rsidR="00000000" w:rsidDel="00000000" w:rsidP="00000000" w:rsidRDefault="00000000" w:rsidRPr="00000000" w14:paraId="00000128">
            <w:pPr>
              <w:widowControl w:val="0"/>
              <w:jc w:val="both"/>
              <w:rPr>
                <w:rFonts w:ascii="Times New Roman" w:cs="Times New Roman" w:eastAsia="Times New Roman" w:hAnsi="Times New Roman"/>
                <w:b w:val="1"/>
                <w:bCs w:val="1"/>
                <w:i w:val="1"/>
                <w:iCs w:val="1"/>
                <w:color w:val="555555"/>
              </w:rPr>
            </w:pPr>
            <w:r w:rsidDel="00000000" w:rsidR="00000000" w:rsidRPr="00000000">
              <w:rPr>
                <w:rtl w:val="0"/>
              </w:rPr>
            </w:r>
          </w:p>
        </w:tc>
        <w:tc>
          <w:tcPr>
            <w:shd w:fill="auto" w:val="clear"/>
            <w:tcMar>
              <w:top w:w="100.0" w:type="dxa"/>
              <w:left w:w="160.0" w:type="dxa"/>
              <w:bottom w:w="100.0" w:type="dxa"/>
              <w:right w:w="0.0" w:type="dxa"/>
            </w:tcMar>
            <w:vAlign w:val="top"/>
          </w:tcPr>
          <w:p w:rsidR="00000000" w:rsidDel="00000000" w:rsidP="00000000" w:rsidRDefault="00000000" w:rsidRPr="00000000" w14:paraId="00000129">
            <w:pPr>
              <w:widowControl w:val="0"/>
              <w:spacing w:after="160" w:lineRule="auto"/>
              <w:jc w:val="both"/>
              <w:rPr>
                <w:rFonts w:ascii="Times New Roman" w:cs="Times New Roman" w:eastAsia="Times New Roman" w:hAnsi="Times New Roman"/>
                <w:b w:val="1"/>
                <w:bCs w:val="1"/>
                <w:i w:val="1"/>
                <w:iCs w:val="1"/>
                <w:color w:val="555555"/>
              </w:rPr>
            </w:pPr>
            <w:r w:rsidDel="00000000" w:rsidR="00000000" w:rsidRPr="00000000">
              <w:rPr>
                <w:rFonts w:ascii="Times New Roman" w:cs="Times New Roman" w:eastAsia="Times New Roman" w:hAnsi="Times New Roman"/>
                <w:b w:val="1"/>
                <w:bCs w:val="1"/>
                <w:i w:val="1"/>
                <w:iCs w:val="1"/>
                <w:color w:val="555555"/>
                <w:rtl w:val="0"/>
              </w:rPr>
              <w:t xml:space="preserve">   La planeación estratégica y el presupuesto efectivo constituyen las dos caras de la misma moneda en el management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c>
      </w:tr>
    </w:tbl>
    <w:p w:rsidR="00000000" w:rsidDel="00000000" w:rsidP="00000000" w:rsidRDefault="00000000" w:rsidRPr="00000000" w14:paraId="0000012A">
      <w:pPr>
        <w:widowControl w:val="0"/>
        <w:spacing w:after="120" w:before="240" w:lineRule="auto"/>
        <w:jc w:val="center"/>
        <w:rPr>
          <w:b w:val="1"/>
          <w:bCs w:val="1"/>
          <w:i w:val="1"/>
          <w:iCs w:val="1"/>
          <w:color w:val="003366"/>
          <w:sz w:val="24"/>
          <w:szCs w:val="24"/>
        </w:rPr>
      </w:pPr>
      <w:r w:rsidDel="00000000" w:rsidR="00000000" w:rsidRPr="00000000">
        <w:rPr>
          <w:b w:val="1"/>
          <w:bCs w:val="1"/>
          <w:i w:val="1"/>
          <w:iCs w:val="1"/>
          <w:color w:val="003366"/>
          <w:sz w:val="24"/>
          <w:szCs w:val="24"/>
          <w:rtl w:val="0"/>
        </w:rPr>
        <w:t xml:space="preserve">Referencias Bibliográficas </w:t>
      </w:r>
    </w:p>
    <w:p w:rsidR="00000000" w:rsidDel="00000000" w:rsidP="00000000" w:rsidRDefault="00000000" w:rsidRPr="00000000" w14:paraId="0000012B">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Burbano Ruiz, J. E. (2011). Presupuestos: Enfoque de gestión, planeación y control de recursos. McGraw-Hill Interamericana. google.com</w:t>
      </w:r>
    </w:p>
    <w:p w:rsidR="00000000" w:rsidDel="00000000" w:rsidP="00000000" w:rsidRDefault="00000000" w:rsidRPr="00000000" w14:paraId="0000012C">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2D">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Francés, A. (2006). Estrategia y planes para la empresa: con el cuadro de mando integral. Ediciones IESA / Pearson Educación. google.com</w:t>
      </w:r>
    </w:p>
    <w:p w:rsidR="00000000" w:rsidDel="00000000" w:rsidP="00000000" w:rsidRDefault="00000000" w:rsidRPr="00000000" w14:paraId="0000012E">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2F">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Fonts w:ascii="Times New Roman" w:cs="Times New Roman" w:eastAsia="Times New Roman" w:hAnsi="Times New Roman"/>
          <w:b w:val="1"/>
          <w:bCs w:val="1"/>
          <w:i w:val="1"/>
          <w:iCs w:val="1"/>
          <w:color w:val="003366"/>
          <w:sz w:val="20"/>
          <w:szCs w:val="20"/>
          <w:rtl w:val="0"/>
        </w:rPr>
        <w:t xml:space="preserve">Kaplan, R. S., &amp; Norton, D. P. (2014). Mapas Estratégicos: Convirtiendo los activos intangibles en resultados tangibles. Editorial Gestión 2000. google.com</w:t>
      </w:r>
    </w:p>
    <w:p w:rsidR="00000000" w:rsidDel="00000000" w:rsidP="00000000" w:rsidRDefault="00000000" w:rsidRPr="00000000" w14:paraId="00000130">
      <w:pPr>
        <w:widowControl w:val="0"/>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31">
      <w:pPr>
        <w:widowControl w:val="0"/>
        <w:jc w:val="both"/>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32">
      <w:pPr>
        <w:widowControl w:val="0"/>
        <w:jc w:val="both"/>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33">
      <w:pPr>
        <w:widowControl w:val="0"/>
        <w:jc w:val="both"/>
        <w:rPr>
          <w:b w:val="1"/>
          <w:bCs w:val="1"/>
          <w:i w:val="1"/>
          <w:iCs w:val="1"/>
          <w:color w:val="003366"/>
          <w:sz w:val="44"/>
          <w:szCs w:val="44"/>
        </w:rPr>
      </w:pPr>
      <w:r w:rsidDel="00000000" w:rsidR="00000000" w:rsidRPr="00000000">
        <w:rPr>
          <w:rtl w:val="0"/>
        </w:rPr>
      </w:r>
    </w:p>
    <w:p w:rsidR="00000000" w:rsidDel="00000000" w:rsidP="00000000" w:rsidRDefault="00000000" w:rsidRPr="00000000" w14:paraId="00000134">
      <w:pPr>
        <w:pStyle w:val="Heading1"/>
        <w:widowControl w:val="0"/>
        <w:jc w:val="both"/>
        <w:rPr/>
      </w:pPr>
      <w:bookmarkStart w:colFirst="0" w:colLast="0" w:name="_jp5pdhkdbont" w:id="8"/>
      <w:bookmarkEnd w:id="8"/>
      <w:r w:rsidDel="00000000" w:rsidR="00000000" w:rsidRPr="00000000">
        <w:rPr>
          <w:b w:val="1"/>
          <w:bCs w:val="1"/>
          <w:i w:val="1"/>
          <w:iCs w:val="1"/>
          <w:color w:val="003366"/>
          <w:sz w:val="44"/>
          <w:szCs w:val="44"/>
          <w:rtl w:val="0"/>
        </w:rPr>
        <w:t xml:space="preserve">Pregunta del Comité Editorial</w:t>
      </w:r>
      <w:r w:rsidDel="00000000" w:rsidR="00000000" w:rsidRPr="00000000">
        <w:rPr>
          <w:rtl w:val="0"/>
        </w:rPr>
      </w:r>
    </w:p>
    <w:p w:rsidR="00000000" w:rsidDel="00000000" w:rsidP="00000000" w:rsidRDefault="00000000" w:rsidRPr="00000000" w14:paraId="00000135">
      <w:pPr>
        <w:widowControl w:val="0"/>
        <w:spacing w:after="240" w:lineRule="auto"/>
        <w:rPr>
          <w:b w:val="1"/>
          <w:bCs w:val="1"/>
          <w:i w:val="1"/>
          <w:iCs w:val="1"/>
          <w:color w:val="555555"/>
        </w:rPr>
      </w:pPr>
      <w:r w:rsidDel="00000000" w:rsidR="00000000" w:rsidRPr="00000000">
        <w:rPr>
          <w:rtl w:val="0"/>
        </w:rPr>
      </w:r>
    </w:p>
    <w:tbl>
      <w:tblPr>
        <w:tblStyle w:val="Table33"/>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0540"/>
        <w:tblGridChange w:id="0">
          <w:tblGrid>
            <w:gridCol w:w="10540"/>
          </w:tblGrid>
        </w:tblGridChange>
      </w:tblGrid>
      <w:tr>
        <w:trPr>
          <w:cantSplit w:val="0"/>
          <w:tblHeader w:val="0"/>
        </w:trPr>
        <w:tc>
          <w:tcPr>
            <w:shd w:fill="f5f5f5" w:val="clear"/>
            <w:tcMar>
              <w:top w:w="160.0" w:type="dxa"/>
              <w:left w:w="200.0" w:type="dxa"/>
              <w:bottom w:w="160.0" w:type="dxa"/>
              <w:right w:w="200.0" w:type="dxa"/>
            </w:tcMar>
            <w:vAlign w:val="top"/>
          </w:tcPr>
          <w:p w:rsidR="00000000" w:rsidDel="00000000" w:rsidP="00000000" w:rsidRDefault="00000000" w:rsidRPr="00000000" w14:paraId="00000136">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137">
            <w:pPr>
              <w:widowControl w:val="0"/>
              <w:spacing w:before="120" w:lineRule="auto"/>
              <w:rPr>
                <w:rFonts w:ascii="Times New Roman" w:cs="Times New Roman" w:eastAsia="Times New Roman" w:hAnsi="Times New Roman"/>
                <w:b w:val="1"/>
                <w:bCs w:val="1"/>
                <w:i w:val="1"/>
                <w:iCs w:val="1"/>
                <w:color w:val="555555"/>
              </w:rPr>
            </w:pPr>
            <w:r w:rsidDel="00000000" w:rsidR="00000000" w:rsidRPr="00000000">
              <w:rPr>
                <w:b w:val="1"/>
                <w:bCs w:val="1"/>
                <w:i w:val="1"/>
                <w:iCs w:val="1"/>
                <w:color w:val="555555"/>
                <w:rtl w:val="0"/>
              </w:rPr>
              <w:t xml:space="preserve">   Considerando el entorno de inflación crónica y distorsiones cambiarias que caracteriza el contexto empresarial venezolano actual, donde las proyecciones para el cierre de 2026 demandan una estricta disciplina fiscal en las organizaciones: ¿De qué manera la 'ilusión monetaria' sesga el análisis de la ejecución presupuestaria cuando la gerencia evalúa variaciones exclusivamente nominales? Explique qué herramientas técnico-presupuestarias (como presupuestos indexados, presupuestos base cero o análisis en términos reales) debe implementar un director ejecutivo para evitar que un aparente cumplimiento de metas de ingresos oculte una pérdida real en la capacidad de reposición operativa y en el capital de trabajo de la empresa.</w:t>
            </w:r>
            <w:r w:rsidDel="00000000" w:rsidR="00000000" w:rsidRPr="00000000">
              <w:rPr>
                <w:rtl w:val="0"/>
              </w:rPr>
            </w:r>
          </w:p>
        </w:tc>
      </w:tr>
    </w:tbl>
    <w:p w:rsidR="00000000" w:rsidDel="00000000" w:rsidP="00000000" w:rsidRDefault="00000000" w:rsidRPr="00000000" w14:paraId="00000138">
      <w:pPr>
        <w:widowControl w:val="0"/>
        <w:rPr>
          <w:b w:val="1"/>
          <w:bCs w:val="1"/>
          <w:i w:val="1"/>
          <w:iCs w:val="1"/>
          <w:color w:val="555555"/>
        </w:rPr>
      </w:pPr>
      <w:r w:rsidDel="00000000" w:rsidR="00000000" w:rsidRPr="00000000">
        <w:rPr>
          <w:rtl w:val="0"/>
        </w:rPr>
      </w:r>
    </w:p>
    <w:p w:rsidR="00000000" w:rsidDel="00000000" w:rsidP="00000000" w:rsidRDefault="00000000" w:rsidRPr="00000000" w14:paraId="00000139">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3A">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sectPr>
      <w:headerReference r:id="rId21" w:type="default"/>
      <w:footerReference r:id="rId22" w:type="first"/>
      <w:footerReference r:id="rId23" w:type="default"/>
      <w:pgSz w:h="15840" w:w="12240" w:orient="portrait"/>
      <w:pgMar w:bottom="850.394" w:top="850.394" w:left="850.394" w:right="850.39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color w:val="555555"/>
        <w:sz w:val="18"/>
        <w:szCs w:val="18"/>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color w:val="555555"/>
        <w:sz w:val="18"/>
        <w:szCs w:val="18"/>
      </w:rPr>
    </w:pPr>
    <w:r w:rsidDel="00000000" w:rsidR="00000000" w:rsidRPr="00000000">
      <w:rPr>
        <w:rFonts w:ascii="Arial" w:cs="Arial" w:eastAsia="Arial" w:hAnsi="Arial"/>
        <w:color w:val="555555"/>
        <w:sz w:val="18"/>
        <w:szCs w:val="18"/>
        <w:rtl w:val="0"/>
      </w:rPr>
      <w:t xml:space="preserve">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color w:val="555555"/>
        <w:sz w:val="18"/>
        <w:szCs w:val="18"/>
      </w:rPr>
    </w:pP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555555"/>
        <w:sz w:val="18"/>
        <w:szCs w:val="18"/>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b w:val="1"/>
        <w:bCs w:val="1"/>
        <w:color w:val="555555"/>
      </w:rPr>
    </w:pPr>
    <w:r w:rsidDel="00000000" w:rsidR="00000000" w:rsidRPr="00000000">
      <w:rPr>
        <w:b w:val="1"/>
        <w:bCs w:val="1"/>
        <w:color w:val="555555"/>
        <w:rtl w:val="0"/>
      </w:rPr>
      <w:t xml:space="preserve">Revista de Contabilidad Administrativa - Maestría en Gerencia General</w:t>
    </w:r>
  </w:p>
  <w:tbl>
    <w:tblPr>
      <w:tblStyle w:val="Table34"/>
      <w:tblW w:w="10540.0" w:type="dxa"/>
      <w:jc w:val="left"/>
      <w:tblLayout w:type="fixed"/>
      <w:tblLook w:val="0600"/>
    </w:tblPr>
    <w:tblGrid>
      <w:gridCol w:w="10540"/>
      <w:tblGridChange w:id="0">
        <w:tblGrid>
          <w:gridCol w:w="10540"/>
        </w:tblGrid>
      </w:tblGridChange>
    </w:tblGrid>
    <w:tr>
      <w:trPr>
        <w:cantSplit w:val="0"/>
        <w:trHeight w:val="723.955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jc w:val="both"/>
            <w:rPr>
              <w:rFonts w:ascii="Times New Roman" w:cs="Times New Roman" w:eastAsia="Times New Roman" w:hAnsi="Times New Roman"/>
              <w:b w:val="1"/>
              <w:bCs w:val="1"/>
              <w:i w:val="1"/>
              <w:iCs w:val="1"/>
              <w:color w:val="003366"/>
              <w:sz w:val="20"/>
              <w:szCs w:val="20"/>
            </w:rPr>
          </w:pPr>
          <w:r w:rsidDel="00000000" w:rsidR="00000000" w:rsidRPr="00000000">
            <w:rPr>
              <w:rtl w:val="0"/>
            </w:rPr>
          </w:r>
        </w:p>
        <w:p w:rsidR="00000000" w:rsidDel="00000000" w:rsidP="00000000" w:rsidRDefault="00000000" w:rsidRPr="00000000" w14:paraId="0000013E">
          <w:pPr>
            <w:widowControl w:val="0"/>
            <w:rPr>
              <w:rFonts w:ascii="Times New Roman" w:cs="Times New Roman" w:eastAsia="Times New Roman" w:hAnsi="Times New Roman"/>
              <w:b w:val="1"/>
              <w:bCs w:val="1"/>
              <w:i w:val="1"/>
              <w:iCs w:val="1"/>
              <w:color w:val="003366"/>
              <w:sz w:val="20"/>
              <w:szCs w:val="20"/>
            </w:rPr>
          </w:pPr>
          <w:r w:rsidDel="00000000" w:rsidR="00000000" w:rsidRPr="00000000">
            <w:rPr>
              <w:rtl w:val="0"/>
            </w:rPr>
          </w:r>
        </w:p>
      </w:tc>
    </w:tr>
  </w:tbl>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555555"/>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ialnet.unirioja.es/servlet/articulo?codigo=8316330" TargetMode="External"/><Relationship Id="rId11" Type="http://schemas.openxmlformats.org/officeDocument/2006/relationships/hyperlink" Target="https://reicomunicar.org/index.php/reicomunicar/article/view/407" TargetMode="External"/><Relationship Id="rId22" Type="http://schemas.openxmlformats.org/officeDocument/2006/relationships/footer" Target="footer2.xml"/><Relationship Id="rId10" Type="http://schemas.openxmlformats.org/officeDocument/2006/relationships/hyperlink" Target="https://dx.doi.org/10.22458/rna.v11i2.2756" TargetMode="External"/><Relationship Id="rId21" Type="http://schemas.openxmlformats.org/officeDocument/2006/relationships/header" Target="header1.xml"/><Relationship Id="rId13" Type="http://schemas.openxmlformats.org/officeDocument/2006/relationships/hyperlink" Target="https://www.academia.edu/37397759/Contabilidad_de_costos_un_enfoque_gerencial_14va_edici%C3%B3n" TargetMode="External"/><Relationship Id="rId12" Type="http://schemas.openxmlformats.org/officeDocument/2006/relationships/hyperlink" Target="https://www.academia.edu/35639678/Presupuestos_"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ooks.google.co.ve/books?id=f1omEAAAQBAJ" TargetMode="External"/><Relationship Id="rId15" Type="http://schemas.openxmlformats.org/officeDocument/2006/relationships/hyperlink" Target="https://es.slideshare.net/slideshow/contabilidad-administrativa-ray-h-garrison-eric-w-noreen-peter-c-brewer/280010353" TargetMode="External"/><Relationship Id="rId14" Type="http://schemas.openxmlformats.org/officeDocument/2006/relationships/hyperlink" Target="https://es.scribd.com/document/573858578/Presupuestos-Enfoque-de-Gestion-Burbano" TargetMode="External"/><Relationship Id="rId17" Type="http://schemas.openxmlformats.org/officeDocument/2006/relationships/hyperlink" Target="https://books.google.com.pe/books?id=zDCb9fDzN-gC" TargetMode="External"/><Relationship Id="rId16" Type="http://schemas.openxmlformats.org/officeDocument/2006/relationships/hyperlink" Target="https://hbsp.harvard.edu/product/8660-HBK-ENG" TargetMode="External"/><Relationship Id="rId5" Type="http://schemas.openxmlformats.org/officeDocument/2006/relationships/styles" Target="styles.xml"/><Relationship Id="rId19" Type="http://schemas.openxmlformats.org/officeDocument/2006/relationships/hyperlink" Target="https://books.instituto-idema.org/sites/default/files/Contabilidad%20administrativa%20-%20David%20Noel%20Ram%C3%ADrez%20-%208ed.pdf" TargetMode="External"/><Relationship Id="rId6" Type="http://schemas.openxmlformats.org/officeDocument/2006/relationships/image" Target="media/image2.png"/><Relationship Id="rId18" Type="http://schemas.openxmlformats.org/officeDocument/2006/relationships/hyperlink" Target="https://revistas.utm.edu.ec/index.php/ECASinergia/article/view/5852" TargetMode="External"/><Relationship Id="rId7" Type="http://schemas.openxmlformats.org/officeDocument/2006/relationships/image" Target="media/image1.png"/><Relationship Id="rId8" Type="http://schemas.openxmlformats.org/officeDocument/2006/relationships/hyperlink" Target="https://repositorio.une.edu.pe/handle/20.500.14039/6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