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Architecture Design</w:t>
      </w:r>
    </w:p>
    <w:p>
      <w:r>
        <w:t>Industrial AI Lab | Draft v0.1 | 2026-10-15</w:t>
      </w:r>
    </w:p>
    <w:p>
      <w:r>
        <w:t>Track A — Cognitive AI Platform</w:t>
        <w:br/>
        <w:t>Track B — Perception &amp; Physical AI Platform</w:t>
        <w:br/>
        <w:t>Common Foundation — Multi-Modal Data &amp; MLOps Platform</w:t>
      </w:r>
    </w:p>
    <w:p>
      <w:pPr>
        <w:pStyle w:val="Heading1"/>
      </w:pPr>
      <w:r>
        <w:t>1. 목표와 설계 원칙</w:t>
      </w:r>
    </w:p>
    <w:p>
      <w:r>
        <w:t>1인 개발자가 8개 기술의 핵심 원리를 From Scratch로 구현·검증하고, Mastery Gate 통과 후 학생들과 산업 응용을 진행한다. 모듈형 모놀리스로 시작하고 공통 API/이벤트 계약을 정의한다. 원본 불변 보존, 실험 재현성, 인간 승인 기반 제어를 기본 원칙으로 한다.</w:t>
      </w:r>
    </w:p>
    <w:p>
      <w:pPr>
        <w:pStyle w:val="Heading1"/>
      </w:pPr>
      <w:r>
        <w:t>2. Track A — Cognitive AI Platform</w:t>
      </w:r>
    </w:p>
    <w:p>
      <w:r>
        <w:t>Agent: 계획·도구 호출·실행 상태·재시도. RAG: 청킹·BM25·벡터 검색·재정렬·근거 추적. Small LLM: 토크나이저·Transformer·학습·경량화. Document AI: OCR·레이아웃·표·도면 분석. 교육용 핵심 구현과 산업용 통합 코드를 분리한다.</w:t>
      </w:r>
    </w:p>
    <w:p>
      <w:pPr>
        <w:pStyle w:val="Heading1"/>
      </w:pPr>
      <w:r>
        <w:t>3. Track B — Perception &amp; Physical AI Platform</w:t>
      </w:r>
    </w:p>
    <w:p>
      <w:r>
        <w:t>Vision: 영상·이미지 불량/이상 탐지. Voice: STFT·Mel·CTC·ASR 및 음성 명령. Time-Series: 센서 예측·이상 탐지·drift. RL: MDP·DQN/PPO·시뮬레이터 정책 평가. 실제 제어는 별도의 안전 검증과 인간 승인 후 추진한다.</w:t>
      </w:r>
    </w:p>
    <w:p>
      <w:pPr>
        <w:pStyle w:val="Heading1"/>
      </w:pPr>
      <w:r>
        <w:t>4. Common Foundation — Multi-Modal Data &amp; MLOps</w:t>
      </w:r>
    </w:p>
    <w:p>
      <w:r>
        <w:t>Batch/Streaming 수집 → 스키마 검증·품질 검사 → Raw → Processed → Curated → 데이터셋/피처/벡터 인덱스 → 학습·평가·서빙 → 피드백. 데이터 카탈로그·계보·버전·모델 레지스트리·실험 추적·모니터링을 공통 서비스로 제공한다.</w:t>
      </w:r>
    </w:p>
    <w:p>
      <w:pPr>
        <w:pStyle w:val="Heading1"/>
      </w:pPr>
      <w:r>
        <w:t>5. 지원 데이터 타입</w:t>
      </w:r>
    </w:p>
    <w:p>
      <w:r>
        <w:t>Text/Log, PDF/DOCX/PPTX, Image/도면, Video, Audio/소음, Time-Series/센서, CSV/JSON/SQL, Event/Stream, Spatial/3D/Robot Pose, Simulation/RL Trajectory. 1차 범위는 텍스트·문서·이미지·음성·시계열·구조화 데이터, 이후 영상·스트림·3D·시뮬레이션으로 확장한다.</w:t>
      </w:r>
    </w:p>
    <w:p>
      <w:pPr>
        <w:pStyle w:val="Heading1"/>
      </w:pPr>
      <w:r>
        <w:t>6. 공통 데이터 계약</w:t>
      </w:r>
    </w:p>
    <w:p>
      <w:r>
        <w:t>필수 필드: data_id, source_id, modality, schema_version, event_time(UTC), ingest_time(UTC), uri, checksum. 선택 필드: asset_id, correlation_id, dataset_version, provenance, license, access_policy, retention_policy, quality_status. 설비 ID와 시간창으로 모달리티를 연결하고 시계 오차·결측·샘플링 차이를 기록한다.</w:t>
      </w:r>
    </w:p>
    <w:p>
      <w:pPr>
        <w:pStyle w:val="Heading1"/>
      </w:pPr>
      <w:r>
        <w:t>7. 서비스와 이벤트 인터페이스</w:t>
      </w:r>
    </w:p>
    <w:p>
      <w:r>
        <w:t>API 초안: /ingest, /datasets, /retrieve, /infer, /agents/runs, /models, /health. 이벤트 초안: data.ingested.v1, data.validated.v1, inference.completed.v1, anomaly.detected.v1. request_id, trace_id, schema_version, 멱등성 키, 재시도·실패 격리 정책을 명시한다.</w:t>
      </w:r>
    </w:p>
    <w:p>
      <w:pPr>
        <w:pStyle w:val="Heading1"/>
      </w:pPr>
      <w:r>
        <w:t>8. 저장소 및 기술 선택</w:t>
      </w:r>
    </w:p>
    <w:p>
      <w:r>
        <w:t>초기 개발은 파일/객체 저장소, SQLite/PostgreSQL 메타데이터, Parquet 데이터셋, FastAPI, Docker Compose를 기본 후보로 한다. 검색·스트림·시계열 특화 저장소는 실험 요구량을 측정한 후 선택한다. 성능 근거가 없는 초기 마이크로서비스 분리는 지양한다.</w:t>
      </w:r>
    </w:p>
    <w:p>
      <w:pPr>
        <w:pStyle w:val="Heading1"/>
      </w:pPr>
      <w:r>
        <w:t>9. 데이터 품질·보안·운영</w:t>
      </w:r>
    </w:p>
    <w:p>
      <w:r>
        <w:t>완전성·신선도·중복·스키마 오류·시간 정렬·라인리지 커버리지를 측정한다. 데이터 사용권, 개인정보 비식별화, 최소 권한, 비밀정보 관리, 보존/삭제, 감사 로그, 백업·복구를 설계한다. 로그·메트릭·트레이스와 모델 성능/drift를 추적한다.</w:t>
      </w:r>
    </w:p>
    <w:p>
      <w:pPr>
        <w:pStyle w:val="Heading1"/>
      </w:pPr>
      <w:r>
        <w:t>10. 평가 및 Mastery Gate</w:t>
      </w:r>
    </w:p>
    <w:p>
      <w:r>
        <w:t>기술별 Theory.md, FromScratch.py, Experiments.ipynb, Benchmark.md, Mastery_Checklist.md를 남긴다. 원리 설명·독립 재구현·단위 테스트·베이스라인 비교·실패 분석·변형 실험을 완료해야 학생 응용용 안정 모듈로 승격한다.</w:t>
      </w:r>
    </w:p>
    <w:p>
      <w:pPr>
        <w:pStyle w:val="Heading1"/>
      </w:pPr>
      <w:r>
        <w:t>11. 학사 일정별 개발 계획</w:t>
      </w:r>
    </w:p>
    <w:p>
      <w:r>
        <w:t>2026 가을: 학습·환경·SRS·아키텍처·데이터 계약·평가 설계. 2026~27 겨울: 8개 최소 구현, Track A/B Prototype v0.1, 원본/추론/오류 로그 수집. 2027 봄: 데이터 파이프라인·버전 관리·재학습 실험. 2027 여름: 학생 응용·API·배포·관측성·보안·성능·장애 복구 검증. 상용 현장 배포는 별도 검증 이후 결정한다.</w:t>
      </w:r>
    </w:p>
    <w:p>
      <w:pPr>
        <w:pStyle w:val="Heading1"/>
      </w:pPr>
      <w:r>
        <w:t>12. 아키텍처 결정 및 다음 단계</w:t>
      </w:r>
    </w:p>
    <w:p>
      <w:r>
        <w:t>확정: Two-Track+Common Foundation, 공통 제조 설비 이상 진단 시나리오, 모듈형 모놀리스, 승인 기반 제어. 미정: GPU/예산, 첫 데이터셋, 처리량/지연 SLO, 스트리밍 브로커, 저장소 규모. 다음 산출물: SRS, JSON Schema, OpenAPI, Prototype 수직 슬라이스, ADR.</w:t>
      </w:r>
    </w:p>
    <w:p>
      <w:pPr>
        <w:pStyle w:val="Heading1"/>
      </w:pPr>
      <w:r>
        <w:t>Open Dataset First — 초기 데이터 전략</w:t>
      </w:r>
    </w:p>
    <w:p>
      <w:r>
        <w:t>초기에는 공개 데이터셋과 시뮬레이터 생성 데이터를 활용하여 8개 AI 기술을 From Scratch로 구현·평가한다. 겨울 Prototype도 공개 데이터 기반으로 개발하며, 봄학기에는 실제 데이터 수집·교체가 가능한 파이프라인을 완성한다. 여름방학에는 사용권이 확보된 산업 데이터 연결과 운영 품질 검증을 추진한다.</w:t>
      </w:r>
    </w:p>
    <w:p>
      <w:r>
        <w:t>공개 데이터의 사용 가능 범위는 데이터셋마다 다르다. 연구·교육용 허용이 상업적 사용 허용을 뜻하지 않는다. 사용 전 원본 출처, 버전, 라이선스, 재배포 조건, 개인정보·민감정보, 접근 승인 필요 여부를 확인하고 승인 상태를 메타데이터로 기록한다.</w:t>
      </w:r>
    </w:p>
    <w:p>
      <w:r>
        <w:t>데이터 소스 어댑터와 AI 모델을 분리한다. 공개 데이터셋 커넥터를 산업 현장 수집 커넥터로 교체해도 표준 데이터 계약과 downstream API는 유지되도록 설계한다. GitHub에는 대용량 원본 데이터를 올리지 않고 합법적 다운로드 스크립트, 설정, 메타데이터, 전처리 코드와 소규모 합성 테스트 픽스처만 둔다.</w:t>
      </w:r>
    </w:p>
    <w:p>
      <w:r>
        <w:t>데이터셋 등록 메타데이터: dataset_id, name, source_url, version/revision, license, permitted_use, redistribution_policy, attribution, checksum, modality, schema_version, provenance, split_policy, acquired_at, approval_status, storage_uri. 분할 시 설비/화자/문서 단위 누출 방지 및 시계열 시간 순서를 보장한다.</w:t>
      </w:r>
    </w:p>
    <w:p>
      <w:r>
        <w:t>학기별 적용: 2026 가을—후보 선정·라이선스 검토·커넥터/스키마 설계; 2026~27 겨울—공개 데이터로 핵심 알고리즘 및 Prototype 검증, 원본/추론/오류 로그 저장; 2027 봄—배치·스트림 수집, 품질검사, 데이터셋 버전 관리, 시뮬레이션 데이터 생성 및 자체 수집 인터페이스; 2027 여름—권한 확보된 실제 산업 데이터 연결, 모델 재학습, 운영·보안·성능 검증.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기술</w:t>
            </w:r>
          </w:p>
        </w:tc>
        <w:tc>
          <w:tcPr>
            <w:tcW w:type="dxa" w:w="2160"/>
          </w:tcPr>
          <w:p>
            <w:r>
              <w:t>공개 데이터/환경</w:t>
            </w:r>
          </w:p>
        </w:tc>
        <w:tc>
          <w:tcPr>
            <w:tcW w:type="dxa" w:w="2160"/>
          </w:tcPr>
          <w:p>
            <w:r>
              <w:t>활용</w:t>
            </w:r>
          </w:p>
        </w:tc>
        <w:tc>
          <w:tcPr>
            <w:tcW w:type="dxa" w:w="2160"/>
          </w:tcPr>
          <w:p>
            <w:r>
              <w:t>사전 확인</w:t>
            </w:r>
          </w:p>
        </w:tc>
      </w:tr>
      <w:tr>
        <w:tc>
          <w:tcPr>
            <w:tcW w:type="dxa" w:w="2160"/>
          </w:tcPr>
          <w:p>
            <w:r>
              <w:t>Agent</w:t>
            </w:r>
          </w:p>
        </w:tc>
        <w:tc>
          <w:tcPr>
            <w:tcW w:type="dxa" w:w="2160"/>
          </w:tcPr>
          <w:p>
            <w:r>
              <w:t>GAIA (benchmark)</w:t>
            </w:r>
          </w:p>
        </w:tc>
        <w:tc>
          <w:tcPr>
            <w:tcW w:type="dxa" w:w="2160"/>
          </w:tcPr>
          <w:p>
            <w:r>
              <w:t>도구 사용·다단계 과제 평가</w:t>
            </w:r>
          </w:p>
        </w:tc>
        <w:tc>
          <w:tcPr>
            <w:tcW w:type="dxa" w:w="2160"/>
          </w:tcPr>
          <w:p>
            <w:r>
              <w:t>평가셋 사용 조건과 유출 방지 확인</w:t>
            </w:r>
          </w:p>
        </w:tc>
      </w:tr>
      <w:tr>
        <w:tc>
          <w:tcPr>
            <w:tcW w:type="dxa" w:w="2160"/>
          </w:tcPr>
          <w:p>
            <w:r>
              <w:t>RAG</w:t>
            </w:r>
          </w:p>
        </w:tc>
        <w:tc>
          <w:tcPr>
            <w:tcW w:type="dxa" w:w="2160"/>
          </w:tcPr>
          <w:p>
            <w:r>
              <w:t>BEIR</w:t>
            </w:r>
          </w:p>
        </w:tc>
        <w:tc>
          <w:tcPr>
            <w:tcW w:type="dxa" w:w="2160"/>
          </w:tcPr>
          <w:p>
            <w:r>
              <w:t>검색·reranking 평가</w:t>
            </w:r>
          </w:p>
        </w:tc>
        <w:tc>
          <w:tcPr>
            <w:tcW w:type="dxa" w:w="2160"/>
          </w:tcPr>
          <w:p>
            <w:r>
              <w:t>코퍼스별 원천 라이선스 확인</w:t>
            </w:r>
          </w:p>
        </w:tc>
      </w:tr>
      <w:tr>
        <w:tc>
          <w:tcPr>
            <w:tcW w:type="dxa" w:w="2160"/>
          </w:tcPr>
          <w:p>
            <w:r>
              <w:t>Small LLM</w:t>
            </w:r>
          </w:p>
        </w:tc>
        <w:tc>
          <w:tcPr>
            <w:tcW w:type="dxa" w:w="2160"/>
          </w:tcPr>
          <w:p>
            <w:r>
              <w:t>WikiText-2</w:t>
            </w:r>
          </w:p>
        </w:tc>
        <w:tc>
          <w:tcPr>
            <w:tcW w:type="dxa" w:w="2160"/>
          </w:tcPr>
          <w:p>
            <w:r>
              <w:t>작은 Transformer 언어모델 학습</w:t>
            </w:r>
          </w:p>
        </w:tc>
        <w:tc>
          <w:tcPr>
            <w:tcW w:type="dxa" w:w="2160"/>
          </w:tcPr>
          <w:p>
            <w:r>
              <w:t>배포 및 재사용 조건 확인</w:t>
            </w:r>
          </w:p>
        </w:tc>
      </w:tr>
      <w:tr>
        <w:tc>
          <w:tcPr>
            <w:tcW w:type="dxa" w:w="2160"/>
          </w:tcPr>
          <w:p>
            <w:r>
              <w:t>Document AI</w:t>
            </w:r>
          </w:p>
        </w:tc>
        <w:tc>
          <w:tcPr>
            <w:tcW w:type="dxa" w:w="2160"/>
          </w:tcPr>
          <w:p>
            <w:r>
              <w:t>DocVQA</w:t>
            </w:r>
          </w:p>
        </w:tc>
        <w:tc>
          <w:tcPr>
            <w:tcW w:type="dxa" w:w="2160"/>
          </w:tcPr>
          <w:p>
            <w:r>
              <w:t>문서 시각 질의응답</w:t>
            </w:r>
          </w:p>
        </w:tc>
        <w:tc>
          <w:tcPr>
            <w:tcW w:type="dxa" w:w="2160"/>
          </w:tcPr>
          <w:p>
            <w:r>
              <w:t>이미지 원본 및 연구 목적 조건 확인</w:t>
            </w:r>
          </w:p>
        </w:tc>
      </w:tr>
      <w:tr>
        <w:tc>
          <w:tcPr>
            <w:tcW w:type="dxa" w:w="2160"/>
          </w:tcPr>
          <w:p>
            <w:r>
              <w:t>Vision AI</w:t>
            </w:r>
          </w:p>
        </w:tc>
        <w:tc>
          <w:tcPr>
            <w:tcW w:type="dxa" w:w="2160"/>
          </w:tcPr>
          <w:p>
            <w:r>
              <w:t>MVTec AD</w:t>
            </w:r>
          </w:p>
        </w:tc>
        <w:tc>
          <w:tcPr>
            <w:tcW w:type="dxa" w:w="2160"/>
          </w:tcPr>
          <w:p>
            <w:r>
              <w:t>산업 이미지 이상 탐지</w:t>
            </w:r>
          </w:p>
        </w:tc>
        <w:tc>
          <w:tcPr>
            <w:tcW w:type="dxa" w:w="2160"/>
          </w:tcPr>
          <w:p>
            <w:r>
              <w:t>상업적 사용 제한 여부 반드시 확인</w:t>
            </w:r>
          </w:p>
        </w:tc>
      </w:tr>
      <w:tr>
        <w:tc>
          <w:tcPr>
            <w:tcW w:type="dxa" w:w="2160"/>
          </w:tcPr>
          <w:p>
            <w:r>
              <w:t>Voice AI</w:t>
            </w:r>
          </w:p>
        </w:tc>
        <w:tc>
          <w:tcPr>
            <w:tcW w:type="dxa" w:w="2160"/>
          </w:tcPr>
          <w:p>
            <w:r>
              <w:t>Mozilla Common Voice</w:t>
            </w:r>
          </w:p>
        </w:tc>
        <w:tc>
          <w:tcPr>
            <w:tcW w:type="dxa" w:w="2160"/>
          </w:tcPr>
          <w:p>
            <w:r>
              <w:t>음성 인식 학습</w:t>
            </w:r>
          </w:p>
        </w:tc>
        <w:tc>
          <w:tcPr>
            <w:tcW w:type="dxa" w:w="2160"/>
          </w:tcPr>
          <w:p>
            <w:r>
              <w:t>버전별 라이선스·음성 개인정보 검토</w:t>
            </w:r>
          </w:p>
        </w:tc>
      </w:tr>
      <w:tr>
        <w:tc>
          <w:tcPr>
            <w:tcW w:type="dxa" w:w="2160"/>
          </w:tcPr>
          <w:p>
            <w:r>
              <w:t>Time-Series</w:t>
            </w:r>
          </w:p>
        </w:tc>
        <w:tc>
          <w:tcPr>
            <w:tcW w:type="dxa" w:w="2160"/>
          </w:tcPr>
          <w:p>
            <w:r>
              <w:t>NASA C-MAPSS</w:t>
            </w:r>
          </w:p>
        </w:tc>
        <w:tc>
          <w:tcPr>
            <w:tcW w:type="dxa" w:w="2160"/>
          </w:tcPr>
          <w:p>
            <w:r>
              <w:t>설비 잔여수명 예측</w:t>
            </w:r>
          </w:p>
        </w:tc>
        <w:tc>
          <w:tcPr>
            <w:tcW w:type="dxa" w:w="2160"/>
          </w:tcPr>
          <w:p>
            <w:r>
              <w:t>배포처 및 이용 조건 확인</w:t>
            </w:r>
          </w:p>
        </w:tc>
      </w:tr>
      <w:tr>
        <w:tc>
          <w:tcPr>
            <w:tcW w:type="dxa" w:w="2160"/>
          </w:tcPr>
          <w:p>
            <w:r>
              <w:t>Reinforcement Learning</w:t>
            </w:r>
          </w:p>
        </w:tc>
        <w:tc>
          <w:tcPr>
            <w:tcW w:type="dxa" w:w="2160"/>
          </w:tcPr>
          <w:p>
            <w:r>
              <w:t>Gymnasium 환경에서 생성한 rollout</w:t>
            </w:r>
          </w:p>
        </w:tc>
        <w:tc>
          <w:tcPr>
            <w:tcW w:type="dxa" w:w="2160"/>
          </w:tcPr>
          <w:p>
            <w:r>
              <w:t>DQN/PPO 학습·평가</w:t>
            </w:r>
          </w:p>
        </w:tc>
        <w:tc>
          <w:tcPr>
            <w:tcW w:type="dxa" w:w="2160"/>
          </w:tcPr>
          <w:p>
            <w:r>
              <w:t>환경은 데이터셋이 아니며 생성 조건 기록</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