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 w:before="0" w:after="0"/>
        <w:ind w:hanging="0" w:start="0" w:end="0"/>
        <w:jc w:val="center"/>
        <w:rPr>
          <w:b/>
          <w:bCs/>
        </w:rPr>
      </w:pPr>
      <w:r>
        <w:rPr>
          <w:rFonts w:ascii="Arial" w:hAnsi="Arial"/>
          <w:b/>
          <w:bCs/>
          <w:i w:val="false"/>
          <w:caps w:val="false"/>
          <w:smallCaps w:val="false"/>
          <w:spacing w:val="0"/>
        </w:rPr>
        <w:t>TRANSFORMANDO A BASE DE DADOS “CASOS, ÓBITOS E DOENÇAS PREEXISTENTES” EM UMA BASE ACESSÍVEL A SOCIEDADE</w:t>
      </w:r>
    </w:p>
    <w:p>
      <w:pPr>
        <w:pStyle w:val="BodyText"/>
        <w:spacing w:lineRule="auto" w:line="240" w:before="0" w:after="0"/>
        <w:jc w:val="center"/>
        <w:rPr>
          <w:rFonts w:ascii="Arial" w:hAnsi="Arial" w:eastAsia="Arial"/>
          <w:b/>
          <w:bCs/>
          <w:color w:val="222222"/>
          <w:sz w:val="24"/>
          <w:szCs w:val="24"/>
        </w:rPr>
      </w:pPr>
      <w:r>
        <w:rPr>
          <w:rFonts w:eastAsia="Arial" w:ascii="Arial" w:hAnsi="Arial"/>
          <w:b/>
          <w:bCs/>
          <w:color w:val="222222"/>
          <w:sz w:val="24"/>
          <w:szCs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center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  <w:t>Paulo Mateus Coelho Sacho</w:t>
      </w:r>
    </w:p>
    <w:p>
      <w:pPr>
        <w:pStyle w:val="BodyText"/>
        <w:bidi w:val="0"/>
        <w:spacing w:lineRule="auto" w:line="240" w:before="0" w:after="0"/>
        <w:ind w:hanging="0" w:start="0" w:end="0"/>
        <w:jc w:val="center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  <w:t>Graduando em Tecnologia de Banco de Dados pela FATEC Bauru paulo.sacho@aluno.cps.sp.gov.br</w:t>
      </w:r>
    </w:p>
    <w:p>
      <w:pPr>
        <w:pStyle w:val="BodyText"/>
        <w:bidi w:val="0"/>
        <w:spacing w:lineRule="auto" w:line="240" w:before="0" w:after="0"/>
        <w:ind w:hanging="0" w:start="0" w:end="0"/>
        <w:jc w:val="center"/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center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  <w:t>Gustavo Alonso Ziglio</w:t>
      </w:r>
    </w:p>
    <w:p>
      <w:pPr>
        <w:pStyle w:val="BodyText"/>
        <w:bidi w:val="0"/>
        <w:spacing w:lineRule="auto" w:line="240" w:before="0" w:after="0"/>
        <w:ind w:hanging="0" w:start="0" w:end="0"/>
        <w:jc w:val="center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  <w:t>Graduando em Tecnologia de Banco de Dados pela FATEC Bauru gustavo.ziglio@aluno.cps.sp.gov.br</w:t>
      </w:r>
    </w:p>
    <w:p>
      <w:pPr>
        <w:pStyle w:val="BodyText"/>
        <w:bidi w:val="0"/>
        <w:spacing w:lineRule="auto" w:line="240" w:before="0" w:after="0"/>
        <w:ind w:hanging="0" w:start="0" w:end="0"/>
        <w:jc w:val="center"/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BodyText"/>
        <w:bidi w:val="0"/>
        <w:spacing w:lineRule="auto" w:line="240" w:before="0" w:after="0"/>
        <w:ind w:hanging="0" w:start="0" w:end="0"/>
        <w:jc w:val="center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222222"/>
          <w:spacing w:val="0"/>
          <w:sz w:val="24"/>
        </w:rPr>
        <w:t>Heitor Henrique Gutierres</w:t>
      </w:r>
    </w:p>
    <w:p>
      <w:pPr>
        <w:pStyle w:val="BodyText"/>
        <w:bidi w:val="0"/>
        <w:spacing w:lineRule="auto" w:line="240" w:before="0" w:after="0"/>
        <w:ind w:hanging="0" w:start="0" w:end="0"/>
        <w:jc w:val="center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spacing w:val="0"/>
        </w:rPr>
        <w:t>Graduando em Tecnologia de Banco de Dados pela FATEC Bauru heitor.gutierres@aluno.cps.sp.gov.br</w:t>
      </w:r>
    </w:p>
    <w:p>
      <w:pPr>
        <w:pStyle w:val="BodyText"/>
        <w:spacing w:lineRule="auto" w:line="240" w:before="0" w:after="0"/>
        <w:jc w:val="center"/>
        <w:rPr>
          <w:rFonts w:ascii="Arial" w:hAnsi="Arial" w:eastAsia="Arial" w:cs="Arial" w:asciiTheme="majorHAnsi" w:cstheme="majorHAnsi" w:hAnsiTheme="majorHAnsi"/>
          <w:b/>
          <w:bCs/>
          <w:color w:val="222222"/>
          <w:sz w:val="24"/>
          <w:szCs w:val="24"/>
        </w:rPr>
      </w:pPr>
      <w:r>
        <w:rPr>
          <w:rFonts w:eastAsia="Arial" w:cs="Arial" w:cstheme="majorHAnsi" w:ascii="Arial" w:hAnsi="Arial"/>
          <w:b/>
          <w:bCs/>
          <w:color w:val="222222"/>
          <w:sz w:val="24"/>
          <w:szCs w:val="24"/>
        </w:rPr>
      </w:r>
    </w:p>
    <w:p>
      <w:pPr>
        <w:pStyle w:val="BodyText"/>
        <w:spacing w:lineRule="auto" w:line="240" w:before="0" w:after="0"/>
        <w:jc w:val="center"/>
        <w:rPr>
          <w:rFonts w:ascii="Arial" w:hAnsi="Arial" w:eastAsia="Arial" w:cs="Arial" w:asciiTheme="majorHAnsi" w:cstheme="majorHAnsi" w:hAnsiTheme="majorHAnsi"/>
          <w:b/>
          <w:bCs/>
          <w:color w:val="222222"/>
          <w:sz w:val="24"/>
          <w:szCs w:val="24"/>
        </w:rPr>
      </w:pPr>
      <w:r>
        <w:rPr>
          <w:rFonts w:eastAsia="Arial" w:cs="Arial" w:ascii="Arial" w:hAnsi="Arial" w:cstheme="majorHAnsi"/>
          <w:b/>
          <w:bCs/>
          <w:color w:val="222222"/>
          <w:sz w:val="24"/>
          <w:szCs w:val="24"/>
        </w:rPr>
        <w:t xml:space="preserve">Relatório Técnico </w:t>
      </w:r>
    </w:p>
    <w:p>
      <w:pPr>
        <w:pStyle w:val="BodyText"/>
        <w:spacing w:lineRule="auto" w:line="240" w:before="0" w:after="0"/>
        <w:jc w:val="center"/>
        <w:rPr>
          <w:rFonts w:ascii="Arial" w:hAnsi="Arial" w:eastAsia="Arial" w:cs="Arial" w:asciiTheme="majorHAnsi" w:cstheme="majorHAnsi" w:hAnsiTheme="majorHAnsi"/>
          <w:b/>
          <w:bCs/>
          <w:color w:val="222222"/>
          <w:sz w:val="24"/>
          <w:szCs w:val="24"/>
        </w:rPr>
      </w:pPr>
      <w:r>
        <w:rPr>
          <w:rFonts w:eastAsia="Arial" w:cs="Arial" w:ascii="Arial" w:hAnsi="Arial" w:cstheme="majorHAnsi"/>
          <w:b/>
          <w:bCs/>
          <w:color w:val="222222"/>
          <w:sz w:val="24"/>
          <w:szCs w:val="24"/>
        </w:rPr>
        <w:t>ETAPA 2: Coleta, Limpeza e Preparação dos Dados (ETL)</w:t>
      </w:r>
    </w:p>
    <w:p>
      <w:pPr>
        <w:pStyle w:val="BodyText"/>
        <w:spacing w:lineRule="auto" w:line="240" w:before="0" w:after="0"/>
        <w:jc w:val="both"/>
        <w:rPr>
          <w:rStyle w:val="Strong"/>
          <w:rFonts w:ascii="Arial" w:hAnsi="Arial" w:eastAsia="Arial" w:hint="eastAsia"/>
          <w:color w:val="222222"/>
          <w:sz w:val="24"/>
          <w:szCs w:val="24"/>
        </w:rPr>
      </w:pPr>
      <w:r>
        <w:rPr>
          <w:rFonts w:eastAsia="Arial" w:hint="eastAsia" w:ascii="Arial" w:hAnsi="Arial"/>
          <w:color w:val="222222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Strong"/>
          <w:rFonts w:eastAsia="Arial" w:hint="eastAsia" w:ascii="Arial" w:hAnsi="Arial"/>
          <w:color w:val="222222"/>
          <w:sz w:val="24"/>
          <w:szCs w:val="24"/>
        </w:rPr>
        <w:t>1 Objetivo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</w:r>
      <w:r>
        <w:rPr>
          <w:rFonts w:eastAsia="Arial" w:cs="Arial" w:ascii="Arial" w:hAnsi="Arial" w:asciiTheme="minorHAnsi" w:cstheme="minorHAnsi" w:hAnsiTheme="minorHAnsi"/>
          <w:sz w:val="24"/>
          <w:szCs w:val="24"/>
        </w:rPr>
        <w:t>Este relatório documenta a aquisição, análise, limpeza, padronização e normalização de uma base pública de casos de COVID-19 do estado de São Paulo, com o objetivo de transformá-la em uma base estruturada, confiável e reutilizável pela sociedade. A base original possui 6.752.117 registros e 20 colunas, descrevendo casos confirmados de COVID-19, características demográficas dos pacientes, data de início dos sintomas, ocorrência de óbito e a presença de comorbidades e fatores de risco.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cs="Arial" w:ascii="Arial" w:hAnsi="Arial" w:asciiTheme="minorHAnsi" w:cstheme="minorHAnsi" w:hAnsiTheme="minorHAnsi"/>
          <w:sz w:val="24"/>
          <w:szCs w:val="24"/>
        </w:rPr>
        <w:tab/>
        <w:t>A etapa caracteriza-se como extensionista por preparar dados públicos para uso acessível, contribuindo para que organizações e cidadãos utilizem essas informações de forma confiável.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Strong"/>
          <w:rFonts w:eastAsia="Arial" w:hint="eastAsia" w:ascii="Arial" w:hAnsi="Arial"/>
          <w:color w:val="222222"/>
          <w:sz w:val="24"/>
          <w:szCs w:val="24"/>
        </w:rPr>
        <w:t>2. Coleta dos Dados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color w:val="222222"/>
          <w:sz w:val="24"/>
          <w:szCs w:val="24"/>
        </w:rPr>
      </w:pPr>
      <w:r>
        <w:rPr>
          <w:rFonts w:eastAsia="Arial" w:ascii="Arial" w:hAnsi="Arial"/>
          <w:color w:val="222222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hint="eastAsia" w:ascii="Arial" w:hAnsi="Arial"/>
          <w:b/>
          <w:sz w:val="24"/>
          <w:szCs w:val="24"/>
        </w:rPr>
        <w:t>2.1 Documentação da fonte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0" w:noVBand="0" w:lastRow="0" w:firstColumn="0" w:lastColumn="0" w:noHBand="0" w:val="0000"/>
      </w:tblPr>
      <w:tblGrid>
        <w:gridCol w:w="2400"/>
        <w:gridCol w:w="6626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66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Fonte</w:t>
            </w:r>
          </w:p>
        </w:tc>
        <w:tc>
          <w:tcPr>
            <w:tcW w:w="66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Cs/>
                <w:iCs/>
                <w:sz w:val="24"/>
                <w:szCs w:val="24"/>
              </w:rPr>
              <w:t>https://repositorio.seade.gov.br/dataset/covid-19-semanal/resource/4da62598-45e9-462d-8736-a5dc77b4017f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Data da coleta</w:t>
            </w:r>
          </w:p>
        </w:tc>
        <w:tc>
          <w:tcPr>
            <w:tcW w:w="66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Cs/>
                <w:iCs/>
                <w:sz w:val="24"/>
                <w:szCs w:val="24"/>
              </w:rPr>
              <w:t>16/06/2026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Formato original</w:t>
            </w:r>
          </w:p>
        </w:tc>
        <w:tc>
          <w:tcPr>
            <w:tcW w:w="66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 xml:space="preserve">CSV, separador “;”, codificação </w:t>
            </w:r>
            <w:r>
              <w:rPr>
                <w:rFonts w:eastAsia="Arial" w:cs="Arial" w:ascii="Arial" w:hAnsi="Arial" w:asciiTheme="minorHAnsi" w:cstheme="minorHAnsi" w:hAnsiTheme="minorHAnsi"/>
                <w:bCs/>
                <w:iCs/>
                <w:sz w:val="24"/>
                <w:szCs w:val="24"/>
              </w:rPr>
              <w:t>UTF-8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Volume</w:t>
            </w:r>
          </w:p>
        </w:tc>
        <w:tc>
          <w:tcPr>
            <w:tcW w:w="66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6.752.117 registros, 20 colunas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Método de coleta</w:t>
            </w:r>
          </w:p>
        </w:tc>
        <w:tc>
          <w:tcPr>
            <w:tcW w:w="66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Cs/>
                <w:iCs/>
                <w:sz w:val="24"/>
                <w:szCs w:val="24"/>
              </w:rPr>
              <w:t>Extração automatizada</w:t>
            </w:r>
          </w:p>
        </w:tc>
      </w:tr>
    </w:tbl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hint="eastAsia" w:ascii="Arial" w:hAnsi="Arial"/>
          <w:b/>
          <w:sz w:val="24"/>
          <w:szCs w:val="24"/>
        </w:rPr>
        <w:t>2.</w:t>
      </w:r>
      <w:r>
        <w:rPr>
          <w:rFonts w:eastAsia="Arial" w:ascii="Arial" w:hAnsi="Arial"/>
          <w:b/>
          <w:sz w:val="24"/>
          <w:szCs w:val="24"/>
        </w:rPr>
        <w:t>2</w:t>
      </w:r>
      <w:r>
        <w:rPr>
          <w:rFonts w:eastAsia="Arial" w:hint="eastAsia" w:ascii="Arial" w:hAnsi="Arial"/>
          <w:b/>
          <w:sz w:val="24"/>
          <w:szCs w:val="24"/>
        </w:rPr>
        <w:t xml:space="preserve"> Finalidade social da base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</w:r>
    </w:p>
    <w:p>
      <w:pPr>
        <w:pStyle w:val="BodyText"/>
        <w:spacing w:lineRule="auto" w:line="240" w:before="0" w:after="0"/>
        <w:ind w:firstLine="709"/>
        <w:jc w:val="both"/>
        <w:rPr>
          <w:rFonts w:ascii="Arial" w:hAnsi="Arial" w:eastAsia="Arial" w:cs="Arial" w:asciiTheme="minorHAnsi" w:cstheme="minorHAnsi" w:hAnsiTheme="minorHAnsi"/>
          <w:sz w:val="24"/>
          <w:szCs w:val="24"/>
        </w:rPr>
      </w:pPr>
      <w:r>
        <w:rPr>
          <w:rFonts w:eastAsia="Arial" w:cs="Arial" w:ascii="Arial" w:hAnsi="Arial" w:cstheme="minorHAnsi"/>
          <w:sz w:val="24"/>
          <w:szCs w:val="24"/>
        </w:rPr>
        <w:t>A base permite acompanhar a distribuição dos casos de COVID-19 por município, faixa etária, sexo e período, além da mortalidade associada e da presença de comorbidades. Disponibilizada com qualidade adequada, apoia decisões de saúde pública, pesquisa acadêmica, jornalismo de dados e o acompanhamento da pandemia por parte da população, de organizações sociais e de gestores públicos.</w:t>
      </w:r>
    </w:p>
    <w:p>
      <w:pPr>
        <w:pStyle w:val="BodyText"/>
        <w:spacing w:lineRule="auto" w:line="240" w:before="0" w:after="0"/>
        <w:ind w:firstLine="709"/>
        <w:jc w:val="both"/>
        <w:rPr>
          <w:rFonts w:ascii="Arial" w:hAnsi="Arial" w:eastAsia="Arial" w:cs="Arial" w:asciiTheme="minorHAnsi" w:cstheme="minorHAnsi" w:hAnsiTheme="minorHAnsi"/>
          <w:sz w:val="24"/>
          <w:szCs w:val="24"/>
        </w:rPr>
      </w:pPr>
      <w:r>
        <w:rPr>
          <w:rFonts w:eastAsia="Arial" w:cs="Arial" w:cstheme="minorHAnsi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hint="eastAsia" w:ascii="Arial" w:hAnsi="Arial"/>
          <w:b/>
          <w:sz w:val="24"/>
          <w:szCs w:val="24"/>
        </w:rPr>
        <w:t>2.</w:t>
      </w:r>
      <w:r>
        <w:rPr>
          <w:rFonts w:eastAsia="Arial" w:ascii="Arial" w:hAnsi="Arial"/>
          <w:b/>
          <w:sz w:val="24"/>
          <w:szCs w:val="24"/>
        </w:rPr>
        <w:t>3</w:t>
      </w:r>
      <w:r>
        <w:rPr>
          <w:rFonts w:eastAsia="Arial" w:hint="eastAsia" w:ascii="Arial" w:hAnsi="Arial"/>
          <w:b/>
          <w:sz w:val="24"/>
          <w:szCs w:val="24"/>
        </w:rPr>
        <w:t xml:space="preserve"> </w:t>
      </w:r>
      <w:r>
        <w:rPr>
          <w:rFonts w:eastAsia="Arial" w:ascii="Arial" w:hAnsi="Arial"/>
          <w:b/>
          <w:sz w:val="24"/>
          <w:szCs w:val="24"/>
        </w:rPr>
        <w:t>Dicionário de dados (estrutura original)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0" w:noVBand="0" w:lastRow="0" w:firstColumn="0" w:lastColumn="0" w:noHBand="0" w:val="0000"/>
      </w:tblPr>
      <w:tblGrid>
        <w:gridCol w:w="2600"/>
        <w:gridCol w:w="2200"/>
        <w:gridCol w:w="4226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Coluna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Tipo observado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nome_munic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texto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Nome do município de notificação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codigo_ibge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inteiro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Código IBGE do município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idade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inteiro (com nulos)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Idade do paciente em anos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cs_sexo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texto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Sexo (FEMININO / MASCULINO)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data_inicio_sintomas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texto (ISO + hora)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Data de início dos sintomas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obito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inteiro (0/1)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Indicador de óbito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asma … sindrome_de_down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texto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13 colunas de comorbidades/fatores de risco (SIM / NÃO / IGNORADO)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diagnostico_covid19</w:t>
            </w:r>
          </w:p>
        </w:tc>
        <w:tc>
          <w:tcPr>
            <w:tcW w:w="22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texto</w:t>
            </w:r>
          </w:p>
        </w:tc>
        <w:tc>
          <w:tcPr>
            <w:tcW w:w="42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Resultado do diagnóstico</w:t>
            </w:r>
          </w:p>
        </w:tc>
      </w:tr>
    </w:tbl>
    <w:p>
      <w:pPr>
        <w:pStyle w:val="BodyText"/>
        <w:spacing w:lineRule="auto" w:line="240" w:before="0" w:after="0"/>
        <w:ind w:hanging="0" w:start="0"/>
        <w:jc w:val="both"/>
        <w:rPr>
          <w:rFonts w:ascii="Arial" w:hAnsi="Arial" w:eastAsia="Arial" w:cs="Arial" w:asciiTheme="minorHAnsi" w:cstheme="minorHAnsi" w:hAnsiTheme="minorHAnsi"/>
          <w:sz w:val="24"/>
          <w:szCs w:val="24"/>
        </w:rPr>
      </w:pPr>
      <w:r>
        <w:rPr>
          <w:rFonts w:eastAsia="Arial" w:cs="Arial" w:cstheme="minorHAnsi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Strong"/>
          <w:rFonts w:eastAsia="Arial" w:ascii="Arial" w:hAnsi="Arial"/>
          <w:color w:val="222222"/>
          <w:sz w:val="24"/>
          <w:szCs w:val="24"/>
        </w:rPr>
        <w:t xml:space="preserve">3 </w:t>
      </w:r>
      <w:r>
        <w:rPr>
          <w:rFonts w:eastAsia="Arial" w:ascii="Arial" w:hAnsi="Arial"/>
          <w:b/>
          <w:bCs/>
          <w:color w:val="222222"/>
          <w:sz w:val="24"/>
          <w:szCs w:val="24"/>
        </w:rPr>
        <w:t>Análise Inicial dos Dados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color w:val="222222"/>
          <w:sz w:val="24"/>
          <w:szCs w:val="24"/>
        </w:rPr>
      </w:pPr>
      <w:r>
        <w:rPr>
          <w:rFonts w:eastAsia="Arial" w:ascii="Arial" w:hAnsi="Arial"/>
          <w:color w:val="222222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Strong"/>
          <w:rFonts w:eastAsia="Arial" w:ascii="Arial" w:hAnsi="Arial"/>
          <w:b w:val="false"/>
          <w:color w:val="222222"/>
          <w:sz w:val="24"/>
          <w:szCs w:val="24"/>
        </w:rPr>
        <w:tab/>
      </w:r>
      <w:r>
        <w:rPr>
          <w:rFonts w:eastAsia="Arial" w:ascii="Arial" w:hAnsi="Arial"/>
          <w:sz w:val="24"/>
          <w:szCs w:val="24"/>
        </w:rPr>
        <w:t>Esta seção identifica os problemas de qualidade encontrados e descreve como cada um poderia prejudicar o uso dos dados pela sociedade. Todos os números foram apurados sobre a base completa de 6.752.117 registros.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3.1 Dados faltantes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>Foram identificados valores ausentes registrados de duas formas: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Ausência explícita (‘NA’).</w:t>
      </w:r>
      <w:r>
        <w:rPr>
          <w:rFonts w:eastAsia="Arial" w:ascii="Arial" w:hAnsi="Arial"/>
          <w:sz w:val="24"/>
          <w:szCs w:val="24"/>
        </w:rPr>
        <w:t xml:space="preserve"> Três colunas contêm valores nulos: idade, com 219.248 nulos (3,25%); data_inicio_sintomas, com 242.525 (3,59%); e cs_sexo, com 1 registro nulo. A ausência de data de início de sintomas em mais de 240 mil registros é relevante para qualquer análise temporal da pandemia.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Ausência disfarçada de categoria (‘IGNORADO’).</w:t>
      </w:r>
      <w:r>
        <w:rPr>
          <w:rFonts w:eastAsia="Arial" w:ascii="Arial" w:hAnsi="Arial"/>
          <w:sz w:val="24"/>
          <w:szCs w:val="24"/>
        </w:rPr>
        <w:t xml:space="preserve"> As 13 colunas de comorbidade registram a ausência de informação como o valor textual IGNORADO, que predomina de forma extrema. A tabela a seguir apresenta a distribuição e a taxa de preenchimento de cada coluna na base completa: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0" w:noVBand="0" w:lastRow="0" w:firstColumn="0" w:lastColumn="0" w:noHBand="0" w:val="0000"/>
      </w:tblPr>
      <w:tblGrid>
        <w:gridCol w:w="3026"/>
        <w:gridCol w:w="1700"/>
        <w:gridCol w:w="1100"/>
        <w:gridCol w:w="1098"/>
        <w:gridCol w:w="2102"/>
      </w:tblGrid>
      <w:tr>
        <w:trPr>
          <w:tblHeader w:val="true"/>
        </w:trPr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Comorbidade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IGNORADO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SIM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NÃO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Preenchimento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asma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96,5%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0,2%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3,3%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3,5%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cardiopatia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91,5%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7,0%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1,5%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8,5%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diabetes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93,2%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4,7%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2,1%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6,8%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doenca_hematologica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96,6%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0,1%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3,4%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3,4%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doenca_hepatica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96,6%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0,1%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3,4%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3,4%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doenca_neurologica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96,5%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0,4%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3,2%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3,5%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doenca_renal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96,3%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0,5%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3,2%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3,7%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imunodepressao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96,2%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0,6%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3,3%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3,8%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obesidade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96,4%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0,7%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2,9%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3,6%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outros_fatores_de_risco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95,8%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2,3%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1,9%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4,2%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pneumopatia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96,5%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0,3%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3,2%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3,5%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puerpera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96,6%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0,0%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3,4%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3,4%</w:t>
            </w:r>
          </w:p>
        </w:tc>
      </w:tr>
      <w:tr>
        <w:trPr/>
        <w:tc>
          <w:tcPr>
            <w:tcW w:w="3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sindrome_de_down</w:t>
            </w:r>
          </w:p>
        </w:tc>
        <w:tc>
          <w:tcPr>
            <w:tcW w:w="17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96,6%</w:t>
            </w:r>
          </w:p>
        </w:tc>
        <w:tc>
          <w:tcPr>
            <w:tcW w:w="11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0,0%</w:t>
            </w:r>
          </w:p>
        </w:tc>
        <w:tc>
          <w:tcPr>
            <w:tcW w:w="1098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3,4%</w:t>
            </w:r>
          </w:p>
        </w:tc>
        <w:tc>
          <w:tcPr>
            <w:tcW w:w="2102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3,4%</w:t>
            </w:r>
          </w:p>
        </w:tc>
      </w:tr>
    </w:tbl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ind w:firstLine="709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Achado crítico - viés de preenchimento.</w:t>
      </w:r>
      <w:r>
        <w:rPr>
          <w:rFonts w:eastAsia="Arial" w:ascii="Arial" w:hAnsi="Arial"/>
          <w:sz w:val="24"/>
          <w:szCs w:val="24"/>
        </w:rPr>
        <w:t xml:space="preserve"> Ao desconsiderar os registros IGNORADO e analisar apenas os casos com informação conhecida, observa-se que o campo tende a ser preenchido sobretudo quando a comorbidade está presente, e que esse comportamento varia conforme a doença. Entre os casos conhecidos, a proporção de SIM é de 82,3% em cardiopatia, 68,7% em diabetes e 54,6% em outros fatores de risco - nesses campos a anotação ocorre quase só quando há a condição. Já em comorbidades como puérpera (0,8% SIM entre os conhecidos), síndrome de Down (0,6%), doença hematológica (2,0%) e doença hepática (2,1%), a maioria dos registros conhecidos é NÃO. A asma fica em patamar intermediário (6,9% SIM).</w:t>
      </w:r>
    </w:p>
    <w:p>
      <w:pPr>
        <w:pStyle w:val="BodyText"/>
        <w:spacing w:lineRule="auto" w:line="240" w:before="0" w:after="0"/>
        <w:ind w:firstLine="709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 xml:space="preserve">Isso demonstra que </w:t>
      </w:r>
      <w:r>
        <w:rPr>
          <w:rFonts w:eastAsia="Arial" w:ascii="Arial" w:hAnsi="Arial"/>
          <w:b/>
          <w:bCs/>
          <w:sz w:val="24"/>
          <w:szCs w:val="24"/>
        </w:rPr>
        <w:t>o comportamento de preenchimento varia por coluna</w:t>
      </w:r>
      <w:r>
        <w:rPr>
          <w:rFonts w:eastAsia="Arial" w:ascii="Arial" w:hAnsi="Arial"/>
          <w:sz w:val="24"/>
          <w:szCs w:val="24"/>
        </w:rPr>
        <w:t xml:space="preserve"> e que </w:t>
      </w:r>
      <w:r>
        <w:rPr>
          <w:rFonts w:eastAsia="Arial" w:ascii="Arial" w:hAnsi="Arial"/>
          <w:b/>
          <w:bCs/>
          <w:sz w:val="24"/>
          <w:szCs w:val="24"/>
        </w:rPr>
        <w:t>‘IGNORADO’ não pode ser tratado como ‘NÃO’</w:t>
      </w:r>
      <w:r>
        <w:rPr>
          <w:rFonts w:eastAsia="Arial" w:ascii="Arial" w:hAnsi="Arial"/>
          <w:sz w:val="24"/>
          <w:szCs w:val="24"/>
        </w:rPr>
        <w:t xml:space="preserve"> - fazê-lo subestimaria artificialmente a prevalência real das doenças, sobretudo das mais comuns (cardiopatia e diabetes).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Impacto para a sociedade:</w:t>
      </w:r>
      <w:r>
        <w:rPr>
          <w:rFonts w:eastAsia="Arial" w:ascii="Arial" w:hAnsi="Arial"/>
          <w:sz w:val="24"/>
          <w:szCs w:val="24"/>
        </w:rPr>
        <w:t xml:space="preserve"> se a ausência fosse interpretada como negativa, qualquer estatística de prevalência de comorbidades ou de mortalidade associada ficaria distorcida, induzindo conclusões equivocadas em decisões de saúde pública.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3.2 Dados duplicados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 xml:space="preserve">A base contém </w:t>
      </w:r>
      <w:r>
        <w:rPr>
          <w:rFonts w:eastAsia="Arial" w:ascii="Arial" w:hAnsi="Arial"/>
          <w:b/>
          <w:bCs/>
          <w:sz w:val="24"/>
          <w:szCs w:val="24"/>
        </w:rPr>
        <w:t>2.172.256 linhas integralmente idênticas (32,2% dos registros)</w:t>
      </w:r>
      <w:r>
        <w:rPr>
          <w:rFonts w:eastAsia="Arial" w:ascii="Arial" w:hAnsi="Arial"/>
          <w:sz w:val="24"/>
          <w:szCs w:val="24"/>
        </w:rPr>
        <w:t>. Esse é um dos achados mais delicados da análise e exige interpretação cuidadosa, pois há duas explicações possíveis - e a decisão de remover ou manter esses registros tem consequências opostas:</w:t>
      </w:r>
    </w:p>
    <w:p>
      <w:pPr>
        <w:pStyle w:val="BodyText"/>
        <w:numPr>
          <w:ilvl w:val="0"/>
          <w:numId w:val="6"/>
        </w:numPr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Notificações duplicadas (erro de dados):</w:t>
      </w:r>
      <w:r>
        <w:rPr>
          <w:rFonts w:eastAsia="Arial" w:ascii="Arial" w:hAnsi="Arial"/>
          <w:sz w:val="24"/>
          <w:szCs w:val="24"/>
        </w:rPr>
        <w:t xml:space="preserve"> o mesmo caso pode ter sido lançado mais de uma vez no sistema de origem.</w:t>
      </w:r>
    </w:p>
    <w:p>
      <w:pPr>
        <w:pStyle w:val="BodyText"/>
        <w:numPr>
          <w:ilvl w:val="0"/>
          <w:numId w:val="4"/>
        </w:numPr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Indivíduos distintos que coincidem em todos os campos:</w:t>
      </w:r>
      <w:r>
        <w:rPr>
          <w:rFonts w:eastAsia="Arial" w:ascii="Arial" w:hAnsi="Arial"/>
          <w:sz w:val="24"/>
          <w:szCs w:val="24"/>
        </w:rPr>
        <w:t xml:space="preserve"> a base não possui identificador único de paciente e descreve cada pessoa por poucos atributos de baixa cardinalidade (município, idade em anos, sexo, data de início de sintomas, óbito e o perfil de comorbidades - quase sempre IGNORADO). Em municípios populosos, é estatisticamente esperado que, em um mesmo dia, várias pessoas de mesma idade e sexo, com comorbidades não preenchidas, apareçam como linhas idênticas sem que sejam a mesma pessoa.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 xml:space="preserve">Dado que a maioria das colunas é IGNORADO ou de baixa granularidade, uma fração expressiva dessas “duplicatas” é provavelmente composta por </w:t>
      </w:r>
      <w:r>
        <w:rPr>
          <w:rFonts w:eastAsia="Arial" w:ascii="Arial" w:hAnsi="Arial"/>
          <w:b/>
          <w:bCs/>
          <w:sz w:val="24"/>
          <w:szCs w:val="24"/>
        </w:rPr>
        <w:t>pessoas reais distintas</w:t>
      </w:r>
      <w:r>
        <w:rPr>
          <w:rFonts w:eastAsia="Arial" w:ascii="Arial" w:hAnsi="Arial"/>
          <w:sz w:val="24"/>
          <w:szCs w:val="24"/>
        </w:rPr>
        <w:t xml:space="preserve">, e não por erros. Por isso, </w:t>
      </w:r>
      <w:r>
        <w:rPr>
          <w:rFonts w:eastAsia="Arial" w:ascii="Arial" w:hAnsi="Arial"/>
          <w:b/>
          <w:bCs/>
          <w:sz w:val="24"/>
          <w:szCs w:val="24"/>
        </w:rPr>
        <w:t>não se recomenda a remoção automática (deduplicação) das linhas idênticas</w:t>
      </w:r>
      <w:r>
        <w:rPr>
          <w:rFonts w:eastAsia="Arial" w:ascii="Arial" w:hAnsi="Arial"/>
          <w:sz w:val="24"/>
          <w:szCs w:val="24"/>
        </w:rPr>
        <w:t>: sem um identificador único, é impossível distinguir um lançamento repetido de um caso legítimo, e excluir os 2,17 milhões de registros levaria a uma subcontagem grave dos casos, corrompendo o sinal epidemiológico da base.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 xml:space="preserve">A recomendação é </w:t>
      </w:r>
      <w:r>
        <w:rPr>
          <w:rFonts w:eastAsia="Arial" w:ascii="Arial" w:hAnsi="Arial"/>
          <w:b/>
          <w:bCs/>
          <w:sz w:val="24"/>
          <w:szCs w:val="24"/>
        </w:rPr>
        <w:t>manter os registros e documentar explicitamente essa característica</w:t>
      </w:r>
      <w:r>
        <w:rPr>
          <w:rFonts w:eastAsia="Arial" w:ascii="Arial" w:hAnsi="Arial"/>
          <w:sz w:val="24"/>
          <w:szCs w:val="24"/>
        </w:rPr>
        <w:t xml:space="preserve"> como uma limitação da base de origem, alertando os reusuários de que a contagem é por registro de notificação, não por indivíduo. Caso a fonte original disponha de um identificador que não foi incluído na coleta, recomenda-se reextrair a base com esse campo para permitir uma deduplicação segura.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Impacto para a sociedade:</w:t>
      </w:r>
      <w:r>
        <w:rPr>
          <w:rFonts w:eastAsia="Arial" w:ascii="Arial" w:hAnsi="Arial"/>
          <w:sz w:val="24"/>
          <w:szCs w:val="24"/>
        </w:rPr>
        <w:t xml:space="preserve"> a ausência de identificador único impede contagens por paciente e torna a deduplicação arriscada. Informar essa limitação de forma transparente evita que análises derivadas removam casos válidos ou tratem registros repetidos como pessoas diferentes sem ressalva.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3.3 Erros e inconsistências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ab/>
      </w:r>
      <w:r>
        <w:rPr>
          <w:rFonts w:eastAsia="Arial" w:ascii="Arial" w:hAnsi="Arial"/>
          <w:b w:val="false"/>
          <w:bCs w:val="false"/>
          <w:sz w:val="24"/>
          <w:szCs w:val="24"/>
        </w:rPr>
        <w:t>Codificação heterogênea entre colunas.</w:t>
      </w:r>
      <w:r>
        <w:rPr>
          <w:rFonts w:eastAsia="Arial" w:ascii="Arial" w:hAnsi="Arial"/>
          <w:sz w:val="24"/>
          <w:szCs w:val="24"/>
        </w:rPr>
        <w:t xml:space="preserve"> A coluna óbito usa codificação numérica (0/1), enquanto as 13 comorbidades usam texto (SIM/NÃO/IGNORADO). Não há um padrão único para representar informação de presença/ausência.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ab/>
      </w:r>
      <w:r>
        <w:rPr>
          <w:rFonts w:eastAsia="Arial" w:ascii="Arial" w:hAnsi="Arial"/>
          <w:b w:val="false"/>
          <w:bCs w:val="false"/>
          <w:i w:val="false"/>
          <w:iCs w:val="false"/>
          <w:sz w:val="24"/>
          <w:szCs w:val="24"/>
        </w:rPr>
        <w:t>Formato de data com componente inútil.</w:t>
      </w:r>
      <w:r>
        <w:rPr>
          <w:rFonts w:eastAsia="Arial" w:ascii="Arial" w:hAnsi="Arial"/>
          <w:sz w:val="24"/>
          <w:szCs w:val="24"/>
        </w:rPr>
        <w:t xml:space="preserve"> A coluna data_inicio_sintomas é armazenada como 2020-05-25T00:00:00Z. O componente de hora é sempre 00:00:00Z e não carrega informação, dificultando o uso direto do campo como data.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ab/>
      </w:r>
      <w:r>
        <w:rPr>
          <w:rFonts w:eastAsia="Arial" w:ascii="Arial" w:hAnsi="Arial"/>
          <w:sz w:val="24"/>
          <w:szCs w:val="24"/>
        </w:rPr>
        <w:t>A coluna diagnostico_covid19 apresenta o valor CONFIRMADO em todos os 6.752.117 registros, não agregando informação discriminante (reflexo de um filtro de casos confirmados já aplicado na origem) por isso a mesma será removida no tratamento dos dados.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3.4 Problemas estruturais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Cs/>
          <w:sz w:val="24"/>
          <w:szCs w:val="24"/>
        </w:rPr>
        <w:tab/>
        <w:t>Redundância de município e código IBGE.</w:t>
      </w:r>
      <w:r>
        <w:rPr>
          <w:rFonts w:eastAsia="Arial" w:ascii="Arial" w:hAnsi="Arial"/>
          <w:sz w:val="24"/>
          <w:szCs w:val="24"/>
        </w:rPr>
        <w:t xml:space="preserve"> As colunas nome_munic e codigo_ibge mantêm relação 1:1. Armazenar o nome do município em cada linha gera redundância e risco de inconsistência (grafias divergentes para o mesmo código), além de desperdício de espaço em uma base de milhões de registros.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ab/>
      </w:r>
      <w:r>
        <w:rPr>
          <w:rFonts w:eastAsia="Arial" w:ascii="Arial" w:hAnsi="Arial"/>
          <w:b w:val="false"/>
          <w:bCs w:val="false"/>
          <w:sz w:val="24"/>
          <w:szCs w:val="24"/>
        </w:rPr>
        <w:t>Tipagem inadequada.</w:t>
      </w:r>
      <w:r>
        <w:rPr>
          <w:rFonts w:eastAsia="Arial" w:ascii="Arial" w:hAnsi="Arial"/>
          <w:sz w:val="24"/>
          <w:szCs w:val="24"/>
        </w:rPr>
        <w:t xml:space="preserve"> A coluna idade é interpretada como decimal devido à presença de valores nulos, quando deveria ser inteiro.</w:t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4 Transformação e Limpeza - Processo ETL</w:t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4.1 Extração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>Leitura do arquivo CSV de origem com separador “;”, reconhecendo NA como valor nulo e controlando explicitamente os tipos e a codificação. Para o volume de 6,75 milhões de registros, recomenda-se ler apenas as colunas necessárias e definir os tipos na leitura para reduzir o consumo de memória.</w:t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4.2 Transformação</w:t>
      </w:r>
    </w:p>
    <w:p>
      <w:pPr>
        <w:pStyle w:val="BodyText"/>
        <w:spacing w:lineRule="auto" w:line="240" w:before="0" w:after="0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numPr>
          <w:ilvl w:val="0"/>
          <w:numId w:val="7"/>
        </w:numPr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Datas:</w:t>
      </w:r>
      <w:r>
        <w:rPr>
          <w:rFonts w:eastAsia="Arial" w:ascii="Arial" w:hAnsi="Arial"/>
          <w:sz w:val="24"/>
          <w:szCs w:val="24"/>
        </w:rPr>
        <w:t xml:space="preserve"> conversão de data_inicio_sintomas para tipo data puro (AAAA-MM-DD), removendo o componente de hora; derivação dos campos ano_sintomas e mes_sintomas para facilitar análises temporais.</w:t>
      </w:r>
    </w:p>
    <w:p>
      <w:pPr>
        <w:pStyle w:val="BodyText"/>
        <w:numPr>
          <w:ilvl w:val="0"/>
          <w:numId w:val="5"/>
        </w:numPr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Idade:</w:t>
      </w:r>
      <w:r>
        <w:rPr>
          <w:rFonts w:eastAsia="Arial" w:ascii="Arial" w:hAnsi="Arial"/>
          <w:sz w:val="24"/>
          <w:szCs w:val="24"/>
        </w:rPr>
        <w:t xml:space="preserve"> conversão para inteiro com suporte a nulo (tipo Int64); os valores ausentes são mantidos como nulos, sinalizando a falta em vez de mascará-la.</w:t>
      </w:r>
    </w:p>
    <w:p>
      <w:pPr>
        <w:pStyle w:val="BodyText"/>
        <w:numPr>
          <w:ilvl w:val="0"/>
          <w:numId w:val="5"/>
        </w:numPr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Coluna constante:</w:t>
      </w:r>
      <w:r>
        <w:rPr>
          <w:rFonts w:eastAsia="Arial" w:ascii="Arial" w:hAnsi="Arial"/>
          <w:sz w:val="24"/>
          <w:szCs w:val="24"/>
        </w:rPr>
        <w:t xml:space="preserve"> remoção de diagnostico_covid19 por ausência de variabilidade, com a decisão documentada.</w:t>
      </w:r>
    </w:p>
    <w:p>
      <w:pPr>
        <w:pStyle w:val="BodyText"/>
        <w:spacing w:lineRule="auto" w:line="240" w:before="0" w:after="0"/>
        <w:ind w:start="54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4.3 Padronização</w:t>
      </w:r>
    </w:p>
    <w:p>
      <w:pPr>
        <w:pStyle w:val="BodyText"/>
        <w:spacing w:lineRule="auto" w:line="240" w:before="0" w:after="0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numPr>
          <w:ilvl w:val="0"/>
          <w:numId w:val="5"/>
        </w:numPr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Comorbidades em três estados:</w:t>
      </w:r>
      <w:r>
        <w:rPr>
          <w:rFonts w:eastAsia="Arial" w:ascii="Arial" w:hAnsi="Arial"/>
          <w:sz w:val="24"/>
          <w:szCs w:val="24"/>
        </w:rPr>
        <w:t xml:space="preserve"> padronização de SIM/NÃO/IGNORADO para o esquema explícito Sim / Não / Desconhecido, preservando a distinção entre ausência da doença e informação indisponível.</w:t>
      </w:r>
    </w:p>
    <w:p>
      <w:pPr>
        <w:pStyle w:val="BodyText"/>
        <w:numPr>
          <w:ilvl w:val="0"/>
          <w:numId w:val="5"/>
        </w:numPr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Óbito:</w:t>
      </w:r>
      <w:r>
        <w:rPr>
          <w:rFonts w:eastAsia="Arial" w:ascii="Arial" w:hAnsi="Arial"/>
          <w:sz w:val="24"/>
          <w:szCs w:val="24"/>
        </w:rPr>
        <w:t xml:space="preserve"> conversão de 0/1 para Não/Sim; por ser um campo totalmente preenchido, adota-se representação de dois estados (sem categoria de desconhecido), tornando a semântica coerente com as demais colunas categóricas.</w:t>
      </w:r>
    </w:p>
    <w:p>
      <w:pPr>
        <w:pStyle w:val="BodyText"/>
        <w:numPr>
          <w:ilvl w:val="0"/>
          <w:numId w:val="5"/>
        </w:numPr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Texto:</w:t>
      </w:r>
      <w:r>
        <w:rPr>
          <w:rFonts w:eastAsia="Arial" w:ascii="Arial" w:hAnsi="Arial"/>
          <w:sz w:val="24"/>
          <w:szCs w:val="24"/>
        </w:rPr>
        <w:t xml:space="preserve"> padronização de codificação (UTF-8), remoção de espaços e normalização de caixa em cs_sexo e nos nomes de municípios.</w:t>
      </w:r>
    </w:p>
    <w:p>
      <w:pPr>
        <w:pStyle w:val="BodyText"/>
        <w:spacing w:lineRule="auto" w:line="240" w:before="0" w:after="0"/>
        <w:ind w:start="54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4.4 Normalização</w:t>
      </w:r>
    </w:p>
    <w:p>
      <w:pPr>
        <w:pStyle w:val="BodyText"/>
        <w:spacing w:lineRule="auto" w:line="240" w:before="0" w:after="0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>Separação dos municípios em uma tabela própria (dim_municipio: codigo_ibge - nome_municipio), referenciada pela tabela de casos por meio do codigo_ibge. Quando um mesmo código apresenta grafias divergentes, adota-se o nome mais frequente, eliminando inconsistências. Isso remove a redundância estrutural identificada na seção 3.4 e garante integridade referencial - o nome do município passa a existir em um único lugar.</w:t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4.5 Carga em estrutura temporária</w:t>
      </w:r>
    </w:p>
    <w:p>
      <w:pPr>
        <w:pStyle w:val="BodyText"/>
        <w:spacing w:lineRule="auto" w:line="240" w:before="0" w:after="0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ab/>
        <w:t>A base tratada é carregada em uma estrutura temporária (staging) em banco SQLite, com as tabelas stg_casos e dim_municipio e um índice por codigo_ibge para acelerar as junções do BI. Em paralelo, a base tratada é exportada em formato Parquet (colunar e eficiente), pronta para a carga definitiva no banco que servirá às consultas.</w:t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5 Documentação do Processo</w:t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5.1 Scripts utilizados</w:t>
      </w:r>
    </w:p>
    <w:p>
      <w:pPr>
        <w:pStyle w:val="BodyText"/>
        <w:spacing w:lineRule="auto" w:line="240" w:before="0" w:after="0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 xml:space="preserve">O processo foi implementado em Python (pandas), que processa o volume de 6,75 milhões de registros em memória sem necessidade de banco de dados na fase de análise. </w:t>
      </w:r>
      <w:r>
        <w:rPr>
          <w:rFonts w:eastAsia="Arial" w:ascii="Arial" w:hAnsi="Arial"/>
          <w:sz w:val="24"/>
          <w:szCs w:val="24"/>
        </w:rPr>
        <w:t>Os scripts estão a seguir: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Consolas;Courier New;monospace" w:hAnsi="Consolas;Courier New;monospace" w:eastAsia="Arial"/>
          <w:b w:val="false"/>
          <w:color w:val="000000"/>
          <w:sz w:val="21"/>
          <w:szCs w:val="24"/>
          <w:shd w:fill="FFFFFF" w:val="clear"/>
        </w:rPr>
      </w:pPr>
      <w:r>
        <w:rPr>
          <w:rFonts w:eastAsia="Arial" w:ascii="Consolas;Courier New;monospace" w:hAnsi="Consolas;Courier New;monospace"/>
          <w:b w:val="false"/>
          <w:color w:val="AF00DB"/>
          <w:sz w:val="21"/>
          <w:szCs w:val="24"/>
          <w:shd w:fill="FFFFFF" w:val="clear"/>
        </w:rPr>
        <w:t>import</w:t>
      </w:r>
      <w:r>
        <w:rPr>
          <w:rFonts w:eastAsia="Arial" w:ascii="Consolas;Courier New;monospace" w:hAnsi="Consolas;Courier New;monospace"/>
          <w:b w:val="false"/>
          <w:color w:val="000000"/>
          <w:sz w:val="21"/>
          <w:szCs w:val="24"/>
          <w:shd w:fill="FFFFFF" w:val="clear"/>
        </w:rPr>
        <w:t xml:space="preserve"> logging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pandas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pd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logging.basicConfig(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level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=logging.INFO,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format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%(asctime)s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%(levelname)s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%(message)s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datefmt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"%H:%M:%S"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 = logging.getLogger(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"etl"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As 13 colunas de comorbidade (SIM / NÃO / IGNORADO)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COMORBIDADES = [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"asma"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"cardiopatia"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"diabetes"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"doenca_hematologica"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"doenca_hepatica"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"doenca_neurologica"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"doenca_renal"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"imunodepressao"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"obesidade"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"outros_fatores_de_risco"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"pneumopatia"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"puerpera"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"sindrome_de_down"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1. Extração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"Lendo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%s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"casos-covid.csv"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 = pd.read_csv(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"casos-covid.csv"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sep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na_values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"NA"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"Registros lidos: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 | Colunas: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len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(df), df.shape[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2. Análise rápida de qualidade (apenas para registro no log)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"Nulos por coluna: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%s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df.isna().sum()[df.isna().sum() &gt;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].to_dict())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"Linhas idênticas: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 (mantidas; base sem identificador de paciente)"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>         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(df.duplicated().sum()))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3. Transformação e padronização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"Transformando e padronizando"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Data: remove o componente de hora (T00:00:00Z) e deriva ano e mês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"data_inicio_sintomas"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 = pd.to_datetime(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"data_inicio_sintomas"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errors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"coerce"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utc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).dt.date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datas = pd.to_datetime(df[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"data_inicio_sintomas"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errors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"coerce"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"ano_sintomas"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 = datas.dt.year.astype(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"Int64"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"mes_sintomas"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 = datas.dt.month.astype(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"Int64"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Idade: número inteiro com suporte a nulo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"idade"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 = pd.to_numeric(df[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"idade"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errors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"coerce"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).astype(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"Int64"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Sexo: texto padronizado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"cs_sexo"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 = 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"cs_sexo"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].str.strip().str.upper()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Óbito: 0/1 -&gt; Não/Sim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"obito"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 = df[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"obito"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].map({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"Não"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"Sim"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Comorbidades: três estados (SIM / NÃO / IGNORADO) padronizados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mapa = {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"SIM"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"Sim"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"NÃO"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"Não"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"NAO"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"Não"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"IGNORADO"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"Desconhecido"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COMORBIDADES: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df[col] = df[col].str.strip().str.upper().map(mapa)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Coluna constante (sempre CONFIRMADO): removida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"diagnostico_covid19"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df.columns: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 = df.drop(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columns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"diagnostico_covid19"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"Coluna 'diagnostico_covid19' removida (valor constante)"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4. Normalização: separa a dimensão de municípios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"Separando a dimensão de municípios"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municipios = (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df[[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"codigo_ibge"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"nome_munic"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.dropna(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subset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"codigo_ibge"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.drop_duplicates(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subset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"codigo_ibge"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.rename(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columns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={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"nome_munic"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"nome_municipio"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.sort_values(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"codigo_ibge"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A tabela de casos passa a referenciar apenas o código do município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casos = df.drop(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columns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=[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"nome_munic"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5. Exportação para CSV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# --------------------------------------------------------------------------- #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casos.to_csv(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"./casos-covid-tratados.csv"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sep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index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encoding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"utf-8"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municipios.to_csv(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"./municipios.csv"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sep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index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encoding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"utf-8"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"Gerados casos-covid-tratados.csv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 linhas) e municipios.csv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%d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 linhas)"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>         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len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(casos),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len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(municipios))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log.info(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"ETL concluído."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BodyText"/>
        <w:spacing w:lineRule="auto" w:line="240" w:before="0" w:after="0"/>
        <w:jc w:val="both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  <w:t>5.2 Problemas encontrados e soluções aplicadas</w:t>
      </w:r>
    </w:p>
    <w:p>
      <w:pPr>
        <w:pStyle w:val="BodyText"/>
        <w:spacing w:lineRule="auto" w:line="240" w:before="0" w:after="0"/>
        <w:rPr>
          <w:rFonts w:ascii="Arial" w:hAnsi="Arial" w:eastAsia="Arial"/>
          <w:b/>
          <w:bCs/>
          <w:sz w:val="24"/>
          <w:szCs w:val="24"/>
        </w:rPr>
      </w:pPr>
      <w:r>
        <w:rPr>
          <w:rFonts w:eastAsia="Arial" w:ascii="Arial" w:hAnsi="Arial"/>
          <w:b/>
          <w:bCs/>
          <w:sz w:val="24"/>
          <w:szCs w:val="24"/>
        </w:rPr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20" w:type="dxa"/>
          <w:bottom w:w="60" w:type="dxa"/>
          <w:end w:w="120" w:type="dxa"/>
        </w:tblCellMar>
        <w:tblLook w:firstRow="0" w:noVBand="0" w:lastRow="0" w:firstColumn="0" w:lastColumn="0" w:noHBand="0" w:val="0000"/>
      </w:tblPr>
      <w:tblGrid>
        <w:gridCol w:w="4000"/>
        <w:gridCol w:w="5026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Problema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1F4E7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b/>
                <w:bCs/>
                <w:color w:val="FFFFFF"/>
                <w:sz w:val="24"/>
                <w:szCs w:val="24"/>
              </w:rPr>
              <w:t>Solução aplicada</w:t>
            </w:r>
          </w:p>
        </w:tc>
      </w:tr>
      <w:tr>
        <w:trPr/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IGNORADO predominante mascarando ausência de dado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Modelagem em três estados; ausência tratada como “Desconhecido”, nunca como “Não”</w:t>
            </w:r>
          </w:p>
        </w:tc>
      </w:tr>
      <w:tr>
        <w:trPr/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Viés de preenchimento (campo só preenchido quando há a doença)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Cálculos de prevalência feitos somente sobre registros conhecidos, com rótulo explícito</w:t>
            </w:r>
          </w:p>
        </w:tc>
      </w:tr>
      <w:tr>
        <w:trPr/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2,17 milhões de linhas idênticas (32%) sem identificador de paciente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Não deduplicar automaticamente; manter os registros e documentar a limitação (contagem por notificação, não por indivíduo)</w:t>
            </w:r>
          </w:p>
        </w:tc>
      </w:tr>
      <w:tr>
        <w:trPr/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diagnostico_covid19 constante (CONFIRMADO em 100%)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Documentar a constância e remover a coluna na base tratada</w:t>
            </w:r>
          </w:p>
        </w:tc>
      </w:tr>
      <w:tr>
        <w:trPr/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Codificação mista (0/1 vs. SIM/NÃO)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Padronização para esquema categórico consistente</w:t>
            </w:r>
          </w:p>
        </w:tc>
      </w:tr>
      <w:tr>
        <w:trPr/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Data com hora inútil (T00:00:00Z)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Conversão para data pura e derivação de ano/mês</w:t>
            </w:r>
          </w:p>
        </w:tc>
      </w:tr>
      <w:tr>
        <w:trPr/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Redundância nome_munic/codigo_ibge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Normalização em tabela de municípios (dim_municipio)</w:t>
            </w:r>
          </w:p>
        </w:tc>
      </w:tr>
      <w:tr>
        <w:trPr/>
        <w:tc>
          <w:tcPr>
            <w:tcW w:w="4000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idade como decimal por causa de nulos</w:t>
            </w:r>
          </w:p>
        </w:tc>
        <w:tc>
          <w:tcPr>
            <w:tcW w:w="5026" w:type="dxa"/>
            <w:tcBorders>
              <w:top w:val="single" w:sz="2" w:space="0" w:color="BFBFBF"/>
              <w:start w:val="single" w:sz="2" w:space="0" w:color="BFBFBF"/>
              <w:bottom w:val="single" w:sz="2" w:space="0" w:color="BFBFBF"/>
              <w:end w:val="single" w:sz="2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Arial"/>
                <w:sz w:val="24"/>
                <w:szCs w:val="24"/>
              </w:rPr>
            </w:pPr>
            <w:r>
              <w:rPr>
                <w:rFonts w:eastAsia="Arial" w:cs="Arial" w:ascii="Arial" w:hAnsi="Arial" w:asciiTheme="minorHAnsi" w:cstheme="minorHAnsi" w:hAnsiTheme="minorHAnsi"/>
                <w:sz w:val="24"/>
                <w:szCs w:val="24"/>
              </w:rPr>
              <w:t>Tratamento de nulos e conversão para inteiro (Int64)</w:t>
            </w:r>
          </w:p>
        </w:tc>
      </w:tr>
    </w:tbl>
    <w:p>
      <w:pPr>
        <w:pStyle w:val="BodyText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BodyText"/>
        <w:spacing w:lineRule="auto" w:line="240" w:before="0" w:after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28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540" w:hanging="280"/>
      </w:pPr>
      <w:rPr>
        <w:rFonts w:ascii="Symbol" w:hAnsi="Symbol" w:cs="Symbol" w:hint="default"/>
        <w:sz w:val="24"/>
        <w:szCs w:val="24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540" w:hanging="28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540" w:hanging="280"/>
      </w:pPr>
      <w:rPr>
        <w:rFonts w:ascii="Symbol" w:hAnsi="Symbol" w:cs="Symbol" w:hint="default"/>
        <w:sz w:val="24"/>
        <w:szCs w:val="24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TextodenotadefimChar" w:customStyle="1">
    <w:name w:val="Texto de nota de fim Char"/>
    <w:basedOn w:val="DefaultParagraphFont"/>
    <w:uiPriority w:val="99"/>
    <w:semiHidden/>
    <w:qFormat/>
    <w:rsid w:val="009a29a8"/>
    <w:rPr>
      <w:rFonts w:ascii="Calibri" w:hAnsi="Calibri" w:eastAsia="Calibri" w:cs="Calibri"/>
      <w:kern w:val="0"/>
      <w:sz w:val="20"/>
      <w:szCs w:val="20"/>
      <w:lang w:eastAsia="pt-BR" w:bidi="ar-SA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EndnoteText">
    <w:name w:val="endnote text"/>
    <w:link w:val="TextodenotadefimChar"/>
    <w:uiPriority w:val="99"/>
    <w:semiHidden/>
    <w:unhideWhenUsed/>
    <w:rsid w:val="009a29a8"/>
    <w:pPr>
      <w:widowControl/>
      <w:suppressAutoHyphens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pt-BR" w:eastAsia="pt-BR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9a29a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4-nfase2">
    <w:name w:val="Grid Table 4 Accent 2"/>
    <w:basedOn w:val="Tabelanormal"/>
    <w:uiPriority w:val="49"/>
    <w:rsid w:val="009a29a8"/>
    <w:tblPr>
      <w:tblStyleRowBandSize w:val="1"/>
      <w:tblStyleColBandSize w:val="1"/>
      <w:tblBorders>
        <w:top w:val="single" w:color="34B2FB" w:themeColor="accent2" w:themeTint="99" w:sz="4" w:space="0"/>
        <w:left w:val="single" w:color="34B2FB" w:themeColor="accent2" w:themeTint="99" w:sz="4" w:space="0"/>
        <w:bottom w:val="single" w:color="34B2FB" w:themeColor="accent2" w:themeTint="99" w:sz="4" w:space="0"/>
        <w:right w:val="single" w:color="34B2FB" w:themeColor="accent2" w:themeTint="99" w:sz="4" w:space="0"/>
        <w:insideH w:val="single" w:color="34B2FB" w:themeColor="accent2" w:themeTint="99" w:sz="4" w:space="0"/>
        <w:insideV w:val="single" w:color="34B2FB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369A3" w:themeColor="accent2" w:sz="4" w:space="0"/>
          <w:left w:val="single" w:color="0369A3" w:themeColor="accent2" w:sz="4" w:space="0"/>
          <w:bottom w:val="single" w:color="0369A3" w:themeColor="accent2" w:sz="4" w:space="0"/>
          <w:right w:val="single" w:color="0369A3" w:themeColor="accent2" w:sz="4" w:space="0"/>
          <w:insideH w:val="nil"/>
          <w:insideV w:val="nil"/>
        </w:tcBorders>
        <w:shd w:val="clear" w:color="auto" w:fill="0369A3" w:themeFill="accent2"/>
      </w:tcPr>
    </w:tblStylePr>
    <w:tblStylePr w:type="lastRow">
      <w:rPr>
        <w:b/>
        <w:bCs/>
      </w:rPr>
      <w:tblPr/>
      <w:tcPr>
        <w:tcBorders>
          <w:top w:val="double" w:color="0369A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BE5FD" w:themeFill="accent2" w:themeFillTint="33"/>
      </w:tcPr>
    </w:tblStylePr>
    <w:tblStylePr w:type="band1Horz">
      <w:tblPr/>
      <w:tcPr>
        <w:shd w:val="clear" w:color="auto" w:fill="BBE5FD" w:themeFill="accent2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EF664-26D9-4517-92BF-DCBDE26E8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LibreOffice/25.8.6.2$Windows_X86_64 LibreOffice_project/b4b39682cd9868fa725bc664aff94278d315bd04</Application>
  <AppVersion>15.0000</AppVersion>
  <Pages>8</Pages>
  <Words>2002</Words>
  <Characters>13276</Characters>
  <CharactersWithSpaces>15140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2026-06-18T01:49:00Z</dcterms:created>
  <dc:creator>GUTIERRES</dc:creator>
  <dc:description/>
  <dc:language>pt-BR</dc:language>
  <cp:lastModifiedBy/>
  <dcterms:modified xsi:type="dcterms:W3CDTF">2026-06-18T01:03:50Z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