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14802A" w14:textId="77777777" w:rsidR="0067662D" w:rsidRPr="0067662D" w:rsidRDefault="0067662D" w:rsidP="0067662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lang w:eastAsia="pt-BR"/>
        </w:rPr>
      </w:pPr>
      <w:r w:rsidRPr="0067662D">
        <w:rPr>
          <w:rFonts w:ascii="Book Antiqua" w:eastAsia="Times New Roman" w:hAnsi="Book Antiqua" w:cs="Times New Roman"/>
          <w:color w:val="000000"/>
          <w:lang w:eastAsia="pt-BR"/>
        </w:rPr>
        <w:fldChar w:fldCharType="begin"/>
      </w:r>
      <w:r w:rsidRPr="0067662D">
        <w:rPr>
          <w:rFonts w:ascii="Book Antiqua" w:eastAsia="Times New Roman" w:hAnsi="Book Antiqua" w:cs="Times New Roman"/>
          <w:color w:val="000000"/>
          <w:lang w:eastAsia="pt-BR"/>
        </w:rPr>
        <w:instrText xml:space="preserve"> HYPERLINK "http://legislacao.planalto.gov.br/legisla/legislacao.nsf/Viw_Identificacao/DEC%205.504-2005?OpenDocument" </w:instrText>
      </w:r>
      <w:r w:rsidRPr="0067662D">
        <w:rPr>
          <w:rFonts w:ascii="Book Antiqua" w:eastAsia="Times New Roman" w:hAnsi="Book Antiqua" w:cs="Times New Roman"/>
          <w:color w:val="000000"/>
          <w:lang w:eastAsia="pt-BR"/>
        </w:rPr>
        <w:fldChar w:fldCharType="separate"/>
      </w:r>
      <w:r w:rsidRPr="0067662D">
        <w:rPr>
          <w:rFonts w:ascii="Book Antiqua" w:eastAsia="Times New Roman" w:hAnsi="Book Antiqua" w:cs="Arial"/>
          <w:b/>
          <w:bCs/>
          <w:color w:val="000080"/>
          <w:lang w:eastAsia="pt-BR"/>
        </w:rPr>
        <w:t>DECRETO Nº 5.504, DE 5 DE AGOSTO DE 2005.</w:t>
      </w:r>
      <w:r w:rsidRPr="0067662D">
        <w:rPr>
          <w:rFonts w:ascii="Book Antiqua" w:eastAsia="Times New Roman" w:hAnsi="Book Antiqua" w:cs="Times New Roman"/>
          <w:color w:val="000000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67662D" w:rsidRPr="0067662D" w14:paraId="7539FC1C" w14:textId="77777777" w:rsidTr="0067662D">
        <w:trPr>
          <w:trHeight w:val="200"/>
          <w:tblCellSpacing w:w="0" w:type="dxa"/>
        </w:trPr>
        <w:tc>
          <w:tcPr>
            <w:tcW w:w="2500" w:type="pct"/>
            <w:shd w:val="clear" w:color="auto" w:fill="auto"/>
            <w:vAlign w:val="center"/>
            <w:hideMark/>
          </w:tcPr>
          <w:p w14:paraId="5885A29F" w14:textId="77777777" w:rsidR="0067662D" w:rsidRPr="0067662D" w:rsidRDefault="0067662D" w:rsidP="0067662D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</w:p>
        </w:tc>
        <w:tc>
          <w:tcPr>
            <w:tcW w:w="2500" w:type="pct"/>
            <w:shd w:val="clear" w:color="auto" w:fill="auto"/>
            <w:vAlign w:val="center"/>
            <w:hideMark/>
          </w:tcPr>
          <w:p w14:paraId="19BCA606" w14:textId="77777777" w:rsidR="0067662D" w:rsidRPr="0067662D" w:rsidRDefault="0067662D" w:rsidP="0067662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67662D">
              <w:rPr>
                <w:rFonts w:ascii="Book Antiqua" w:eastAsia="Times New Roman" w:hAnsi="Book Antiqua" w:cs="Arial"/>
                <w:color w:val="800000"/>
                <w:lang w:eastAsia="pt-BR"/>
              </w:rPr>
              <w:t>Estabelece a exigência de utilização do pregão, preferencialmente na forma eletrônica, para entes públicos ou privados, nas contratações de bens e serviços comuns, realizadas em decorrência de transferências voluntárias de recursos públicos da União, decorrentes de convênios ou instrumentos congêneres, ou consórcios públicos.</w:t>
            </w:r>
          </w:p>
        </w:tc>
      </w:tr>
    </w:tbl>
    <w:p w14:paraId="4C89A666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b/>
          <w:bCs/>
          <w:color w:val="000000"/>
          <w:lang w:eastAsia="pt-BR"/>
        </w:rPr>
        <w:t>         O PRESIDENTE DA REPÚBLICA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>, no uso da atribuição que lhe confere o art. 84, inciso VI, alínea "a", e tendo em vista o disposto no art. 37, inciso XXI, da Constituição, no art. 116 da Lei n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8.666, de 21 de junho de 1993, e nas Leis n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vertAlign w:val="superscript"/>
          <w:lang w:eastAsia="pt-BR"/>
        </w:rPr>
        <w:t>s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11.107, de 6 de  abril de 2005, e 10.520, de 17 de julho de 2002,</w:t>
      </w:r>
    </w:p>
    <w:p w14:paraId="57C16401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b/>
          <w:bCs/>
          <w:color w:val="000000"/>
          <w:lang w:eastAsia="pt-BR"/>
        </w:rPr>
        <w:t>        DECRETA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>:</w:t>
      </w:r>
    </w:p>
    <w:p w14:paraId="3126691C" w14:textId="5F149CFA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bookmarkStart w:id="0" w:name="_Hlk515904196"/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      </w:t>
      </w:r>
      <w:r w:rsidRPr="0067662D">
        <w:rPr>
          <w:rFonts w:ascii="Book Antiqua" w:eastAsia="Times New Roman" w:hAnsi="Book Antiqua" w:cs="Arial"/>
          <w:b/>
          <w:color w:val="000000"/>
          <w:highlight w:val="magenta"/>
          <w:lang w:eastAsia="pt-BR"/>
        </w:rPr>
        <w:t>Art. 1</w:t>
      </w:r>
      <w:r w:rsidRPr="0067662D">
        <w:rPr>
          <w:rFonts w:ascii="Book Antiqua" w:eastAsia="Times New Roman" w:hAnsi="Book Antiqua" w:cs="Arial"/>
          <w:b/>
          <w:color w:val="000000"/>
          <w:highlight w:val="magenta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Os instrumentos de formalização, renovação ou aditamento de convênios, instrumentos congêneres ou de consórcios públicos que </w:t>
      </w:r>
      <w:r w:rsidRPr="0067662D">
        <w:rPr>
          <w:rFonts w:ascii="Book Antiqua" w:eastAsia="Times New Roman" w:hAnsi="Book Antiqua" w:cs="Arial"/>
          <w:b/>
          <w:color w:val="000000"/>
          <w:highlight w:val="yellow"/>
          <w:lang w:eastAsia="pt-BR"/>
        </w:rPr>
        <w:t>envolvam repasse voluntário de recursos públicos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</w:t>
      </w:r>
      <w:r w:rsidRPr="0067662D">
        <w:rPr>
          <w:rFonts w:ascii="Book Antiqua" w:eastAsia="Times New Roman" w:hAnsi="Book Antiqua" w:cs="Arial"/>
          <w:b/>
          <w:color w:val="000000"/>
          <w:highlight w:val="cyan"/>
          <w:lang w:eastAsia="pt-BR"/>
        </w:rPr>
        <w:t>da União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deverão conter cláusula que determine que as obras, compras, serviços e alienações a serem realizadas por entes públicos ou privados, com os recursos ou bens repassados voluntariamente pela União, sejam contratadas mediante processo de licitação pública, de acordo com o estabelecido na legislação federal pertinente.</w:t>
      </w:r>
      <w:r w:rsidR="002C7F06">
        <w:rPr>
          <w:rFonts w:ascii="Book Antiqua" w:eastAsia="Times New Roman" w:hAnsi="Book Antiqua" w:cs="Arial"/>
          <w:color w:val="000000"/>
          <w:lang w:eastAsia="pt-BR"/>
        </w:rPr>
        <w:t xml:space="preserve"> </w:t>
      </w:r>
      <w:r w:rsidR="002C7F06" w:rsidRPr="0067662D">
        <w:rPr>
          <w:rFonts w:ascii="Book Antiqua" w:eastAsia="Times New Roman" w:hAnsi="Book Antiqua" w:cs="Arial"/>
          <w:b/>
          <w:color w:val="FF0000"/>
          <w:u w:val="single"/>
          <w:lang w:eastAsia="pt-BR"/>
        </w:rPr>
        <w:t>(Anal. J</w:t>
      </w:r>
      <w:bookmarkStart w:id="1" w:name="_GoBack"/>
      <w:bookmarkEnd w:id="1"/>
      <w:r w:rsidR="002C7F06" w:rsidRPr="0067662D">
        <w:rPr>
          <w:rFonts w:ascii="Book Antiqua" w:eastAsia="Times New Roman" w:hAnsi="Book Antiqua" w:cs="Arial"/>
          <w:b/>
          <w:color w:val="FF0000"/>
          <w:u w:val="single"/>
          <w:lang w:eastAsia="pt-BR"/>
        </w:rPr>
        <w:t>udic./</w:t>
      </w:r>
      <w:r w:rsidR="002C7F06">
        <w:rPr>
          <w:rFonts w:ascii="Book Antiqua" w:eastAsia="Times New Roman" w:hAnsi="Book Antiqua" w:cs="Arial"/>
          <w:b/>
          <w:color w:val="FF0000"/>
          <w:u w:val="single"/>
          <w:lang w:eastAsia="pt-BR"/>
        </w:rPr>
        <w:t>STJ</w:t>
      </w:r>
      <w:r w:rsidR="002C7F06" w:rsidRPr="0067662D">
        <w:rPr>
          <w:rFonts w:ascii="Book Antiqua" w:eastAsia="Times New Roman" w:hAnsi="Book Antiqua" w:cs="Arial"/>
          <w:b/>
          <w:color w:val="FF0000"/>
          <w:u w:val="single"/>
          <w:lang w:eastAsia="pt-BR"/>
        </w:rPr>
        <w:t>-2018)</w:t>
      </w:r>
    </w:p>
    <w:p w14:paraId="299B1C7B" w14:textId="3433E9B8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color w:val="000000"/>
          <w:u w:val="single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      </w:t>
      </w:r>
      <w:r w:rsidRPr="0067662D">
        <w:rPr>
          <w:rFonts w:ascii="Book Antiqua" w:eastAsia="Times New Roman" w:hAnsi="Book Antiqua" w:cs="Arial"/>
          <w:b/>
          <w:color w:val="000000"/>
          <w:highlight w:val="magenta"/>
          <w:lang w:eastAsia="pt-BR"/>
        </w:rPr>
        <w:t>§ 1</w:t>
      </w:r>
      <w:r w:rsidRPr="0067662D">
        <w:rPr>
          <w:rFonts w:ascii="Book Antiqua" w:eastAsia="Times New Roman" w:hAnsi="Book Antiqua" w:cs="Arial"/>
          <w:b/>
          <w:color w:val="000000"/>
          <w:highlight w:val="magenta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>  </w:t>
      </w:r>
      <w:r w:rsidRPr="0067662D">
        <w:rPr>
          <w:rFonts w:ascii="Book Antiqua" w:eastAsia="Times New Roman" w:hAnsi="Book Antiqua" w:cs="Arial"/>
          <w:b/>
          <w:color w:val="000000"/>
          <w:highlight w:val="yellow"/>
          <w:lang w:eastAsia="pt-BR"/>
        </w:rPr>
        <w:t>Nas licitações realizadas com a utilização de recursos repassados nos termos do caput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, para aquisição de bens e serviços comuns, </w:t>
      </w:r>
      <w:r w:rsidRPr="0067662D">
        <w:rPr>
          <w:rFonts w:ascii="Book Antiqua" w:eastAsia="Times New Roman" w:hAnsi="Book Antiqua" w:cs="Arial"/>
          <w:b/>
          <w:caps/>
          <w:color w:val="000000"/>
          <w:highlight w:val="green"/>
          <w:lang w:eastAsia="pt-BR"/>
        </w:rPr>
        <w:t>será obrigatório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o emprego da modalidade pregão, nos termos da </w:t>
      </w:r>
      <w:hyperlink r:id="rId4" w:history="1">
        <w:r w:rsidRPr="0067662D">
          <w:rPr>
            <w:rFonts w:ascii="Book Antiqua" w:eastAsia="Times New Roman" w:hAnsi="Book Antiqua" w:cs="Arial"/>
            <w:color w:val="0000FF"/>
            <w:u w:val="single"/>
            <w:lang w:eastAsia="pt-BR"/>
          </w:rPr>
          <w:t>Lei n</w:t>
        </w:r>
        <w:r w:rsidRPr="0067662D">
          <w:rPr>
            <w:rFonts w:ascii="Book Antiqua" w:eastAsia="Times New Roman" w:hAnsi="Book Antiqua" w:cs="Arial"/>
            <w:color w:val="0000FF"/>
            <w:u w:val="single"/>
            <w:vertAlign w:val="superscript"/>
            <w:lang w:eastAsia="pt-BR"/>
          </w:rPr>
          <w:t>o</w:t>
        </w:r>
        <w:r w:rsidRPr="0067662D">
          <w:rPr>
            <w:rFonts w:ascii="Book Antiqua" w:eastAsia="Times New Roman" w:hAnsi="Book Antiqua" w:cs="Arial"/>
            <w:color w:val="0000FF"/>
            <w:u w:val="single"/>
            <w:lang w:eastAsia="pt-BR"/>
          </w:rPr>
          <w:t xml:space="preserve"> 10.520, de 17 de julho de 2002</w:t>
        </w:r>
      </w:hyperlink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, e do regulamento previsto no </w:t>
      </w:r>
      <w:hyperlink r:id="rId5" w:history="1">
        <w:r w:rsidRPr="0067662D">
          <w:rPr>
            <w:rFonts w:ascii="Book Antiqua" w:eastAsia="Times New Roman" w:hAnsi="Book Antiqua" w:cs="Arial"/>
            <w:color w:val="0000FF"/>
            <w:u w:val="single"/>
            <w:lang w:eastAsia="pt-BR"/>
          </w:rPr>
          <w:t>Decreto n</w:t>
        </w:r>
        <w:r w:rsidRPr="0067662D">
          <w:rPr>
            <w:rFonts w:ascii="Book Antiqua" w:eastAsia="Times New Roman" w:hAnsi="Book Antiqua" w:cs="Arial"/>
            <w:color w:val="0000FF"/>
            <w:u w:val="single"/>
            <w:vertAlign w:val="superscript"/>
            <w:lang w:eastAsia="pt-BR"/>
          </w:rPr>
          <w:t>o</w:t>
        </w:r>
        <w:r w:rsidRPr="0067662D">
          <w:rPr>
            <w:rFonts w:ascii="Book Antiqua" w:eastAsia="Times New Roman" w:hAnsi="Book Antiqua" w:cs="Arial"/>
            <w:color w:val="0000FF"/>
            <w:u w:val="single"/>
            <w:lang w:eastAsia="pt-BR"/>
          </w:rPr>
          <w:t xml:space="preserve"> 5.450, de 31 de maio de 2005</w:t>
        </w:r>
      </w:hyperlink>
      <w:r w:rsidRPr="0067662D">
        <w:rPr>
          <w:rFonts w:ascii="Book Antiqua" w:eastAsia="Times New Roman" w:hAnsi="Book Antiqua" w:cs="Arial"/>
          <w:color w:val="000000"/>
          <w:lang w:eastAsia="pt-BR"/>
        </w:rPr>
        <w:t>, sendo preferencial a utilização de sua forma eletrônica, de acordo com cronograma a ser definido em instrução complementar.</w:t>
      </w:r>
      <w:bookmarkEnd w:id="0"/>
      <w:r>
        <w:rPr>
          <w:rFonts w:ascii="Book Antiqua" w:eastAsia="Times New Roman" w:hAnsi="Book Antiqua" w:cs="Arial"/>
          <w:color w:val="000000"/>
          <w:lang w:eastAsia="pt-BR"/>
        </w:rPr>
        <w:t xml:space="preserve"> </w:t>
      </w:r>
      <w:r w:rsidRPr="0067662D">
        <w:rPr>
          <w:rFonts w:ascii="Book Antiqua" w:eastAsia="Times New Roman" w:hAnsi="Book Antiqua" w:cs="Arial"/>
          <w:b/>
          <w:color w:val="FF0000"/>
          <w:u w:val="single"/>
          <w:lang w:eastAsia="pt-BR"/>
        </w:rPr>
        <w:t>(Anal. Judic./</w:t>
      </w:r>
      <w:r w:rsidR="002C7F06">
        <w:rPr>
          <w:rFonts w:ascii="Book Antiqua" w:eastAsia="Times New Roman" w:hAnsi="Book Antiqua" w:cs="Arial"/>
          <w:b/>
          <w:color w:val="FF0000"/>
          <w:u w:val="single"/>
          <w:lang w:eastAsia="pt-BR"/>
        </w:rPr>
        <w:t>STJ</w:t>
      </w:r>
      <w:r w:rsidRPr="0067662D">
        <w:rPr>
          <w:rFonts w:ascii="Book Antiqua" w:eastAsia="Times New Roman" w:hAnsi="Book Antiqua" w:cs="Arial"/>
          <w:b/>
          <w:color w:val="FF0000"/>
          <w:u w:val="single"/>
          <w:lang w:eastAsia="pt-BR"/>
        </w:rPr>
        <w:t>-2018)</w:t>
      </w:r>
    </w:p>
    <w:p w14:paraId="3EA07533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§ 2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A inviabilidade da utilização do pregão na forma eletrônica deverá ser devidamente justificada pelo dirigente ou autoridade competente. </w:t>
      </w:r>
    </w:p>
    <w:p w14:paraId="2CBCE930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§ 3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>  Os órgãos, entes e entidades privadas sem fins lucrativos, convenentes ou consorciadas com a União, poderão utilizar sistemas de pregão eletrônico próprios ou de terceiros.</w:t>
      </w:r>
    </w:p>
    <w:p w14:paraId="664AB119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§ 4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Nas situações de dispensa ou inexigibilidade de licitação, as entidades privadas sem fins lucrativos, observarão o disposto no </w:t>
      </w:r>
      <w:hyperlink r:id="rId6" w:anchor="art26.." w:history="1">
        <w:r w:rsidRPr="0067662D">
          <w:rPr>
            <w:rFonts w:ascii="Book Antiqua" w:eastAsia="Times New Roman" w:hAnsi="Book Antiqua" w:cs="Arial"/>
            <w:color w:val="0000FF"/>
            <w:u w:val="single"/>
            <w:lang w:eastAsia="pt-BR"/>
          </w:rPr>
          <w:t>art. 26 da Lei n</w:t>
        </w:r>
        <w:r w:rsidRPr="0067662D">
          <w:rPr>
            <w:rFonts w:ascii="Book Antiqua" w:eastAsia="Times New Roman" w:hAnsi="Book Antiqua" w:cs="Arial"/>
            <w:color w:val="0000FF"/>
            <w:u w:val="single"/>
            <w:vertAlign w:val="superscript"/>
            <w:lang w:eastAsia="pt-BR"/>
          </w:rPr>
          <w:t>o</w:t>
        </w:r>
        <w:r w:rsidRPr="0067662D">
          <w:rPr>
            <w:rFonts w:ascii="Book Antiqua" w:eastAsia="Times New Roman" w:hAnsi="Book Antiqua" w:cs="Arial"/>
            <w:color w:val="0000FF"/>
            <w:u w:val="single"/>
            <w:lang w:eastAsia="pt-BR"/>
          </w:rPr>
          <w:t xml:space="preserve"> 8.666, de 21 de junho de 1993</w:t>
        </w:r>
      </w:hyperlink>
      <w:r w:rsidRPr="0067662D">
        <w:rPr>
          <w:rFonts w:ascii="Book Antiqua" w:eastAsia="Times New Roman" w:hAnsi="Book Antiqua" w:cs="Arial"/>
          <w:color w:val="000000"/>
          <w:lang w:eastAsia="pt-BR"/>
        </w:rPr>
        <w:t>, devendo a ratificação ser procedida pela instância máxima de deliberação da entidade, sob pena de nulidade.</w:t>
      </w:r>
    </w:p>
    <w:p w14:paraId="5A79040A" w14:textId="7FF08334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      </w:t>
      </w:r>
      <w:bookmarkStart w:id="2" w:name="art1§5"/>
      <w:bookmarkEnd w:id="2"/>
      <w:r w:rsidRPr="0067662D">
        <w:rPr>
          <w:rFonts w:ascii="Book Antiqua" w:eastAsia="Times New Roman" w:hAnsi="Book Antiqua" w:cs="Arial"/>
          <w:color w:val="000000"/>
          <w:lang w:eastAsia="pt-BR"/>
        </w:rPr>
        <w:t>§ 5</w:t>
      </w:r>
      <w:r w:rsidRPr="0067662D">
        <w:rPr>
          <w:rFonts w:ascii="Book Antiqua" w:eastAsia="Times New Roman" w:hAnsi="Book Antiqua" w:cs="Arial"/>
          <w:color w:val="000000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 </w:t>
      </w:r>
      <w:hyperlink r:id="rId7" w:anchor="art33" w:history="1">
        <w:r w:rsidRPr="0067662D">
          <w:rPr>
            <w:rFonts w:ascii="Book Antiqua" w:eastAsia="Times New Roman" w:hAnsi="Book Antiqua" w:cs="Arial"/>
            <w:color w:val="0000FF"/>
            <w:u w:val="single"/>
            <w:lang w:eastAsia="pt-BR"/>
          </w:rPr>
          <w:t>(Revogado pelo Decreto nº 9.190, de 2017)</w:t>
        </w:r>
      </w:hyperlink>
    </w:p>
    <w:p w14:paraId="6F9CEC6A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Art. 2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Os órgãos, entes e instituições convenentes, </w:t>
      </w:r>
      <w:proofErr w:type="spellStart"/>
      <w:r w:rsidRPr="0067662D">
        <w:rPr>
          <w:rFonts w:ascii="Book Antiqua" w:eastAsia="Times New Roman" w:hAnsi="Book Antiqua" w:cs="Arial"/>
          <w:color w:val="000000"/>
          <w:lang w:eastAsia="pt-BR"/>
        </w:rPr>
        <w:t>firmatários</w:t>
      </w:r>
      <w:proofErr w:type="spellEnd"/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de contrato de gestão ou termo de parceria, ou consorciados deverão providenciar a transferência eletrônica de dados, relativos aos contratos firmados com recursos públicos repassados voluntariamente pela União para o Sistema Integrado de Administração de Serviços 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lastRenderedPageBreak/>
        <w:t>Gerais - SIASG, de acordo com instrução a ser editada pelo Ministério do Planejamento, Orçamento e Gestão.</w:t>
      </w:r>
    </w:p>
    <w:p w14:paraId="72269737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Art. 3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  As transferências voluntárias de recursos públicos da União </w:t>
      </w:r>
      <w:proofErr w:type="spellStart"/>
      <w:r w:rsidRPr="0067662D">
        <w:rPr>
          <w:rFonts w:ascii="Book Antiqua" w:eastAsia="Times New Roman" w:hAnsi="Book Antiqua" w:cs="Arial"/>
          <w:color w:val="000000"/>
          <w:lang w:eastAsia="pt-BR"/>
        </w:rPr>
        <w:t>subseqüentes</w:t>
      </w:r>
      <w:proofErr w:type="spellEnd"/>
      <w:r w:rsidRPr="0067662D">
        <w:rPr>
          <w:rFonts w:ascii="Book Antiqua" w:eastAsia="Times New Roman" w:hAnsi="Book Antiqua" w:cs="Arial"/>
          <w:color w:val="000000"/>
          <w:lang w:eastAsia="pt-BR"/>
        </w:rPr>
        <w:t>, relativas ao mesmo ajuste, serão condicionadas à apresentação, pelos convenentes ou consorciados, da documentação ou dos registros em meio eletrônico que comprovem a realização de licitação nas alienações e nas contratações de obras, compras e serviços com os recursos repassados a partir da vigência deste Decreto.</w:t>
      </w:r>
    </w:p>
    <w:p w14:paraId="4D840ACC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Art. 4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>  Os Ministérios do Planejamento, Orçamento e Gestão e da Fazenda expedirão instrução complementar conjunta para a execução deste Decreto, no prazo de noventa dias, dispondo sobre os limites, prazos e condições para a sua implementação, especialmente em relação ao § 1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do art. 1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>, podendo estabelecer as situações excepcionais de dispensa da aplicação do disposto no citado § 1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>.</w:t>
      </w:r>
    </w:p>
    <w:p w14:paraId="5D9F0AA6" w14:textId="77777777" w:rsidR="0067662D" w:rsidRPr="0067662D" w:rsidRDefault="0067662D" w:rsidP="006766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Art. 5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Este Decreto entra em vigor na data de sua publicação.</w:t>
      </w:r>
    </w:p>
    <w:p w14:paraId="39687AA4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        Brasília, 5 de agosto de 2005; 184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da Independência e 117</w:t>
      </w:r>
      <w:r w:rsidRPr="0067662D">
        <w:rPr>
          <w:rFonts w:ascii="Book Antiqua" w:eastAsia="Times New Roman" w:hAnsi="Book Antiqua" w:cs="Arial"/>
          <w:color w:val="000000"/>
          <w:u w:val="single"/>
          <w:vertAlign w:val="superscript"/>
          <w:lang w:eastAsia="pt-BR"/>
        </w:rPr>
        <w:t>o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t xml:space="preserve"> da República.</w:t>
      </w:r>
    </w:p>
    <w:p w14:paraId="7835B479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000000"/>
          <w:lang w:eastAsia="pt-BR"/>
        </w:rPr>
        <w:t>LUIZ INÁCIO LULA DA SILVA</w:t>
      </w:r>
      <w:r w:rsidRPr="0067662D">
        <w:rPr>
          <w:rFonts w:ascii="Book Antiqua" w:eastAsia="Times New Roman" w:hAnsi="Book Antiqua" w:cs="Arial"/>
          <w:color w:val="000000"/>
          <w:lang w:eastAsia="pt-BR"/>
        </w:rPr>
        <w:br/>
      </w:r>
      <w:proofErr w:type="spellStart"/>
      <w:r w:rsidRPr="0067662D">
        <w:rPr>
          <w:rFonts w:ascii="Book Antiqua" w:eastAsia="Times New Roman" w:hAnsi="Book Antiqua" w:cs="Arial"/>
          <w:i/>
          <w:iCs/>
          <w:color w:val="000000"/>
          <w:lang w:eastAsia="pt-BR"/>
        </w:rPr>
        <w:t>Antonio</w:t>
      </w:r>
      <w:proofErr w:type="spellEnd"/>
      <w:r w:rsidRPr="0067662D">
        <w:rPr>
          <w:rFonts w:ascii="Book Antiqua" w:eastAsia="Times New Roman" w:hAnsi="Book Antiqua" w:cs="Arial"/>
          <w:i/>
          <w:iCs/>
          <w:color w:val="000000"/>
          <w:lang w:eastAsia="pt-BR"/>
        </w:rPr>
        <w:t xml:space="preserve"> Palocci Filho</w:t>
      </w:r>
      <w:r w:rsidRPr="0067662D">
        <w:rPr>
          <w:rFonts w:ascii="Book Antiqua" w:eastAsia="Times New Roman" w:hAnsi="Book Antiqua" w:cs="Arial"/>
          <w:i/>
          <w:iCs/>
          <w:color w:val="000000"/>
          <w:lang w:eastAsia="pt-BR"/>
        </w:rPr>
        <w:br/>
        <w:t>Paulo Bernardo Silva</w:t>
      </w:r>
    </w:p>
    <w:p w14:paraId="3F59906D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lang w:eastAsia="pt-BR"/>
        </w:rPr>
      </w:pPr>
      <w:r w:rsidRPr="0067662D">
        <w:rPr>
          <w:rFonts w:ascii="Book Antiqua" w:eastAsia="Times New Roman" w:hAnsi="Book Antiqua" w:cs="Arial"/>
          <w:color w:val="FF0000"/>
          <w:lang w:eastAsia="pt-BR"/>
        </w:rPr>
        <w:t>Este texto não substitui o publicado no DOU de 8.8.2005</w:t>
      </w:r>
    </w:p>
    <w:p w14:paraId="6A0672D9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lang w:eastAsia="pt-BR"/>
        </w:rPr>
      </w:pPr>
      <w:r w:rsidRPr="0067662D">
        <w:rPr>
          <w:rFonts w:ascii="Book Antiqua" w:eastAsia="Times New Roman" w:hAnsi="Book Antiqua" w:cs="Times New Roman"/>
          <w:color w:val="000000"/>
          <w:lang w:eastAsia="pt-BR"/>
        </w:rPr>
        <w:t> </w:t>
      </w:r>
    </w:p>
    <w:p w14:paraId="1470D317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lang w:eastAsia="pt-BR"/>
        </w:rPr>
      </w:pPr>
      <w:r w:rsidRPr="0067662D">
        <w:rPr>
          <w:rFonts w:ascii="Book Antiqua" w:eastAsia="Times New Roman" w:hAnsi="Book Antiqua" w:cs="Times New Roman"/>
          <w:color w:val="000000"/>
          <w:lang w:eastAsia="pt-BR"/>
        </w:rPr>
        <w:t> </w:t>
      </w:r>
    </w:p>
    <w:p w14:paraId="475ECE2E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lang w:eastAsia="pt-BR"/>
        </w:rPr>
      </w:pPr>
      <w:r w:rsidRPr="0067662D">
        <w:rPr>
          <w:rFonts w:ascii="Book Antiqua" w:eastAsia="Times New Roman" w:hAnsi="Book Antiqua" w:cs="Times New Roman"/>
          <w:color w:val="000000"/>
          <w:lang w:eastAsia="pt-BR"/>
        </w:rPr>
        <w:t> </w:t>
      </w:r>
    </w:p>
    <w:p w14:paraId="1B1896BA" w14:textId="77777777" w:rsidR="0067662D" w:rsidRPr="0067662D" w:rsidRDefault="0067662D" w:rsidP="0067662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lang w:eastAsia="pt-BR"/>
        </w:rPr>
      </w:pPr>
      <w:r w:rsidRPr="0067662D">
        <w:rPr>
          <w:rFonts w:ascii="Book Antiqua" w:eastAsia="Times New Roman" w:hAnsi="Book Antiqua" w:cs="Times New Roman"/>
          <w:color w:val="000000"/>
          <w:lang w:eastAsia="pt-BR"/>
        </w:rPr>
        <w:t> </w:t>
      </w:r>
    </w:p>
    <w:p w14:paraId="1A083128" w14:textId="77777777" w:rsidR="00604661" w:rsidRPr="0067662D" w:rsidRDefault="00604661" w:rsidP="00DB6CCF">
      <w:pPr>
        <w:jc w:val="both"/>
        <w:rPr>
          <w:rFonts w:ascii="Book Antiqua" w:hAnsi="Book Antiqua"/>
        </w:rPr>
      </w:pPr>
    </w:p>
    <w:sectPr w:rsidR="00604661" w:rsidRPr="00676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F8"/>
    <w:rsid w:val="002C7F06"/>
    <w:rsid w:val="005141F8"/>
    <w:rsid w:val="00604661"/>
    <w:rsid w:val="0067662D"/>
    <w:rsid w:val="00DB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1F414"/>
  <w15:chartTrackingRefBased/>
  <w15:docId w15:val="{3A1E9148-AC6E-42F7-9E47-E4A2C591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5-2018/2017/Decreto/D9190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666cons.htm" TargetMode="External"/><Relationship Id="rId5" Type="http://schemas.openxmlformats.org/officeDocument/2006/relationships/hyperlink" Target="http://www.planalto.gov.br/ccivil_03/_Ato2004-2006/2005/Decreto/D5450.htm" TargetMode="External"/><Relationship Id="rId4" Type="http://schemas.openxmlformats.org/officeDocument/2006/relationships/hyperlink" Target="http://www.planalto.gov.br/ccivil_03/LEIS/2002/L10520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3</cp:revision>
  <dcterms:created xsi:type="dcterms:W3CDTF">2018-06-04T22:17:00Z</dcterms:created>
  <dcterms:modified xsi:type="dcterms:W3CDTF">2018-06-04T22:40:00Z</dcterms:modified>
</cp:coreProperties>
</file>