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C6033" w14:textId="489ECB0A" w:rsidR="004B6681" w:rsidRPr="004B6681" w:rsidRDefault="004B6681" w:rsidP="009D278D">
      <w:pPr>
        <w:spacing w:before="100" w:beforeAutospacing="1" w:after="100" w:afterAutospacing="1" w:line="240" w:lineRule="auto"/>
        <w:jc w:val="center"/>
        <w:rPr>
          <w:rFonts w:ascii="Book Antiqua" w:eastAsia="Times New Roman" w:hAnsi="Book Antiqua" w:cs="Times New Roman"/>
          <w:b/>
          <w:bCs/>
          <w:color w:val="FF0000"/>
          <w:kern w:val="0"/>
          <w:sz w:val="19"/>
          <w:szCs w:val="19"/>
          <w:lang w:eastAsia="pt-BR"/>
          <w14:ligatures w14:val="none"/>
        </w:rPr>
      </w:pPr>
      <w:r w:rsidRPr="004B6681">
        <w:rPr>
          <w:rFonts w:ascii="Book Antiqua" w:eastAsia="Times New Roman" w:hAnsi="Book Antiqua" w:cs="Times New Roman"/>
          <w:b/>
          <w:bCs/>
          <w:color w:val="FF0000"/>
          <w:kern w:val="0"/>
          <w:sz w:val="19"/>
          <w:szCs w:val="19"/>
          <w:lang w:eastAsia="pt-BR"/>
          <w14:ligatures w14:val="none"/>
        </w:rPr>
        <w:t xml:space="preserve">(Atualização em </w:t>
      </w:r>
      <w:r w:rsidR="00E52D83">
        <w:rPr>
          <w:rFonts w:ascii="Book Antiqua" w:eastAsia="Times New Roman" w:hAnsi="Book Antiqua" w:cs="Times New Roman"/>
          <w:b/>
          <w:bCs/>
          <w:color w:val="FF0000"/>
          <w:kern w:val="0"/>
          <w:sz w:val="19"/>
          <w:szCs w:val="19"/>
          <w:lang w:eastAsia="pt-BR"/>
          <w14:ligatures w14:val="none"/>
        </w:rPr>
        <w:t>29/10</w:t>
      </w:r>
      <w:r w:rsidRPr="004B6681">
        <w:rPr>
          <w:rFonts w:ascii="Book Antiqua" w:eastAsia="Times New Roman" w:hAnsi="Book Antiqua" w:cs="Times New Roman"/>
          <w:b/>
          <w:bCs/>
          <w:color w:val="FF0000"/>
          <w:kern w:val="0"/>
          <w:sz w:val="19"/>
          <w:szCs w:val="19"/>
          <w:lang w:eastAsia="pt-BR"/>
          <w14:ligatures w14:val="none"/>
        </w:rPr>
        <w:t>/2023: questões de concurso)</w:t>
      </w:r>
    </w:p>
    <w:p w14:paraId="5E9700D1" w14:textId="758EED23" w:rsidR="009D278D" w:rsidRPr="009D278D" w:rsidRDefault="00000000" w:rsidP="009D278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009D278D" w:rsidRPr="009D278D">
          <w:rPr>
            <w:rFonts w:ascii="Book Antiqua" w:eastAsia="Times New Roman" w:hAnsi="Book Antiqua" w:cs="Arial"/>
            <w:b/>
            <w:bCs/>
            <w:color w:val="000080"/>
            <w:kern w:val="0"/>
            <w:sz w:val="19"/>
            <w:szCs w:val="19"/>
            <w:lang w:eastAsia="pt-BR"/>
            <w14:ligatures w14:val="none"/>
          </w:rPr>
          <w:t>LEI N</w:t>
        </w:r>
        <w:r w:rsidR="009D278D" w:rsidRPr="009D278D">
          <w:rPr>
            <w:rFonts w:ascii="Book Antiqua" w:eastAsia="Times New Roman" w:hAnsi="Book Antiqua" w:cs="Arial"/>
            <w:b/>
            <w:bCs/>
            <w:color w:val="000080"/>
            <w:kern w:val="0"/>
            <w:sz w:val="19"/>
            <w:szCs w:val="19"/>
            <w:vertAlign w:val="superscript"/>
            <w:lang w:eastAsia="pt-BR"/>
            <w14:ligatures w14:val="none"/>
          </w:rPr>
          <w:t>o</w:t>
        </w:r>
        <w:r w:rsidR="009D278D" w:rsidRPr="009D278D">
          <w:rPr>
            <w:rFonts w:ascii="Book Antiqua" w:eastAsia="Times New Roman" w:hAnsi="Book Antiqua" w:cs="Arial"/>
            <w:b/>
            <w:bCs/>
            <w:color w:val="000080"/>
            <w:kern w:val="0"/>
            <w:sz w:val="19"/>
            <w:szCs w:val="19"/>
            <w:lang w:eastAsia="pt-BR"/>
            <w14:ligatures w14:val="none"/>
          </w:rPr>
          <w:t> 4.947, DE 6 DE ABRIL DE 1966.</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9D278D" w:rsidRPr="009D278D" w14:paraId="4EFBE8B7" w14:textId="77777777" w:rsidTr="009D278D">
        <w:trPr>
          <w:tblCellSpacing w:w="0" w:type="dxa"/>
        </w:trPr>
        <w:tc>
          <w:tcPr>
            <w:tcW w:w="1500" w:type="pct"/>
            <w:vAlign w:val="center"/>
            <w:hideMark/>
          </w:tcPr>
          <w:p w14:paraId="4AEFAFCD" w14:textId="71143828" w:rsidR="009D278D" w:rsidRPr="009D278D" w:rsidRDefault="009D278D" w:rsidP="009D278D">
            <w:pPr>
              <w:spacing w:before="100" w:beforeAutospacing="1" w:after="100" w:afterAutospacing="1" w:line="240" w:lineRule="auto"/>
              <w:rPr>
                <w:rFonts w:ascii="Book Antiqua" w:eastAsia="Times New Roman" w:hAnsi="Book Antiqua" w:cs="Times New Roman"/>
                <w:kern w:val="0"/>
                <w:sz w:val="18"/>
                <w:szCs w:val="18"/>
                <w:lang w:eastAsia="pt-BR"/>
                <w14:ligatures w14:val="none"/>
              </w:rPr>
            </w:pPr>
          </w:p>
        </w:tc>
        <w:tc>
          <w:tcPr>
            <w:tcW w:w="3500" w:type="pct"/>
            <w:vAlign w:val="center"/>
            <w:hideMark/>
          </w:tcPr>
          <w:p w14:paraId="683832A6"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9D278D">
              <w:rPr>
                <w:rFonts w:ascii="Book Antiqua" w:eastAsia="Times New Roman" w:hAnsi="Book Antiqua" w:cs="Arial"/>
                <w:color w:val="800000"/>
                <w:kern w:val="0"/>
                <w:sz w:val="18"/>
                <w:szCs w:val="18"/>
                <w:lang w:eastAsia="pt-BR"/>
                <w14:ligatures w14:val="none"/>
              </w:rPr>
              <w:t xml:space="preserve">Fixa Normas de Direito Agrário, </w:t>
            </w:r>
            <w:proofErr w:type="gramStart"/>
            <w:r w:rsidRPr="009D278D">
              <w:rPr>
                <w:rFonts w:ascii="Book Antiqua" w:eastAsia="Times New Roman" w:hAnsi="Book Antiqua" w:cs="Arial"/>
                <w:color w:val="800000"/>
                <w:kern w:val="0"/>
                <w:sz w:val="18"/>
                <w:szCs w:val="18"/>
                <w:lang w:eastAsia="pt-BR"/>
                <w14:ligatures w14:val="none"/>
              </w:rPr>
              <w:t>Dispõe</w:t>
            </w:r>
            <w:proofErr w:type="gramEnd"/>
            <w:r w:rsidRPr="009D278D">
              <w:rPr>
                <w:rFonts w:ascii="Book Antiqua" w:eastAsia="Times New Roman" w:hAnsi="Book Antiqua" w:cs="Arial"/>
                <w:color w:val="800000"/>
                <w:kern w:val="0"/>
                <w:sz w:val="18"/>
                <w:szCs w:val="18"/>
                <w:lang w:eastAsia="pt-BR"/>
                <w14:ligatures w14:val="none"/>
              </w:rPr>
              <w:t xml:space="preserve"> sobre o Sistema de Organização e Funcionamento do Instituto Brasileiro de Reforma Agrária, e dá outras Providências.</w:t>
            </w:r>
          </w:p>
        </w:tc>
      </w:tr>
    </w:tbl>
    <w:p w14:paraId="311B893A" w14:textId="77777777" w:rsidR="009D278D" w:rsidRPr="009D278D" w:rsidRDefault="009D278D" w:rsidP="009D278D">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b/>
          <w:bCs/>
          <w:color w:val="000000"/>
          <w:kern w:val="0"/>
          <w:sz w:val="19"/>
          <w:szCs w:val="19"/>
          <w:lang w:eastAsia="pt-BR"/>
          <w14:ligatures w14:val="none"/>
        </w:rPr>
        <w:t>        O PRESIDENTE DA REPÚBLICA: </w:t>
      </w:r>
      <w:r w:rsidRPr="009D278D">
        <w:rPr>
          <w:rFonts w:ascii="Book Antiqua" w:eastAsia="Times New Roman" w:hAnsi="Book Antiqua" w:cs="Arial"/>
          <w:color w:val="000000"/>
          <w:kern w:val="0"/>
          <w:sz w:val="19"/>
          <w:szCs w:val="19"/>
          <w:lang w:eastAsia="pt-BR"/>
          <w14:ligatures w14:val="none"/>
        </w:rPr>
        <w:t>Faço saber que o Congresso Nacional decreta e eu sanciono a seguinte Lei:</w:t>
      </w:r>
    </w:p>
    <w:p w14:paraId="086C3A42" w14:textId="77777777" w:rsidR="009D278D" w:rsidRPr="009D278D" w:rsidRDefault="009D278D" w:rsidP="009D278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CAPÍTULO I - Disposições Preliminares</w:t>
      </w:r>
    </w:p>
    <w:p w14:paraId="3B03B4B1"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Art. 1º - Esta Lei estabelece normas de Direito Agrário e de ordenamento, disciplinação, fiscalização e controle dos atos e fatos administrativos relativos ao planejamento e à implantação da Reforma Agrária, na forma do que dispõe a </w:t>
      </w:r>
      <w:hyperlink r:id="rId5" w:history="1">
        <w:r w:rsidRPr="009D278D">
          <w:rPr>
            <w:rFonts w:ascii="Book Antiqua" w:eastAsia="Times New Roman" w:hAnsi="Book Antiqua" w:cs="Arial"/>
            <w:color w:val="0000FF"/>
            <w:kern w:val="0"/>
            <w:sz w:val="19"/>
            <w:szCs w:val="19"/>
            <w:u w:val="single"/>
            <w:lang w:eastAsia="pt-BR"/>
            <w14:ligatures w14:val="none"/>
          </w:rPr>
          <w:t>Lei nº 4.504, de 30 de novembro de 1964</w:t>
        </w:r>
      </w:hyperlink>
      <w:r w:rsidRPr="009D278D">
        <w:rPr>
          <w:rFonts w:ascii="Book Antiqua" w:eastAsia="Times New Roman" w:hAnsi="Book Antiqua" w:cs="Arial"/>
          <w:color w:val="000000"/>
          <w:kern w:val="0"/>
          <w:sz w:val="19"/>
          <w:szCs w:val="19"/>
          <w:lang w:eastAsia="pt-BR"/>
          <w14:ligatures w14:val="none"/>
        </w:rPr>
        <w:t>.</w:t>
      </w:r>
    </w:p>
    <w:p w14:paraId="1837C56B"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Parágrafo único. Os Atos do Poder Executivo que na forma da </w:t>
      </w:r>
      <w:hyperlink r:id="rId6" w:history="1">
        <w:r w:rsidRPr="009D278D">
          <w:rPr>
            <w:rFonts w:ascii="Book Antiqua" w:eastAsia="Times New Roman" w:hAnsi="Book Antiqua" w:cs="Arial"/>
            <w:color w:val="0000FF"/>
            <w:kern w:val="0"/>
            <w:sz w:val="19"/>
            <w:szCs w:val="19"/>
            <w:u w:val="single"/>
            <w:lang w:eastAsia="pt-BR"/>
            <w14:ligatures w14:val="none"/>
          </w:rPr>
          <w:t>Lei nº 4.504, de 30 de novembro de 1964</w:t>
        </w:r>
      </w:hyperlink>
      <w:r w:rsidRPr="009D278D">
        <w:rPr>
          <w:rFonts w:ascii="Book Antiqua" w:eastAsia="Times New Roman" w:hAnsi="Book Antiqua" w:cs="Arial"/>
          <w:color w:val="000000"/>
          <w:kern w:val="0"/>
          <w:sz w:val="19"/>
          <w:szCs w:val="19"/>
          <w:lang w:eastAsia="pt-BR"/>
          <w14:ligatures w14:val="none"/>
        </w:rPr>
        <w:t>, aprovarem os Planos Nacional e Regionais de Reforma Agrária, fixarão as prioridades a serem observadas na sua execução pelos órgãos da administração centralizada e descentralizada.</w:t>
      </w:r>
    </w:p>
    <w:p w14:paraId="2E9D488E" w14:textId="77777777" w:rsidR="009D278D" w:rsidRPr="009D278D" w:rsidRDefault="009D278D" w:rsidP="009D278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CAPÍTULO II - Da Terra e dos Imóveis Rurais</w:t>
      </w:r>
    </w:p>
    <w:p w14:paraId="62F52947"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Art. 2º - Compete privativamente ao IBRA, nos termos do </w:t>
      </w:r>
      <w:hyperlink r:id="rId7" w:anchor="art147" w:history="1">
        <w:r w:rsidRPr="009D278D">
          <w:rPr>
            <w:rFonts w:ascii="Book Antiqua" w:eastAsia="Times New Roman" w:hAnsi="Book Antiqua" w:cs="Arial"/>
            <w:color w:val="0000FF"/>
            <w:kern w:val="0"/>
            <w:sz w:val="19"/>
            <w:szCs w:val="19"/>
            <w:u w:val="single"/>
            <w:lang w:eastAsia="pt-BR"/>
            <w14:ligatures w14:val="none"/>
          </w:rPr>
          <w:t>art. 147 da Constituição Federal</w:t>
        </w:r>
      </w:hyperlink>
      <w:r w:rsidRPr="009D278D">
        <w:rPr>
          <w:rFonts w:ascii="Book Antiqua" w:eastAsia="Times New Roman" w:hAnsi="Book Antiqua" w:cs="Arial"/>
          <w:color w:val="000000"/>
          <w:kern w:val="0"/>
          <w:sz w:val="19"/>
          <w:szCs w:val="19"/>
          <w:lang w:eastAsia="pt-BR"/>
          <w14:ligatures w14:val="none"/>
        </w:rPr>
        <w:t>, com a redação que lhe deu a Emenda Constitucional nº 10, e dos </w:t>
      </w:r>
      <w:hyperlink r:id="rId8" w:anchor="art16p" w:history="1">
        <w:r w:rsidRPr="009D278D">
          <w:rPr>
            <w:rFonts w:ascii="Book Antiqua" w:eastAsia="Times New Roman" w:hAnsi="Book Antiqua" w:cs="Arial"/>
            <w:color w:val="0000FF"/>
            <w:kern w:val="0"/>
            <w:sz w:val="19"/>
            <w:szCs w:val="19"/>
            <w:u w:val="single"/>
            <w:lang w:eastAsia="pt-BR"/>
            <w14:ligatures w14:val="none"/>
          </w:rPr>
          <w:t>artigos 16, parágrafo único</w:t>
        </w:r>
      </w:hyperlink>
      <w:r w:rsidRPr="009D278D">
        <w:rPr>
          <w:rFonts w:ascii="Book Antiqua" w:eastAsia="Times New Roman" w:hAnsi="Book Antiqua" w:cs="Arial"/>
          <w:color w:val="000000"/>
          <w:kern w:val="0"/>
          <w:sz w:val="19"/>
          <w:szCs w:val="19"/>
          <w:lang w:eastAsia="pt-BR"/>
          <w14:ligatures w14:val="none"/>
        </w:rPr>
        <w:t>, e </w:t>
      </w:r>
      <w:hyperlink r:id="rId9" w:anchor="art22" w:history="1">
        <w:r w:rsidRPr="009D278D">
          <w:rPr>
            <w:rFonts w:ascii="Book Antiqua" w:eastAsia="Times New Roman" w:hAnsi="Book Antiqua" w:cs="Arial"/>
            <w:color w:val="0000FF"/>
            <w:kern w:val="0"/>
            <w:sz w:val="19"/>
            <w:szCs w:val="19"/>
            <w:u w:val="single"/>
            <w:lang w:eastAsia="pt-BR"/>
            <w14:ligatures w14:val="none"/>
          </w:rPr>
          <w:t>22 da Lei nº 4.504, de 30 de novembro de 1964</w:t>
        </w:r>
      </w:hyperlink>
      <w:r w:rsidRPr="009D278D">
        <w:rPr>
          <w:rFonts w:ascii="Book Antiqua" w:eastAsia="Times New Roman" w:hAnsi="Book Antiqua" w:cs="Arial"/>
          <w:color w:val="000000"/>
          <w:kern w:val="0"/>
          <w:sz w:val="19"/>
          <w:szCs w:val="19"/>
          <w:lang w:eastAsia="pt-BR"/>
          <w14:ligatures w14:val="none"/>
        </w:rPr>
        <w:t>, selecionar, para fins de Reforma Agrária, os imóveis rurais a serem desapropriados nas áreas prioritárias fixadas em decreto do Poder Executivo.</w:t>
      </w:r>
    </w:p>
    <w:p w14:paraId="723D83BF"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xml:space="preserve">        Parágrafo único. As desapropriações recairão sobre imóveis rurais selecionados como necessários à integração de projetos e à garantia de continuidade de </w:t>
      </w:r>
      <w:proofErr w:type="spellStart"/>
      <w:proofErr w:type="gramStart"/>
      <w:r w:rsidRPr="009D278D">
        <w:rPr>
          <w:rFonts w:ascii="Book Antiqua" w:eastAsia="Times New Roman" w:hAnsi="Book Antiqua" w:cs="Arial"/>
          <w:color w:val="000000"/>
          <w:kern w:val="0"/>
          <w:sz w:val="19"/>
          <w:szCs w:val="19"/>
          <w:lang w:eastAsia="pt-BR"/>
          <w14:ligatures w14:val="none"/>
        </w:rPr>
        <w:t>sua</w:t>
      </w:r>
      <w:proofErr w:type="spellEnd"/>
      <w:r w:rsidRPr="009D278D">
        <w:rPr>
          <w:rFonts w:ascii="Book Antiqua" w:eastAsia="Times New Roman" w:hAnsi="Book Antiqua" w:cs="Arial"/>
          <w:color w:val="000000"/>
          <w:kern w:val="0"/>
          <w:sz w:val="19"/>
          <w:szCs w:val="19"/>
          <w:lang w:eastAsia="pt-BR"/>
          <w14:ligatures w14:val="none"/>
        </w:rPr>
        <w:t xml:space="preserve"> áreas</w:t>
      </w:r>
      <w:proofErr w:type="gramEnd"/>
      <w:r w:rsidRPr="009D278D">
        <w:rPr>
          <w:rFonts w:ascii="Book Antiqua" w:eastAsia="Times New Roman" w:hAnsi="Book Antiqua" w:cs="Arial"/>
          <w:color w:val="000000"/>
          <w:kern w:val="0"/>
          <w:sz w:val="19"/>
          <w:szCs w:val="19"/>
          <w:lang w:eastAsia="pt-BR"/>
          <w14:ligatures w14:val="none"/>
        </w:rPr>
        <w:t>, de acesso ao sistema de transportes e, ainda, de conservação de recursos naturais indispensáveis à sua execução.</w:t>
      </w:r>
    </w:p>
    <w:p w14:paraId="3CF4395D"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Art. 3º - Os foreiros, arrendatários, possuidores, ocupantes e quantos se julguem com direito sobre qualquer porção dos imóveis rurais pertencentes à União, que foram ou vierem a ser transferidos para o IBRA, ficam obrigados a apresentar ao referido Instituto os títulos ou qualquer prova, em direito admitida, em que fundamentam as suas alegações.</w:t>
      </w:r>
    </w:p>
    <w:p w14:paraId="00496BBF"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 1º - A apresentação desses títulos deverá ocorrer no prazo de 180 (cento e oitenta) dias a contar da data do edital de convocação que será publicado no "Diário Oficial" da União, devendo o IBRA promover a divulgação dessa convocação por meio de resumo estampado em jornal de grande circulação na Capital Federal, nas capitais dos Estados e Territórios, bem como por editais afixados na sede dos Municípios onde estejam situados os imóveis.</w:t>
      </w:r>
    </w:p>
    <w:p w14:paraId="1BB73264"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 2º - Quando houver dúvida quanto aos títulos apresentados, o IBRA os submeterá ao Conselho de Terras da União, que deverá, no prazo de 90 (noventa) dias, decidir de sua legitimidade.</w:t>
      </w:r>
    </w:p>
    <w:p w14:paraId="5E14DC0D"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 3º - Não apresentados os títulos ou não reconhecidos como legítimos, observada a norma do parágrafo anterior, o IBRA providenciará no sentido de recuperar a posse do imóvel.</w:t>
      </w:r>
    </w:p>
    <w:p w14:paraId="614AD003"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Art. 4º - O IBRA promoverá a extinção dos aforamentos existentes sempre que as terras respectivas se tornarem necessárias à execução dos planos de colonização e de serviço, a eles atinentes, aplicando-se, para fins de avaliação do depósito prévio, o disposto no </w:t>
      </w:r>
      <w:hyperlink r:id="rId10" w:anchor="art5%C2%A71a" w:history="1">
        <w:r w:rsidRPr="009D278D">
          <w:rPr>
            <w:rFonts w:ascii="Book Antiqua" w:eastAsia="Times New Roman" w:hAnsi="Book Antiqua" w:cs="Arial"/>
            <w:color w:val="0000FF"/>
            <w:kern w:val="0"/>
            <w:sz w:val="19"/>
            <w:szCs w:val="19"/>
            <w:u w:val="single"/>
            <w:lang w:eastAsia="pt-BR"/>
            <w14:ligatures w14:val="none"/>
          </w:rPr>
          <w:t>art. 5º, I, a</w:t>
        </w:r>
      </w:hyperlink>
      <w:r w:rsidRPr="009D278D">
        <w:rPr>
          <w:rFonts w:ascii="Book Antiqua" w:eastAsia="Times New Roman" w:hAnsi="Book Antiqua" w:cs="Arial"/>
          <w:color w:val="000000"/>
          <w:kern w:val="0"/>
          <w:sz w:val="19"/>
          <w:szCs w:val="19"/>
          <w:lang w:eastAsia="pt-BR"/>
          <w14:ligatures w14:val="none"/>
        </w:rPr>
        <w:t> e </w:t>
      </w:r>
      <w:hyperlink r:id="rId11" w:anchor="art5%C2%A71b" w:history="1">
        <w:r w:rsidRPr="009D278D">
          <w:rPr>
            <w:rFonts w:ascii="Book Antiqua" w:eastAsia="Times New Roman" w:hAnsi="Book Antiqua" w:cs="Arial"/>
            <w:color w:val="0000FF"/>
            <w:kern w:val="0"/>
            <w:sz w:val="19"/>
            <w:szCs w:val="19"/>
            <w:u w:val="single"/>
            <w:lang w:eastAsia="pt-BR"/>
            <w14:ligatures w14:val="none"/>
          </w:rPr>
          <w:t>b, do Decreto-lei nº 893, de 26 de novembro de 1938</w:t>
        </w:r>
      </w:hyperlink>
      <w:r w:rsidRPr="009D278D">
        <w:rPr>
          <w:rFonts w:ascii="Book Antiqua" w:eastAsia="Times New Roman" w:hAnsi="Book Antiqua" w:cs="Arial"/>
          <w:color w:val="000000"/>
          <w:kern w:val="0"/>
          <w:sz w:val="19"/>
          <w:szCs w:val="19"/>
          <w:lang w:eastAsia="pt-BR"/>
          <w14:ligatures w14:val="none"/>
        </w:rPr>
        <w:t>.</w:t>
      </w:r>
    </w:p>
    <w:p w14:paraId="0E1AF582"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 1º - Os foros devidos pelas áreas transferidas ao IBRA, cujo aforamento não for extinto ou até sua extinção, serão arrecadados pelo IBRA e incorporados ao Fundo Nacional de Reforma Agrária.</w:t>
      </w:r>
    </w:p>
    <w:p w14:paraId="3B493DB7"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lastRenderedPageBreak/>
        <w:t xml:space="preserve">        § 2º - Compete ao IBRA, quanto às terras que lhe forem transferidas, declarar em comissão e, </w:t>
      </w:r>
      <w:proofErr w:type="spellStart"/>
      <w:r w:rsidRPr="009D278D">
        <w:rPr>
          <w:rFonts w:ascii="Book Antiqua" w:eastAsia="Times New Roman" w:hAnsi="Book Antiqua" w:cs="Arial"/>
          <w:color w:val="000000"/>
          <w:kern w:val="0"/>
          <w:sz w:val="19"/>
          <w:szCs w:val="19"/>
          <w:lang w:eastAsia="pt-BR"/>
          <w14:ligatures w14:val="none"/>
        </w:rPr>
        <w:t>conseqüentemente</w:t>
      </w:r>
      <w:proofErr w:type="spellEnd"/>
      <w:r w:rsidRPr="009D278D">
        <w:rPr>
          <w:rFonts w:ascii="Book Antiqua" w:eastAsia="Times New Roman" w:hAnsi="Book Antiqua" w:cs="Arial"/>
          <w:color w:val="000000"/>
          <w:kern w:val="0"/>
          <w:sz w:val="19"/>
          <w:szCs w:val="19"/>
          <w:lang w:eastAsia="pt-BR"/>
          <w14:ligatures w14:val="none"/>
        </w:rPr>
        <w:t>, extintos os aforamentos dos enfiteutas em débito, nos termos da lei, indenizadas as benfeitorias e aplicado, para consolidação do domínio pleno, o rito sumário do </w:t>
      </w:r>
      <w:hyperlink r:id="rId12" w:history="1">
        <w:r w:rsidRPr="009D278D">
          <w:rPr>
            <w:rFonts w:ascii="Book Antiqua" w:eastAsia="Times New Roman" w:hAnsi="Book Antiqua" w:cs="Arial"/>
            <w:color w:val="0000FF"/>
            <w:kern w:val="0"/>
            <w:sz w:val="19"/>
            <w:szCs w:val="19"/>
            <w:u w:val="single"/>
            <w:lang w:eastAsia="pt-BR"/>
            <w14:ligatures w14:val="none"/>
          </w:rPr>
          <w:t>art. 685 do Código do Processo Civil</w:t>
        </w:r>
      </w:hyperlink>
      <w:r w:rsidRPr="009D278D">
        <w:rPr>
          <w:rFonts w:ascii="Book Antiqua" w:eastAsia="Times New Roman" w:hAnsi="Book Antiqua" w:cs="Arial"/>
          <w:color w:val="000000"/>
          <w:kern w:val="0"/>
          <w:sz w:val="19"/>
          <w:szCs w:val="19"/>
          <w:lang w:eastAsia="pt-BR"/>
          <w14:ligatures w14:val="none"/>
        </w:rPr>
        <w:t>.</w:t>
      </w:r>
    </w:p>
    <w:p w14:paraId="03D165E2"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 3º - Compete, ainda, ao IBRA, quanto às terras que lhe forem transferidas:</w:t>
      </w:r>
    </w:p>
    <w:p w14:paraId="133E3EC2"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xml:space="preserve">        I - </w:t>
      </w:r>
      <w:proofErr w:type="gramStart"/>
      <w:r w:rsidRPr="009D278D">
        <w:rPr>
          <w:rFonts w:ascii="Book Antiqua" w:eastAsia="Times New Roman" w:hAnsi="Book Antiqua" w:cs="Arial"/>
          <w:color w:val="000000"/>
          <w:kern w:val="0"/>
          <w:sz w:val="19"/>
          <w:szCs w:val="19"/>
          <w:lang w:eastAsia="pt-BR"/>
          <w14:ligatures w14:val="none"/>
        </w:rPr>
        <w:t>declarar</w:t>
      </w:r>
      <w:proofErr w:type="gramEnd"/>
      <w:r w:rsidRPr="009D278D">
        <w:rPr>
          <w:rFonts w:ascii="Book Antiqua" w:eastAsia="Times New Roman" w:hAnsi="Book Antiqua" w:cs="Arial"/>
          <w:color w:val="000000"/>
          <w:kern w:val="0"/>
          <w:sz w:val="19"/>
          <w:szCs w:val="19"/>
          <w:lang w:eastAsia="pt-BR"/>
          <w14:ligatures w14:val="none"/>
        </w:rPr>
        <w:t xml:space="preserve"> a inadimplência do foreiro, em qualquer caso;</w:t>
      </w:r>
    </w:p>
    <w:p w14:paraId="55FA6008"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xml:space="preserve">        II - </w:t>
      </w:r>
      <w:proofErr w:type="gramStart"/>
      <w:r w:rsidRPr="009D278D">
        <w:rPr>
          <w:rFonts w:ascii="Book Antiqua" w:eastAsia="Times New Roman" w:hAnsi="Book Antiqua" w:cs="Arial"/>
          <w:color w:val="000000"/>
          <w:kern w:val="0"/>
          <w:sz w:val="19"/>
          <w:szCs w:val="19"/>
          <w:lang w:eastAsia="pt-BR"/>
          <w14:ligatures w14:val="none"/>
        </w:rPr>
        <w:t>declarar</w:t>
      </w:r>
      <w:proofErr w:type="gramEnd"/>
      <w:r w:rsidRPr="009D278D">
        <w:rPr>
          <w:rFonts w:ascii="Book Antiqua" w:eastAsia="Times New Roman" w:hAnsi="Book Antiqua" w:cs="Arial"/>
          <w:color w:val="000000"/>
          <w:kern w:val="0"/>
          <w:sz w:val="19"/>
          <w:szCs w:val="19"/>
          <w:lang w:eastAsia="pt-BR"/>
          <w14:ligatures w14:val="none"/>
        </w:rPr>
        <w:t xml:space="preserve"> a nulidade de pleno direito de transmissão "</w:t>
      </w:r>
      <w:proofErr w:type="spellStart"/>
      <w:r w:rsidRPr="009D278D">
        <w:rPr>
          <w:rFonts w:ascii="Book Antiqua" w:eastAsia="Times New Roman" w:hAnsi="Book Antiqua" w:cs="Arial"/>
          <w:color w:val="000000"/>
          <w:kern w:val="0"/>
          <w:sz w:val="19"/>
          <w:szCs w:val="19"/>
          <w:lang w:eastAsia="pt-BR"/>
          <w14:ligatures w14:val="none"/>
        </w:rPr>
        <w:t>inter</w:t>
      </w:r>
      <w:proofErr w:type="spellEnd"/>
      <w:r w:rsidRPr="009D278D">
        <w:rPr>
          <w:rFonts w:ascii="Book Antiqua" w:eastAsia="Times New Roman" w:hAnsi="Book Antiqua" w:cs="Arial"/>
          <w:color w:val="000000"/>
          <w:kern w:val="0"/>
          <w:sz w:val="19"/>
          <w:szCs w:val="19"/>
          <w:lang w:eastAsia="pt-BR"/>
          <w14:ligatures w14:val="none"/>
        </w:rPr>
        <w:t xml:space="preserve"> vivos" do domínio útil sem prévio assentimento do senhorio direto;</w:t>
      </w:r>
    </w:p>
    <w:p w14:paraId="0142FEA8"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xml:space="preserve">        III - promover, quando for o caso, as medidas judiciais </w:t>
      </w:r>
      <w:proofErr w:type="spellStart"/>
      <w:r w:rsidRPr="009D278D">
        <w:rPr>
          <w:rFonts w:ascii="Book Antiqua" w:eastAsia="Times New Roman" w:hAnsi="Book Antiqua" w:cs="Arial"/>
          <w:color w:val="000000"/>
          <w:kern w:val="0"/>
          <w:sz w:val="19"/>
          <w:szCs w:val="19"/>
          <w:lang w:eastAsia="pt-BR"/>
          <w14:ligatures w14:val="none"/>
        </w:rPr>
        <w:t>conseqüentes</w:t>
      </w:r>
      <w:proofErr w:type="spellEnd"/>
      <w:r w:rsidRPr="009D278D">
        <w:rPr>
          <w:rFonts w:ascii="Book Antiqua" w:eastAsia="Times New Roman" w:hAnsi="Book Antiqua" w:cs="Arial"/>
          <w:color w:val="000000"/>
          <w:kern w:val="0"/>
          <w:sz w:val="19"/>
          <w:szCs w:val="19"/>
          <w:lang w:eastAsia="pt-BR"/>
          <w14:ligatures w14:val="none"/>
        </w:rPr>
        <w:t>.</w:t>
      </w:r>
    </w:p>
    <w:p w14:paraId="02302E27"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Times New Roman"/>
          <w:color w:val="000000"/>
          <w:kern w:val="0"/>
          <w:sz w:val="19"/>
          <w:szCs w:val="19"/>
          <w:lang w:eastAsia="pt-BR"/>
          <w14:ligatures w14:val="none"/>
        </w:rPr>
        <w:t>        </w:t>
      </w:r>
      <w:r w:rsidRPr="009D278D">
        <w:rPr>
          <w:rFonts w:ascii="Book Antiqua" w:eastAsia="Times New Roman" w:hAnsi="Book Antiqua" w:cs="Arial"/>
          <w:color w:val="000000"/>
          <w:kern w:val="0"/>
          <w:sz w:val="19"/>
          <w:szCs w:val="19"/>
          <w:lang w:eastAsia="pt-BR"/>
          <w14:ligatures w14:val="none"/>
        </w:rPr>
        <w:t xml:space="preserve">Art. 5º - Compete ao IBRA tomar as providências administrativas e promover as judiciais concernentes à discriminação das terras devolutas existentes no Distrito Federal, nos Territórios Federais e na faixa de 150 (cento e </w:t>
      </w:r>
      <w:proofErr w:type="spellStart"/>
      <w:r w:rsidRPr="009D278D">
        <w:rPr>
          <w:rFonts w:ascii="Book Antiqua" w:eastAsia="Times New Roman" w:hAnsi="Book Antiqua" w:cs="Arial"/>
          <w:color w:val="000000"/>
          <w:kern w:val="0"/>
          <w:sz w:val="19"/>
          <w:szCs w:val="19"/>
          <w:lang w:eastAsia="pt-BR"/>
          <w14:ligatures w14:val="none"/>
        </w:rPr>
        <w:t>cinqüenta</w:t>
      </w:r>
      <w:proofErr w:type="spellEnd"/>
      <w:r w:rsidRPr="009D278D">
        <w:rPr>
          <w:rFonts w:ascii="Book Antiqua" w:eastAsia="Times New Roman" w:hAnsi="Book Antiqua" w:cs="Arial"/>
          <w:color w:val="000000"/>
          <w:kern w:val="0"/>
          <w:sz w:val="19"/>
          <w:szCs w:val="19"/>
          <w:lang w:eastAsia="pt-BR"/>
          <w14:ligatures w14:val="none"/>
        </w:rPr>
        <w:t>) quilômetros ao longo das fronteiras do País, respeitado o disposto na </w:t>
      </w:r>
      <w:hyperlink r:id="rId13" w:history="1">
        <w:r w:rsidRPr="009D278D">
          <w:rPr>
            <w:rFonts w:ascii="Book Antiqua" w:eastAsia="Times New Roman" w:hAnsi="Book Antiqua" w:cs="Arial"/>
            <w:color w:val="0000FF"/>
            <w:kern w:val="0"/>
            <w:sz w:val="19"/>
            <w:szCs w:val="19"/>
            <w:u w:val="single"/>
            <w:lang w:eastAsia="pt-BR"/>
            <w14:ligatures w14:val="none"/>
          </w:rPr>
          <w:t>Lei n º 2.597, de 13 de setembro de 1955</w:t>
        </w:r>
      </w:hyperlink>
      <w:r w:rsidRPr="009D278D">
        <w:rPr>
          <w:rFonts w:ascii="Book Antiqua" w:eastAsia="Times New Roman" w:hAnsi="Book Antiqua" w:cs="Arial"/>
          <w:color w:val="000000"/>
          <w:kern w:val="0"/>
          <w:sz w:val="19"/>
          <w:szCs w:val="19"/>
          <w:lang w:eastAsia="pt-BR"/>
          <w14:ligatures w14:val="none"/>
        </w:rPr>
        <w:t>.</w:t>
      </w:r>
    </w:p>
    <w:p w14:paraId="0D674DB6" w14:textId="57AC0975" w:rsidR="009D278D" w:rsidRPr="00E52D83"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6"/>
          <w:szCs w:val="16"/>
          <w:lang w:eastAsia="pt-BR"/>
          <w14:ligatures w14:val="none"/>
        </w:rPr>
      </w:pPr>
      <w:r w:rsidRPr="009D278D">
        <w:rPr>
          <w:rFonts w:ascii="Book Antiqua" w:eastAsia="Times New Roman" w:hAnsi="Book Antiqua" w:cs="Arial"/>
          <w:color w:val="000000"/>
          <w:kern w:val="0"/>
          <w:sz w:val="19"/>
          <w:szCs w:val="19"/>
          <w:lang w:eastAsia="pt-BR"/>
          <w14:ligatures w14:val="none"/>
        </w:rPr>
        <w:t>        § 1º - É o Poder Executivo autorizado a ratificar as alienações e concessões de terras já feitas pelos Estados na Faixa de Fronteiras, se entender que se coadunam com os objetivos do Estatuto da Terra</w:t>
      </w:r>
      <w:r w:rsidRPr="009D278D">
        <w:rPr>
          <w:rFonts w:ascii="Book Antiqua" w:eastAsia="Times New Roman" w:hAnsi="Book Antiqua" w:cs="Arial"/>
          <w:color w:val="000000"/>
          <w:kern w:val="0"/>
          <w:sz w:val="18"/>
          <w:szCs w:val="18"/>
          <w:lang w:eastAsia="pt-BR"/>
          <w14:ligatures w14:val="none"/>
        </w:rPr>
        <w:t>.</w:t>
      </w:r>
      <w:r>
        <w:rPr>
          <w:rFonts w:ascii="Book Antiqua" w:eastAsia="Times New Roman" w:hAnsi="Book Antiqua" w:cs="Arial"/>
          <w:color w:val="000000"/>
          <w:kern w:val="0"/>
          <w:sz w:val="18"/>
          <w:szCs w:val="18"/>
          <w:lang w:eastAsia="pt-BR"/>
          <w14:ligatures w14:val="none"/>
        </w:rPr>
        <w:t xml:space="preserve"> </w:t>
      </w:r>
      <w:hyperlink r:id="rId14" w:history="1">
        <w:r w:rsidRPr="00E52D83">
          <w:rPr>
            <w:rFonts w:ascii="Book Antiqua" w:eastAsia="Times New Roman" w:hAnsi="Book Antiqua" w:cs="Arial"/>
            <w:color w:val="0000FF"/>
            <w:kern w:val="0"/>
            <w:sz w:val="16"/>
            <w:szCs w:val="16"/>
            <w:u w:val="single"/>
            <w:lang w:eastAsia="pt-BR"/>
            <w14:ligatures w14:val="none"/>
          </w:rPr>
          <w:t>(Vide Lei nº 10.164, de 2000)</w:t>
        </w:r>
      </w:hyperlink>
    </w:p>
    <w:p w14:paraId="4F1CFF4A"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 2º - Para os fins previstos no </w:t>
      </w:r>
      <w:hyperlink r:id="rId15" w:anchor="art11" w:history="1">
        <w:r w:rsidRPr="009D278D">
          <w:rPr>
            <w:rFonts w:ascii="Book Antiqua" w:eastAsia="Times New Roman" w:hAnsi="Book Antiqua" w:cs="Arial"/>
            <w:color w:val="0000FF"/>
            <w:kern w:val="0"/>
            <w:sz w:val="19"/>
            <w:szCs w:val="19"/>
            <w:u w:val="single"/>
            <w:lang w:eastAsia="pt-BR"/>
            <w14:ligatures w14:val="none"/>
          </w:rPr>
          <w:t>art. 11 da Lei n º 4.504, de 30 de novembro de 1964</w:t>
        </w:r>
      </w:hyperlink>
      <w:r w:rsidRPr="009D278D">
        <w:rPr>
          <w:rFonts w:ascii="Book Antiqua" w:eastAsia="Times New Roman" w:hAnsi="Book Antiqua" w:cs="Arial"/>
          <w:color w:val="000000"/>
          <w:kern w:val="0"/>
          <w:sz w:val="19"/>
          <w:szCs w:val="19"/>
          <w:lang w:eastAsia="pt-BR"/>
          <w14:ligatures w14:val="none"/>
        </w:rPr>
        <w:t>, o Serviço de Patrimônio da União, dentro de 90 (noventa) dias, a contar da publicação da presente Lei, remeterá ao IBRA todos os processos ainda não ultimados de pedidos de aforamento ou aquisição de terras devolutas, desde que destinadas pelos seus ocupantes ou pretendentes ao aproveitamento agropecuário.</w:t>
      </w:r>
    </w:p>
    <w:p w14:paraId="267AA5F8" w14:textId="77777777" w:rsidR="009D278D" w:rsidRPr="00E52D83"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6"/>
          <w:szCs w:val="16"/>
          <w:lang w:eastAsia="pt-BR"/>
          <w14:ligatures w14:val="none"/>
        </w:rPr>
      </w:pPr>
      <w:r w:rsidRPr="00E52D83">
        <w:rPr>
          <w:rFonts w:ascii="Book Antiqua" w:eastAsia="Times New Roman" w:hAnsi="Book Antiqua" w:cs="Arial"/>
          <w:color w:val="000000"/>
          <w:kern w:val="0"/>
          <w:sz w:val="16"/>
          <w:szCs w:val="16"/>
          <w:lang w:eastAsia="pt-BR"/>
          <w14:ligatures w14:val="none"/>
        </w:rPr>
        <w:t>        § 3º -          </w:t>
      </w:r>
      <w:hyperlink r:id="rId16" w:anchor="art5" w:history="1">
        <w:r w:rsidRPr="00E52D83">
          <w:rPr>
            <w:rFonts w:ascii="Book Antiqua" w:eastAsia="Times New Roman" w:hAnsi="Book Antiqua" w:cs="Arial"/>
            <w:color w:val="0000FF"/>
            <w:kern w:val="0"/>
            <w:sz w:val="16"/>
            <w:szCs w:val="16"/>
            <w:u w:val="single"/>
            <w:lang w:eastAsia="pt-BR"/>
            <w14:ligatures w14:val="none"/>
          </w:rPr>
          <w:t>(Revogado pelo Decreto-Lei nº 1.561, de 1977)</w:t>
        </w:r>
      </w:hyperlink>
    </w:p>
    <w:p w14:paraId="4A3DE26D"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 4º - Compete ao IBRA converter os referidos processos de aforamento em venda definitiva na respectiva área, para consecução dos fins determinados nos artigos 2º e 10 do Estatuto da Terra.</w:t>
      </w:r>
    </w:p>
    <w:p w14:paraId="43244671"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Art. 6º - Todos os imóveis rurais pertencentes à União, desde que destinados à atividade agropecuária, somente podem ser concedidos, por venda ou outra forma de alienação, aos ocupantes ou pretendentes, através do Instituto Brasileiro de Reforma Agrária (IBRA), ou de órgão Federal de Colonização por ele autorizado em cada caso.</w:t>
      </w:r>
    </w:p>
    <w:p w14:paraId="61AF2488" w14:textId="77777777" w:rsidR="009D278D" w:rsidRPr="00E52D83"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6"/>
          <w:szCs w:val="16"/>
          <w:lang w:eastAsia="pt-BR"/>
          <w14:ligatures w14:val="none"/>
        </w:rPr>
      </w:pPr>
      <w:r w:rsidRPr="009D278D">
        <w:rPr>
          <w:rFonts w:ascii="Book Antiqua" w:eastAsia="Times New Roman" w:hAnsi="Book Antiqua" w:cs="Arial"/>
          <w:color w:val="000000"/>
          <w:kern w:val="0"/>
          <w:sz w:val="19"/>
          <w:szCs w:val="19"/>
          <w:lang w:eastAsia="pt-BR"/>
          <w14:ligatures w14:val="none"/>
        </w:rPr>
        <w:t>        Parágrafo único. A receita proveniente da venda ou outra forma de alienação de imóveis rurais pertencentes à União, realizadas nos termos desta Lei, será recolhida ao Banco do Brasil S/A., à conta do Tesouro Nacional, como receita orçamentária da União, sendo o seu produto destinado à cobertura das providências administrativas e judiciárias, a cargo do Instituto Nacional de Colonização e Reforma Agrária - INCRA, concernentes à discriminação, arrecadação, demarcação, transcrição e alienação de terras devolutas</w:t>
      </w:r>
      <w:r w:rsidRPr="00E52D83">
        <w:rPr>
          <w:rFonts w:ascii="Book Antiqua" w:eastAsia="Times New Roman" w:hAnsi="Book Antiqua" w:cs="Arial"/>
          <w:color w:val="000000"/>
          <w:kern w:val="0"/>
          <w:sz w:val="16"/>
          <w:szCs w:val="16"/>
          <w:lang w:eastAsia="pt-BR"/>
          <w14:ligatures w14:val="none"/>
        </w:rPr>
        <w:t>.          </w:t>
      </w:r>
      <w:hyperlink r:id="rId17" w:history="1">
        <w:r w:rsidRPr="00E52D83">
          <w:rPr>
            <w:rFonts w:ascii="Book Antiqua" w:eastAsia="Times New Roman" w:hAnsi="Book Antiqua" w:cs="Arial"/>
            <w:color w:val="0000FF"/>
            <w:kern w:val="0"/>
            <w:sz w:val="16"/>
            <w:szCs w:val="16"/>
            <w:u w:val="single"/>
            <w:lang w:eastAsia="pt-BR"/>
            <w14:ligatures w14:val="none"/>
          </w:rPr>
          <w:t>(Incluído pelo Decreto-lei nº 1.640, de 1978)</w:t>
        </w:r>
      </w:hyperlink>
    </w:p>
    <w:p w14:paraId="17195A30"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Art. 7º - No desempenho das atribuições de alienar bens da União, com finalidades agropecuárias, o IBRA submeterá à prévia audiência:</w:t>
      </w:r>
    </w:p>
    <w:p w14:paraId="42A5A2AD"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a) da Comissão Especial da Faixa de Fronteiras, se se tratar de área na faixa sob sua jurisdição;</w:t>
      </w:r>
    </w:p>
    <w:p w14:paraId="675EAC60"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b) dos Ministérios da Guerra, da Marinha e da Aeronáutica, se houver fortificações ou estabelecimentos militares nas proximidades da área pretendida ou na faixa de 100 (cem) metros ao longo da costa marítima;</w:t>
      </w:r>
    </w:p>
    <w:p w14:paraId="3607BD6F"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c) das Prefeituras Municipais, quando se tratar de terreno situado em zona que esteja sendo urbanizada.</w:t>
      </w:r>
    </w:p>
    <w:p w14:paraId="61FB2E01"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lastRenderedPageBreak/>
        <w:t>        § 1º - A consulta versará sobre zona determinada, devidamente caracterizada.</w:t>
      </w:r>
    </w:p>
    <w:p w14:paraId="7C20BEAA"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 2º - Os órgãos consultados deverão pronunciar-se dentro de 30 (trinta) dias do recebimento da consulta, prazo que poderá ser prorrogado por outros 30 (trinta) dias, quando solicitado, importando o silêncio em assentimento à alienação.</w:t>
      </w:r>
    </w:p>
    <w:p w14:paraId="0F3F8BF4"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Art. 8º - Poderá ser delegada aos Estados, mediante convênio com o IBRA, competência para reconhecer as posses legítimas e expedir, em nome deste ou da União, os respectivos títulos de domínio, desde que respeitados, para isso, os critérios estabelecidos no Estatuto da Terra.</w:t>
      </w:r>
    </w:p>
    <w:p w14:paraId="13E8BD6D"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Art. 9º - As áreas e prédios dos imóveis rurais transferidos para o IBRA, que não forem necessários à instalação de seus serviços ou à colocação de excedentes rurais, poderão retornar à administração do Serviço de Patrimônio da União ou, se julgados necessários para planos habitacionais, cedidos ao Banco Nacional de Habitação.</w:t>
      </w:r>
    </w:p>
    <w:p w14:paraId="62B7B166"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Art. 10 - Fica vedada a inscrição de loteamentos rurais no registro de imóveis, sem prova de prévia aprovação pela autoridade pública competente a que se refere o </w:t>
      </w:r>
      <w:hyperlink r:id="rId18" w:anchor="art61" w:history="1">
        <w:r w:rsidRPr="009D278D">
          <w:rPr>
            <w:rFonts w:ascii="Book Antiqua" w:eastAsia="Times New Roman" w:hAnsi="Book Antiqua" w:cs="Arial"/>
            <w:color w:val="0000FF"/>
            <w:kern w:val="0"/>
            <w:sz w:val="19"/>
            <w:szCs w:val="19"/>
            <w:u w:val="single"/>
            <w:lang w:eastAsia="pt-BR"/>
            <w14:ligatures w14:val="none"/>
          </w:rPr>
          <w:t>art. 61 da Lei n º 4.504, de 30 de novembro de 1964</w:t>
        </w:r>
      </w:hyperlink>
      <w:r w:rsidRPr="009D278D">
        <w:rPr>
          <w:rFonts w:ascii="Book Antiqua" w:eastAsia="Times New Roman" w:hAnsi="Book Antiqua" w:cs="Arial"/>
          <w:color w:val="000000"/>
          <w:kern w:val="0"/>
          <w:sz w:val="19"/>
          <w:szCs w:val="19"/>
          <w:lang w:eastAsia="pt-BR"/>
          <w14:ligatures w14:val="none"/>
        </w:rPr>
        <w:t>.</w:t>
      </w:r>
    </w:p>
    <w:p w14:paraId="3C1D75BD"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 1º - São nulos de pleno direito a inscrição e todos os atos dela decorrentes, quando praticados com infração do disposto neste artigo.</w:t>
      </w:r>
    </w:p>
    <w:p w14:paraId="513AABC6" w14:textId="77777777" w:rsidR="009D278D" w:rsidRPr="00E52D83"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6"/>
          <w:szCs w:val="16"/>
          <w:lang w:eastAsia="pt-BR"/>
          <w14:ligatures w14:val="none"/>
        </w:rPr>
      </w:pPr>
      <w:r w:rsidRPr="009D278D">
        <w:rPr>
          <w:rFonts w:ascii="Book Antiqua" w:eastAsia="Times New Roman" w:hAnsi="Book Antiqua" w:cs="Arial"/>
          <w:color w:val="000000"/>
          <w:kern w:val="0"/>
          <w:sz w:val="19"/>
          <w:szCs w:val="19"/>
          <w:lang w:eastAsia="pt-BR"/>
          <w14:ligatures w14:val="none"/>
        </w:rPr>
        <w:t>        § 2º - Nos loteamentos já inscritos até a publicação da </w:t>
      </w:r>
      <w:hyperlink r:id="rId19" w:history="1">
        <w:r w:rsidRPr="009D278D">
          <w:rPr>
            <w:rFonts w:ascii="Book Antiqua" w:eastAsia="Times New Roman" w:hAnsi="Book Antiqua" w:cs="Arial"/>
            <w:color w:val="0000FF"/>
            <w:kern w:val="0"/>
            <w:sz w:val="19"/>
            <w:szCs w:val="19"/>
            <w:u w:val="single"/>
            <w:lang w:eastAsia="pt-BR"/>
            <w14:ligatures w14:val="none"/>
          </w:rPr>
          <w:t>Lei n º 4.947, de 6 de abril de 1966</w:t>
        </w:r>
      </w:hyperlink>
      <w:r w:rsidRPr="009D278D">
        <w:rPr>
          <w:rFonts w:ascii="Book Antiqua" w:eastAsia="Times New Roman" w:hAnsi="Book Antiqua" w:cs="Arial"/>
          <w:color w:val="000000"/>
          <w:kern w:val="0"/>
          <w:sz w:val="19"/>
          <w:szCs w:val="19"/>
          <w:lang w:eastAsia="pt-BR"/>
          <w14:ligatures w14:val="none"/>
        </w:rPr>
        <w:t>, é permitida a venda dos lotes rurais remanescentes, com área inferior à do módulo fixado para a respectiva região</w:t>
      </w:r>
      <w:r w:rsidRPr="00E52D83">
        <w:rPr>
          <w:rFonts w:ascii="Book Antiqua" w:eastAsia="Times New Roman" w:hAnsi="Book Antiqua" w:cs="Arial"/>
          <w:color w:val="000000"/>
          <w:kern w:val="0"/>
          <w:sz w:val="16"/>
          <w:szCs w:val="16"/>
          <w:lang w:eastAsia="pt-BR"/>
          <w14:ligatures w14:val="none"/>
        </w:rPr>
        <w:t>.           </w:t>
      </w:r>
      <w:hyperlink r:id="rId20" w:history="1">
        <w:r w:rsidRPr="00E52D83">
          <w:rPr>
            <w:rFonts w:ascii="Book Antiqua" w:eastAsia="Times New Roman" w:hAnsi="Book Antiqua" w:cs="Arial"/>
            <w:color w:val="0000FF"/>
            <w:kern w:val="0"/>
            <w:sz w:val="16"/>
            <w:szCs w:val="16"/>
            <w:u w:val="single"/>
            <w:lang w:eastAsia="pt-BR"/>
            <w14:ligatures w14:val="none"/>
          </w:rPr>
          <w:t>(Redação dada pela lei nº 5.672, de 1971)</w:t>
        </w:r>
      </w:hyperlink>
    </w:p>
    <w:p w14:paraId="52DCBC25"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 3º - Ao fim de cada exercício, para fins estatísticos, o IBRA enviará ao Tribunal de Contas relação pormenorizada das alienações efetuadas.</w:t>
      </w:r>
    </w:p>
    <w:p w14:paraId="792AC2E3"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Art. 11 - Não se aplica aos núcleos coloniais que foram ou vierem a ser transferidos para a jurisdição do IBRA o estabelecido no </w:t>
      </w:r>
      <w:hyperlink r:id="rId21" w:history="1">
        <w:r w:rsidRPr="009D278D">
          <w:rPr>
            <w:rFonts w:ascii="Book Antiqua" w:eastAsia="Times New Roman" w:hAnsi="Book Antiqua" w:cs="Arial"/>
            <w:color w:val="0000FF"/>
            <w:kern w:val="0"/>
            <w:sz w:val="19"/>
            <w:szCs w:val="19"/>
            <w:u w:val="single"/>
            <w:lang w:eastAsia="pt-BR"/>
            <w14:ligatures w14:val="none"/>
          </w:rPr>
          <w:t>art. 39 do Decreto-lei n º 6.117, de 16 de dezembro de 1943</w:t>
        </w:r>
      </w:hyperlink>
      <w:r w:rsidRPr="009D278D">
        <w:rPr>
          <w:rFonts w:ascii="Book Antiqua" w:eastAsia="Times New Roman" w:hAnsi="Book Antiqua" w:cs="Arial"/>
          <w:color w:val="000000"/>
          <w:kern w:val="0"/>
          <w:sz w:val="19"/>
          <w:szCs w:val="19"/>
          <w:lang w:eastAsia="pt-BR"/>
          <w14:ligatures w14:val="none"/>
        </w:rPr>
        <w:t>.</w:t>
      </w:r>
    </w:p>
    <w:p w14:paraId="78836A6F"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Art. 12 - Para execução do disposto no </w:t>
      </w:r>
      <w:hyperlink r:id="rId22" w:history="1">
        <w:r w:rsidRPr="009D278D">
          <w:rPr>
            <w:rFonts w:ascii="Book Antiqua" w:eastAsia="Times New Roman" w:hAnsi="Book Antiqua" w:cs="Arial"/>
            <w:color w:val="0000FF"/>
            <w:kern w:val="0"/>
            <w:sz w:val="19"/>
            <w:szCs w:val="19"/>
            <w:u w:val="single"/>
            <w:lang w:eastAsia="pt-BR"/>
            <w14:ligatures w14:val="none"/>
          </w:rPr>
          <w:t>art. 32 do Decreto-lei n º 6.117, de 16 de dezembro de 1943</w:t>
        </w:r>
      </w:hyperlink>
      <w:r w:rsidRPr="009D278D">
        <w:rPr>
          <w:rFonts w:ascii="Book Antiqua" w:eastAsia="Times New Roman" w:hAnsi="Book Antiqua" w:cs="Arial"/>
          <w:color w:val="000000"/>
          <w:kern w:val="0"/>
          <w:sz w:val="19"/>
          <w:szCs w:val="19"/>
          <w:lang w:eastAsia="pt-BR"/>
          <w14:ligatures w14:val="none"/>
        </w:rPr>
        <w:t>, o Presidente do IBRA designará Comissões especiais de verificação e regularização, com poderes para aplicar as sanções previstas em lei.</w:t>
      </w:r>
    </w:p>
    <w:p w14:paraId="64971AC9"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Parágrafo único. Das decisões tomadas pelas referidas Comissões, caberá recurso, no prazo de 30 (trinta) dias, à Diretoria do IBRA, a contar da data da notificação.</w:t>
      </w:r>
    </w:p>
    <w:p w14:paraId="13EB719B" w14:textId="77777777" w:rsidR="009D278D" w:rsidRPr="009D278D" w:rsidRDefault="009D278D" w:rsidP="009D278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CAPÍTULO III - Dos Contratos Agrários</w:t>
      </w:r>
    </w:p>
    <w:p w14:paraId="4A71FFF4" w14:textId="6B59F46D" w:rsidR="009D278D" w:rsidRPr="00E52D83" w:rsidRDefault="009D278D" w:rsidP="009D278D">
      <w:pPr>
        <w:spacing w:before="100" w:beforeAutospacing="1" w:after="100" w:afterAutospacing="1" w:line="240" w:lineRule="auto"/>
        <w:jc w:val="both"/>
        <w:rPr>
          <w:rFonts w:ascii="Book Antiqua" w:eastAsia="Times New Roman" w:hAnsi="Book Antiqua" w:cs="Times New Roman"/>
          <w:b/>
          <w:bCs/>
          <w:color w:val="000000"/>
          <w:kern w:val="0"/>
          <w:sz w:val="18"/>
          <w:szCs w:val="18"/>
          <w:u w:val="single"/>
          <w:lang w:eastAsia="pt-BR"/>
          <w14:ligatures w14:val="none"/>
        </w:rPr>
      </w:pPr>
      <w:r w:rsidRPr="004B6681">
        <w:rPr>
          <w:rFonts w:ascii="Book Antiqua" w:eastAsia="Times New Roman" w:hAnsi="Book Antiqua" w:cs="Arial"/>
          <w:b/>
          <w:bCs/>
          <w:color w:val="000000"/>
          <w:kern w:val="0"/>
          <w:sz w:val="19"/>
          <w:szCs w:val="19"/>
          <w:lang w:eastAsia="pt-BR"/>
          <w14:ligatures w14:val="none"/>
        </w:rPr>
        <w:t xml:space="preserve">        </w:t>
      </w:r>
      <w:r w:rsidRPr="004B6681">
        <w:rPr>
          <w:rFonts w:ascii="Book Antiqua" w:eastAsia="Times New Roman" w:hAnsi="Book Antiqua" w:cs="Arial"/>
          <w:b/>
          <w:bCs/>
          <w:color w:val="000000"/>
          <w:kern w:val="0"/>
          <w:sz w:val="19"/>
          <w:szCs w:val="19"/>
          <w:highlight w:val="magenta"/>
          <w:lang w:eastAsia="pt-BR"/>
          <w14:ligatures w14:val="none"/>
        </w:rPr>
        <w:t>Art. 13</w:t>
      </w:r>
      <w:r w:rsidRPr="004B6681">
        <w:rPr>
          <w:rFonts w:ascii="Book Antiqua" w:eastAsia="Times New Roman" w:hAnsi="Book Antiqua" w:cs="Arial"/>
          <w:b/>
          <w:bCs/>
          <w:color w:val="000000"/>
          <w:kern w:val="0"/>
          <w:sz w:val="19"/>
          <w:szCs w:val="19"/>
          <w:lang w:eastAsia="pt-BR"/>
          <w14:ligatures w14:val="none"/>
        </w:rPr>
        <w:t xml:space="preserve"> - Os contratos agrários regulam-se pelos princípios gerais que regem os contratos de Direito comum, no que concerne ao acordo de vontade e ao objeto, observados os seguintes preceitos de Direito Agrário</w:t>
      </w:r>
      <w:r w:rsidRPr="00E52D83">
        <w:rPr>
          <w:rFonts w:ascii="Book Antiqua" w:eastAsia="Times New Roman" w:hAnsi="Book Antiqua" w:cs="Arial"/>
          <w:color w:val="000000"/>
          <w:kern w:val="0"/>
          <w:sz w:val="16"/>
          <w:szCs w:val="16"/>
          <w:lang w:eastAsia="pt-BR"/>
          <w14:ligatures w14:val="none"/>
        </w:rPr>
        <w:t>:</w:t>
      </w:r>
      <w:r w:rsidR="004B6681" w:rsidRPr="00E52D83">
        <w:rPr>
          <w:rFonts w:ascii="Book Antiqua" w:eastAsia="Times New Roman" w:hAnsi="Book Antiqua" w:cs="Arial"/>
          <w:color w:val="000000"/>
          <w:kern w:val="0"/>
          <w:sz w:val="16"/>
          <w:szCs w:val="16"/>
          <w:lang w:eastAsia="pt-BR"/>
          <w14:ligatures w14:val="none"/>
        </w:rPr>
        <w:t xml:space="preserve"> </w:t>
      </w:r>
      <w:bookmarkStart w:id="0" w:name="_Hlk134109855"/>
      <w:r w:rsidR="004B6681" w:rsidRPr="00E52D83">
        <w:rPr>
          <w:rFonts w:ascii="Book Antiqua" w:eastAsia="Times New Roman" w:hAnsi="Book Antiqua" w:cs="Arial"/>
          <w:b/>
          <w:bCs/>
          <w:color w:val="FF0000"/>
          <w:kern w:val="0"/>
          <w:sz w:val="16"/>
          <w:szCs w:val="16"/>
          <w:u w:val="single"/>
          <w:lang w:eastAsia="pt-BR"/>
          <w14:ligatures w14:val="none"/>
        </w:rPr>
        <w:t>(PGEMT-2016)</w:t>
      </w:r>
      <w:bookmarkEnd w:id="0"/>
      <w:r w:rsidR="00E52D83">
        <w:rPr>
          <w:rFonts w:ascii="Book Antiqua" w:eastAsia="Times New Roman" w:hAnsi="Book Antiqua" w:cs="Arial"/>
          <w:b/>
          <w:bCs/>
          <w:color w:val="FF0000"/>
          <w:kern w:val="0"/>
          <w:sz w:val="16"/>
          <w:szCs w:val="16"/>
          <w:lang w:eastAsia="pt-BR"/>
          <w14:ligatures w14:val="none"/>
        </w:rPr>
        <w:t xml:space="preserve"> </w:t>
      </w:r>
      <w:bookmarkStart w:id="1" w:name="_Hlk149480416"/>
      <w:r w:rsidR="00E52D83">
        <w:rPr>
          <w:rFonts w:ascii="Book Antiqua" w:eastAsia="Times New Roman" w:hAnsi="Book Antiqua" w:cs="Arial"/>
          <w:b/>
          <w:bCs/>
          <w:color w:val="FF0000"/>
          <w:kern w:val="0"/>
          <w:sz w:val="16"/>
          <w:szCs w:val="16"/>
          <w:u w:val="single"/>
          <w:lang w:eastAsia="pt-BR"/>
          <w14:ligatures w14:val="none"/>
        </w:rPr>
        <w:t>(PGEPA-2022)</w:t>
      </w:r>
      <w:bookmarkEnd w:id="1"/>
    </w:p>
    <w:tbl>
      <w:tblPr>
        <w:tblStyle w:val="Tabelacomgrade"/>
        <w:tblW w:w="0" w:type="auto"/>
        <w:tblLook w:val="04A0" w:firstRow="1" w:lastRow="0" w:firstColumn="1" w:lastColumn="0" w:noHBand="0" w:noVBand="1"/>
      </w:tblPr>
      <w:tblGrid>
        <w:gridCol w:w="8494"/>
      </w:tblGrid>
      <w:tr w:rsidR="004B6681" w14:paraId="24D11C8A" w14:textId="77777777" w:rsidTr="004B6681">
        <w:tc>
          <w:tcPr>
            <w:tcW w:w="8494" w:type="dxa"/>
            <w:shd w:val="clear" w:color="auto" w:fill="CCFFFF"/>
          </w:tcPr>
          <w:p w14:paraId="4EA4D6CC" w14:textId="3526C65B" w:rsidR="004B6681" w:rsidRPr="004B6681" w:rsidRDefault="004B6681" w:rsidP="009D278D">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4B6681">
              <w:rPr>
                <w:rFonts w:ascii="Book Antiqua" w:eastAsia="Times New Roman" w:hAnsi="Book Antiqua" w:cs="Arial"/>
                <w:b/>
                <w:bCs/>
                <w:color w:val="000000"/>
                <w:kern w:val="0"/>
                <w:sz w:val="19"/>
                <w:szCs w:val="19"/>
                <w:highlight w:val="yellow"/>
                <w:lang w:eastAsia="pt-BR"/>
                <w14:ligatures w14:val="none"/>
              </w:rPr>
              <w:t>PGEMT-2016-FCC</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4B6681">
              <w:rPr>
                <w:rFonts w:ascii="Book Antiqua" w:eastAsia="Times New Roman" w:hAnsi="Book Antiqua" w:cs="Arial"/>
                <w:color w:val="000000"/>
                <w:kern w:val="0"/>
                <w:sz w:val="19"/>
                <w:szCs w:val="19"/>
                <w:lang w:eastAsia="pt-BR"/>
                <w14:ligatures w14:val="none"/>
              </w:rPr>
              <w:t>Os contratos agrários, segundo a Lei Federal 4.947, de 06 de abril de 1966,</w:t>
            </w:r>
            <w:r>
              <w:rPr>
                <w:rFonts w:ascii="Book Antiqua" w:eastAsia="Times New Roman" w:hAnsi="Book Antiqua" w:cs="Arial"/>
                <w:color w:val="000000"/>
                <w:kern w:val="0"/>
                <w:sz w:val="19"/>
                <w:szCs w:val="19"/>
                <w:lang w:eastAsia="pt-BR"/>
                <w14:ligatures w14:val="none"/>
              </w:rPr>
              <w:t xml:space="preserve"> </w:t>
            </w:r>
            <w:r w:rsidRPr="004B6681">
              <w:rPr>
                <w:rFonts w:ascii="Book Antiqua" w:eastAsia="Times New Roman" w:hAnsi="Book Antiqua" w:cs="Arial"/>
                <w:color w:val="000000"/>
                <w:kern w:val="0"/>
                <w:sz w:val="19"/>
                <w:szCs w:val="19"/>
                <w:lang w:eastAsia="pt-BR"/>
                <w14:ligatures w14:val="none"/>
              </w:rPr>
              <w:t>regulam-se pelos princípios gerais que regem os contratos de direito comum no que concerne ao acordo de vontade e ao objeto.</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13, </w:t>
            </w:r>
            <w:r>
              <w:rPr>
                <w:rFonts w:ascii="Book Antiqua" w:eastAsia="Times New Roman" w:hAnsi="Book Antiqua" w:cs="Arial"/>
                <w:b/>
                <w:bCs/>
                <w:i/>
                <w:iCs/>
                <w:color w:val="000000"/>
                <w:kern w:val="0"/>
                <w:sz w:val="19"/>
                <w:szCs w:val="19"/>
                <w:lang w:eastAsia="pt-BR"/>
                <w14:ligatures w14:val="none"/>
              </w:rPr>
              <w:t>caput</w:t>
            </w:r>
            <w:r>
              <w:rPr>
                <w:rFonts w:ascii="Book Antiqua" w:eastAsia="Times New Roman" w:hAnsi="Book Antiqua" w:cs="Arial"/>
                <w:b/>
                <w:bCs/>
                <w:color w:val="000000"/>
                <w:kern w:val="0"/>
                <w:sz w:val="19"/>
                <w:szCs w:val="19"/>
                <w:lang w:eastAsia="pt-BR"/>
                <w14:ligatures w14:val="none"/>
              </w:rPr>
              <w:t>, Lei 4947/66.</w:t>
            </w:r>
          </w:p>
        </w:tc>
      </w:tr>
    </w:tbl>
    <w:p w14:paraId="127519C5" w14:textId="34307F71"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xml:space="preserve">        I - </w:t>
      </w:r>
      <w:proofErr w:type="gramStart"/>
      <w:r w:rsidRPr="009D278D">
        <w:rPr>
          <w:rFonts w:ascii="Book Antiqua" w:eastAsia="Times New Roman" w:hAnsi="Book Antiqua" w:cs="Arial"/>
          <w:color w:val="000000"/>
          <w:kern w:val="0"/>
          <w:sz w:val="19"/>
          <w:szCs w:val="19"/>
          <w:lang w:eastAsia="pt-BR"/>
          <w14:ligatures w14:val="none"/>
        </w:rPr>
        <w:t>artigos</w:t>
      </w:r>
      <w:proofErr w:type="gramEnd"/>
      <w:r w:rsidRPr="009D278D">
        <w:rPr>
          <w:rFonts w:ascii="Book Antiqua" w:eastAsia="Times New Roman" w:hAnsi="Book Antiqua" w:cs="Arial"/>
          <w:color w:val="000000"/>
          <w:kern w:val="0"/>
          <w:sz w:val="19"/>
          <w:szCs w:val="19"/>
          <w:lang w:eastAsia="pt-BR"/>
          <w14:ligatures w14:val="none"/>
        </w:rPr>
        <w:t xml:space="preserve"> 92, 93 e 94 da Lei n º 4.504, de 30 de novembro de 1964, quanto ao uso ou posse temporária da terra;</w:t>
      </w:r>
    </w:p>
    <w:p w14:paraId="316A6426"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xml:space="preserve">        II - </w:t>
      </w:r>
      <w:proofErr w:type="gramStart"/>
      <w:r w:rsidRPr="009D278D">
        <w:rPr>
          <w:rFonts w:ascii="Book Antiqua" w:eastAsia="Times New Roman" w:hAnsi="Book Antiqua" w:cs="Arial"/>
          <w:color w:val="000000"/>
          <w:kern w:val="0"/>
          <w:sz w:val="19"/>
          <w:szCs w:val="19"/>
          <w:lang w:eastAsia="pt-BR"/>
          <w14:ligatures w14:val="none"/>
        </w:rPr>
        <w:t>artigos</w:t>
      </w:r>
      <w:proofErr w:type="gramEnd"/>
      <w:r w:rsidRPr="009D278D">
        <w:rPr>
          <w:rFonts w:ascii="Book Antiqua" w:eastAsia="Times New Roman" w:hAnsi="Book Antiqua" w:cs="Arial"/>
          <w:color w:val="000000"/>
          <w:kern w:val="0"/>
          <w:sz w:val="19"/>
          <w:szCs w:val="19"/>
          <w:lang w:eastAsia="pt-BR"/>
          <w14:ligatures w14:val="none"/>
        </w:rPr>
        <w:t xml:space="preserve"> 95 e 96 da mesma Lei, no tocante ao arrendamento rural e à parceria agrícola, pecuária, agroindustrial e extrativa;</w:t>
      </w:r>
    </w:p>
    <w:p w14:paraId="5990C784"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III - obrigatoriedade de cláusulas irrevogáveis, estabelecidas pelo IBRA, que visem à conservação de recursos naturais;</w:t>
      </w:r>
    </w:p>
    <w:p w14:paraId="2242F842" w14:textId="16B792B8" w:rsidR="009D278D" w:rsidRPr="00E52D83"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8"/>
          <w:szCs w:val="18"/>
          <w:lang w:eastAsia="pt-BR"/>
          <w14:ligatures w14:val="none"/>
        </w:rPr>
      </w:pPr>
      <w:r w:rsidRPr="004B6681">
        <w:rPr>
          <w:rFonts w:ascii="Book Antiqua" w:eastAsia="Times New Roman" w:hAnsi="Book Antiqua" w:cs="Arial"/>
          <w:b/>
          <w:bCs/>
          <w:color w:val="000000"/>
          <w:kern w:val="0"/>
          <w:sz w:val="19"/>
          <w:szCs w:val="19"/>
          <w:lang w:eastAsia="pt-BR"/>
          <w14:ligatures w14:val="none"/>
        </w:rPr>
        <w:lastRenderedPageBreak/>
        <w:t xml:space="preserve">        IV - </w:t>
      </w:r>
      <w:proofErr w:type="gramStart"/>
      <w:r w:rsidRPr="004B6681">
        <w:rPr>
          <w:rFonts w:ascii="Book Antiqua" w:eastAsia="Times New Roman" w:hAnsi="Book Antiqua" w:cs="Arial"/>
          <w:b/>
          <w:bCs/>
          <w:color w:val="000000"/>
          <w:kern w:val="0"/>
          <w:sz w:val="19"/>
          <w:szCs w:val="19"/>
          <w:lang w:eastAsia="pt-BR"/>
          <w14:ligatures w14:val="none"/>
        </w:rPr>
        <w:t>proibição</w:t>
      </w:r>
      <w:proofErr w:type="gramEnd"/>
      <w:r w:rsidRPr="004B6681">
        <w:rPr>
          <w:rFonts w:ascii="Book Antiqua" w:eastAsia="Times New Roman" w:hAnsi="Book Antiqua" w:cs="Arial"/>
          <w:b/>
          <w:bCs/>
          <w:color w:val="000000"/>
          <w:kern w:val="0"/>
          <w:sz w:val="19"/>
          <w:szCs w:val="19"/>
          <w:lang w:eastAsia="pt-BR"/>
          <w14:ligatures w14:val="none"/>
        </w:rPr>
        <w:t xml:space="preserve"> de renúncia, por parte do arrendatário ou do parceiro não-proprietário, de direitos ou vantagens estabelecidas em leis ou regulamentos</w:t>
      </w:r>
      <w:r w:rsidRPr="00E52D83">
        <w:rPr>
          <w:rFonts w:ascii="Book Antiqua" w:eastAsia="Times New Roman" w:hAnsi="Book Antiqua" w:cs="Arial"/>
          <w:color w:val="000000"/>
          <w:kern w:val="0"/>
          <w:sz w:val="18"/>
          <w:szCs w:val="18"/>
          <w:lang w:eastAsia="pt-BR"/>
          <w14:ligatures w14:val="none"/>
        </w:rPr>
        <w:t>;</w:t>
      </w:r>
      <w:r w:rsidR="004B6681" w:rsidRPr="00E52D83">
        <w:rPr>
          <w:rFonts w:ascii="Book Antiqua" w:eastAsia="Times New Roman" w:hAnsi="Book Antiqua" w:cs="Arial"/>
          <w:color w:val="000000"/>
          <w:kern w:val="0"/>
          <w:sz w:val="18"/>
          <w:szCs w:val="18"/>
          <w:lang w:eastAsia="pt-BR"/>
          <w14:ligatures w14:val="none"/>
        </w:rPr>
        <w:t xml:space="preserve"> </w:t>
      </w:r>
      <w:r w:rsidR="004B6681" w:rsidRPr="00E52D83">
        <w:rPr>
          <w:rFonts w:ascii="Book Antiqua" w:eastAsia="Times New Roman" w:hAnsi="Book Antiqua" w:cs="Arial"/>
          <w:b/>
          <w:bCs/>
          <w:color w:val="FF0000"/>
          <w:kern w:val="0"/>
          <w:sz w:val="16"/>
          <w:szCs w:val="16"/>
          <w:u w:val="single"/>
          <w:lang w:eastAsia="pt-BR"/>
          <w14:ligatures w14:val="none"/>
        </w:rPr>
        <w:t>(PGEMT-2016)</w:t>
      </w:r>
    </w:p>
    <w:p w14:paraId="7E3AC5A1" w14:textId="0576C394" w:rsidR="009D278D" w:rsidRPr="00E52D83" w:rsidRDefault="009D278D" w:rsidP="009D278D">
      <w:pPr>
        <w:spacing w:before="100" w:beforeAutospacing="1" w:after="100" w:afterAutospacing="1" w:line="240" w:lineRule="auto"/>
        <w:jc w:val="both"/>
        <w:rPr>
          <w:rFonts w:ascii="Book Antiqua" w:eastAsia="Times New Roman" w:hAnsi="Book Antiqua" w:cs="Times New Roman"/>
          <w:b/>
          <w:bCs/>
          <w:color w:val="000000"/>
          <w:kern w:val="0"/>
          <w:sz w:val="18"/>
          <w:szCs w:val="18"/>
          <w:lang w:eastAsia="pt-BR"/>
          <w14:ligatures w14:val="none"/>
        </w:rPr>
      </w:pPr>
      <w:r w:rsidRPr="004B6681">
        <w:rPr>
          <w:rFonts w:ascii="Book Antiqua" w:eastAsia="Times New Roman" w:hAnsi="Book Antiqua" w:cs="Arial"/>
          <w:b/>
          <w:bCs/>
          <w:color w:val="000000"/>
          <w:kern w:val="0"/>
          <w:sz w:val="19"/>
          <w:szCs w:val="19"/>
          <w:lang w:eastAsia="pt-BR"/>
          <w14:ligatures w14:val="none"/>
        </w:rPr>
        <w:t xml:space="preserve">        V - </w:t>
      </w:r>
      <w:proofErr w:type="gramStart"/>
      <w:r w:rsidRPr="004B6681">
        <w:rPr>
          <w:rFonts w:ascii="Book Antiqua" w:eastAsia="Times New Roman" w:hAnsi="Book Antiqua" w:cs="Arial"/>
          <w:b/>
          <w:bCs/>
          <w:color w:val="000000"/>
          <w:kern w:val="0"/>
          <w:sz w:val="19"/>
          <w:szCs w:val="19"/>
          <w:lang w:eastAsia="pt-BR"/>
          <w14:ligatures w14:val="none"/>
        </w:rPr>
        <w:t>proteção</w:t>
      </w:r>
      <w:proofErr w:type="gramEnd"/>
      <w:r w:rsidRPr="004B6681">
        <w:rPr>
          <w:rFonts w:ascii="Book Antiqua" w:eastAsia="Times New Roman" w:hAnsi="Book Antiqua" w:cs="Arial"/>
          <w:b/>
          <w:bCs/>
          <w:color w:val="000000"/>
          <w:kern w:val="0"/>
          <w:sz w:val="19"/>
          <w:szCs w:val="19"/>
          <w:lang w:eastAsia="pt-BR"/>
          <w14:ligatures w14:val="none"/>
        </w:rPr>
        <w:t xml:space="preserve"> social e econômica aos arrendatários cultivadores diretos e pessoais</w:t>
      </w:r>
      <w:r w:rsidRPr="00E52D83">
        <w:rPr>
          <w:rFonts w:ascii="Book Antiqua" w:eastAsia="Times New Roman" w:hAnsi="Book Antiqua" w:cs="Arial"/>
          <w:b/>
          <w:bCs/>
          <w:color w:val="000000"/>
          <w:kern w:val="0"/>
          <w:sz w:val="18"/>
          <w:szCs w:val="18"/>
          <w:lang w:eastAsia="pt-BR"/>
          <w14:ligatures w14:val="none"/>
        </w:rPr>
        <w:t>.</w:t>
      </w:r>
      <w:r w:rsidR="004B6681" w:rsidRPr="00E52D83">
        <w:rPr>
          <w:rFonts w:ascii="Book Antiqua" w:eastAsia="Times New Roman" w:hAnsi="Book Antiqua" w:cs="Arial"/>
          <w:b/>
          <w:bCs/>
          <w:color w:val="000000"/>
          <w:kern w:val="0"/>
          <w:sz w:val="18"/>
          <w:szCs w:val="18"/>
          <w:lang w:eastAsia="pt-BR"/>
          <w14:ligatures w14:val="none"/>
        </w:rPr>
        <w:t xml:space="preserve"> </w:t>
      </w:r>
      <w:r w:rsidR="004B6681" w:rsidRPr="00E52D83">
        <w:rPr>
          <w:rFonts w:ascii="Book Antiqua" w:eastAsia="Times New Roman" w:hAnsi="Book Antiqua" w:cs="Arial"/>
          <w:b/>
          <w:bCs/>
          <w:color w:val="FF0000"/>
          <w:kern w:val="0"/>
          <w:sz w:val="16"/>
          <w:szCs w:val="16"/>
          <w:u w:val="single"/>
          <w:lang w:eastAsia="pt-BR"/>
          <w14:ligatures w14:val="none"/>
        </w:rPr>
        <w:t>(PGEMT-2016)</w:t>
      </w:r>
    </w:p>
    <w:p w14:paraId="2FBCA089"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 1º - O disposto neste artigo aplicar-se-á a todos os contratos pertinentes ao Direito Agrário e informará a regulamentação do </w:t>
      </w:r>
      <w:hyperlink r:id="rId23" w:anchor="tiiiciv" w:history="1">
        <w:r w:rsidRPr="009D278D">
          <w:rPr>
            <w:rFonts w:ascii="Book Antiqua" w:eastAsia="Times New Roman" w:hAnsi="Book Antiqua" w:cs="Arial"/>
            <w:color w:val="0000FF"/>
            <w:kern w:val="0"/>
            <w:sz w:val="19"/>
            <w:szCs w:val="19"/>
            <w:u w:val="single"/>
            <w:lang w:eastAsia="pt-BR"/>
            <w14:ligatures w14:val="none"/>
          </w:rPr>
          <w:t>Capítulo IV do Título III da Lei nº 4.504, de 30 de novembro de 1964</w:t>
        </w:r>
      </w:hyperlink>
      <w:r w:rsidRPr="009D278D">
        <w:rPr>
          <w:rFonts w:ascii="Book Antiqua" w:eastAsia="Times New Roman" w:hAnsi="Book Antiqua" w:cs="Arial"/>
          <w:color w:val="000000"/>
          <w:kern w:val="0"/>
          <w:sz w:val="19"/>
          <w:szCs w:val="19"/>
          <w:lang w:eastAsia="pt-BR"/>
          <w14:ligatures w14:val="none"/>
        </w:rPr>
        <w:t>.</w:t>
      </w:r>
    </w:p>
    <w:p w14:paraId="726762BC"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 2º - Os órgãos oficiais de assistência técnica e creditícia darão prioridade aos contratos agrários que obedecerem ao disposto neste artigo.</w:t>
      </w:r>
    </w:p>
    <w:p w14:paraId="0343C4A1"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Art. 14 - Fica o IBRA autorizado a permitir, a título precário, nas áreas pioneiras do País, a utilização de terras públicas sob qualquer das formas de uso temporário previstas na </w:t>
      </w:r>
      <w:hyperlink r:id="rId24" w:history="1">
        <w:r w:rsidRPr="009D278D">
          <w:rPr>
            <w:rFonts w:ascii="Book Antiqua" w:eastAsia="Times New Roman" w:hAnsi="Book Antiqua" w:cs="Arial"/>
            <w:color w:val="0000FF"/>
            <w:kern w:val="0"/>
            <w:sz w:val="19"/>
            <w:szCs w:val="19"/>
            <w:u w:val="single"/>
            <w:lang w:eastAsia="pt-BR"/>
            <w14:ligatures w14:val="none"/>
          </w:rPr>
          <w:t>Lei n º 4.504, de 30 de novembro de 1964</w:t>
        </w:r>
      </w:hyperlink>
      <w:r w:rsidRPr="009D278D">
        <w:rPr>
          <w:rFonts w:ascii="Book Antiqua" w:eastAsia="Times New Roman" w:hAnsi="Book Antiqua" w:cs="Arial"/>
          <w:color w:val="000000"/>
          <w:kern w:val="0"/>
          <w:sz w:val="19"/>
          <w:szCs w:val="19"/>
          <w:lang w:eastAsia="pt-BR"/>
          <w14:ligatures w14:val="none"/>
        </w:rPr>
        <w:t>, e a promover sua progressiva adaptação às normas estabelecidas na referida Lei.</w:t>
      </w:r>
    </w:p>
    <w:p w14:paraId="59DB118E"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Art. 15 - O </w:t>
      </w:r>
      <w:hyperlink r:id="rId25" w:anchor="art95iii" w:history="1">
        <w:r w:rsidRPr="009D278D">
          <w:rPr>
            <w:rFonts w:ascii="Book Antiqua" w:eastAsia="Times New Roman" w:hAnsi="Book Antiqua" w:cs="Arial"/>
            <w:color w:val="0000FF"/>
            <w:kern w:val="0"/>
            <w:sz w:val="19"/>
            <w:szCs w:val="19"/>
            <w:u w:val="single"/>
            <w:lang w:eastAsia="pt-BR"/>
            <w14:ligatures w14:val="none"/>
          </w:rPr>
          <w:t>inciso III do art. 95 da Lei n º 4.504, de 30 de novembro de 1964</w:t>
        </w:r>
      </w:hyperlink>
      <w:r w:rsidRPr="009D278D">
        <w:rPr>
          <w:rFonts w:ascii="Book Antiqua" w:eastAsia="Times New Roman" w:hAnsi="Book Antiqua" w:cs="Arial"/>
          <w:color w:val="000000"/>
          <w:kern w:val="0"/>
          <w:sz w:val="19"/>
          <w:szCs w:val="19"/>
          <w:lang w:eastAsia="pt-BR"/>
          <w14:ligatures w14:val="none"/>
        </w:rPr>
        <w:t>, passa a ter a seguinte redação:</w:t>
      </w:r>
    </w:p>
    <w:p w14:paraId="443D4FDA"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III - o arrendatário, para iniciar qualquer cultura cujos frutos não possam ser recolhidos antes de terminado o prazo de arrendamento, deverá ajustar, previamente, com o locador, a forma de pagamento do uso da terra por esse prazo excedente."</w:t>
      </w:r>
    </w:p>
    <w:p w14:paraId="7F2D31D0"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CAPÍTULO IV - Do Sistema de Organização e Funcionamento do IBRA</w:t>
      </w:r>
    </w:p>
    <w:p w14:paraId="03DCEDAE"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Art. 16 - A Diretoria do IBRA, além das atribuições que lhe são conferidas pela </w:t>
      </w:r>
      <w:hyperlink r:id="rId26" w:history="1">
        <w:r w:rsidRPr="009D278D">
          <w:rPr>
            <w:rFonts w:ascii="Book Antiqua" w:eastAsia="Times New Roman" w:hAnsi="Book Antiqua" w:cs="Arial"/>
            <w:color w:val="0000FF"/>
            <w:kern w:val="0"/>
            <w:sz w:val="19"/>
            <w:szCs w:val="19"/>
            <w:u w:val="single"/>
            <w:lang w:eastAsia="pt-BR"/>
            <w14:ligatures w14:val="none"/>
          </w:rPr>
          <w:t>Lei número 4.504, de 30 de novembro de 1964</w:t>
        </w:r>
      </w:hyperlink>
      <w:r w:rsidRPr="009D278D">
        <w:rPr>
          <w:rFonts w:ascii="Book Antiqua" w:eastAsia="Times New Roman" w:hAnsi="Book Antiqua" w:cs="Arial"/>
          <w:color w:val="000000"/>
          <w:kern w:val="0"/>
          <w:sz w:val="19"/>
          <w:szCs w:val="19"/>
          <w:lang w:eastAsia="pt-BR"/>
          <w14:ligatures w14:val="none"/>
        </w:rPr>
        <w:t>, e atos complementares, para exercício da autonomia administrativa e financeira assegurada ao Instituto, terá ainda, em caráter exclusivo e privativo, nos assuntos de administração geral, competências idênticas às conferidas ao Conselho de Administração do Banco Nacional do Desenvolvimento Econômico, estabelecidas na </w:t>
      </w:r>
      <w:hyperlink r:id="rId27" w:anchor="art13c" w:history="1">
        <w:r w:rsidRPr="009D278D">
          <w:rPr>
            <w:rFonts w:ascii="Book Antiqua" w:eastAsia="Times New Roman" w:hAnsi="Book Antiqua" w:cs="Arial"/>
            <w:color w:val="0000FF"/>
            <w:kern w:val="0"/>
            <w:sz w:val="19"/>
            <w:szCs w:val="19"/>
            <w:u w:val="single"/>
            <w:lang w:eastAsia="pt-BR"/>
            <w14:ligatures w14:val="none"/>
          </w:rPr>
          <w:t>alínea c do art. 13 da Lei n º 1.628, de 20 de junho de 1952</w:t>
        </w:r>
      </w:hyperlink>
      <w:r w:rsidRPr="009D278D">
        <w:rPr>
          <w:rFonts w:ascii="Book Antiqua" w:eastAsia="Times New Roman" w:hAnsi="Book Antiqua" w:cs="Arial"/>
          <w:color w:val="000000"/>
          <w:kern w:val="0"/>
          <w:sz w:val="19"/>
          <w:szCs w:val="19"/>
          <w:lang w:eastAsia="pt-BR"/>
          <w14:ligatures w14:val="none"/>
        </w:rPr>
        <w:t>; no </w:t>
      </w:r>
      <w:hyperlink r:id="rId28" w:anchor="art23" w:history="1">
        <w:r w:rsidRPr="009D278D">
          <w:rPr>
            <w:rFonts w:ascii="Book Antiqua" w:eastAsia="Times New Roman" w:hAnsi="Book Antiqua" w:cs="Arial"/>
            <w:color w:val="0000FF"/>
            <w:kern w:val="0"/>
            <w:sz w:val="19"/>
            <w:szCs w:val="19"/>
            <w:u w:val="single"/>
            <w:lang w:eastAsia="pt-BR"/>
            <w14:ligatures w14:val="none"/>
          </w:rPr>
          <w:t>art. 23 da Lei n º 2.973, de 26 de novembro de 1956</w:t>
        </w:r>
      </w:hyperlink>
      <w:r w:rsidRPr="009D278D">
        <w:rPr>
          <w:rFonts w:ascii="Book Antiqua" w:eastAsia="Times New Roman" w:hAnsi="Book Antiqua" w:cs="Arial"/>
          <w:color w:val="000000"/>
          <w:kern w:val="0"/>
          <w:sz w:val="19"/>
          <w:szCs w:val="19"/>
          <w:lang w:eastAsia="pt-BR"/>
          <w14:ligatures w14:val="none"/>
        </w:rPr>
        <w:t>; e na forma do disposto no </w:t>
      </w:r>
      <w:hyperlink r:id="rId29" w:anchor="art32" w:history="1">
        <w:r w:rsidRPr="009D278D">
          <w:rPr>
            <w:rFonts w:ascii="Book Antiqua" w:eastAsia="Times New Roman" w:hAnsi="Book Antiqua" w:cs="Arial"/>
            <w:color w:val="0000FF"/>
            <w:kern w:val="0"/>
            <w:sz w:val="19"/>
            <w:szCs w:val="19"/>
            <w:u w:val="single"/>
            <w:lang w:eastAsia="pt-BR"/>
            <w14:ligatures w14:val="none"/>
          </w:rPr>
          <w:t>art. 32 da Lei nº 4.863, de 29 de novembro de 1965</w:t>
        </w:r>
      </w:hyperlink>
      <w:r w:rsidRPr="009D278D">
        <w:rPr>
          <w:rFonts w:ascii="Book Antiqua" w:eastAsia="Times New Roman" w:hAnsi="Book Antiqua" w:cs="Arial"/>
          <w:color w:val="000000"/>
          <w:kern w:val="0"/>
          <w:sz w:val="19"/>
          <w:szCs w:val="19"/>
          <w:lang w:eastAsia="pt-BR"/>
          <w14:ligatures w14:val="none"/>
        </w:rPr>
        <w:t>.</w:t>
      </w:r>
    </w:p>
    <w:p w14:paraId="4D96DC17"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 1º - Cabe ao Secretário-Executivo do IBRA atribuição idêntica à conferida ao Diretor-Superintendente do Banco Nacional de Desenvolvimento Econômico pela </w:t>
      </w:r>
      <w:hyperlink r:id="rId30" w:anchor="art13a" w:history="1">
        <w:r w:rsidRPr="009D278D">
          <w:rPr>
            <w:rFonts w:ascii="Book Antiqua" w:eastAsia="Times New Roman" w:hAnsi="Book Antiqua" w:cs="Arial"/>
            <w:color w:val="0000FF"/>
            <w:kern w:val="0"/>
            <w:sz w:val="19"/>
            <w:szCs w:val="19"/>
            <w:u w:val="single"/>
            <w:lang w:eastAsia="pt-BR"/>
            <w14:ligatures w14:val="none"/>
          </w:rPr>
          <w:t>alínea a do art. 13, da Lei nº 1.628, de 20 de junho de 1952</w:t>
        </w:r>
      </w:hyperlink>
      <w:r w:rsidRPr="009D278D">
        <w:rPr>
          <w:rFonts w:ascii="Book Antiqua" w:eastAsia="Times New Roman" w:hAnsi="Book Antiqua" w:cs="Arial"/>
          <w:color w:val="000000"/>
          <w:kern w:val="0"/>
          <w:sz w:val="19"/>
          <w:szCs w:val="19"/>
          <w:lang w:eastAsia="pt-BR"/>
          <w14:ligatures w14:val="none"/>
        </w:rPr>
        <w:t>.</w:t>
      </w:r>
    </w:p>
    <w:p w14:paraId="2F863AD1"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 2º - Para execução de serviços de caráter transitório ou eventual, pagos mediante recibo, ou cuja vinculação de emprego seja regida pela Consolidação das Leis do Trabalho, as tabelas de remuneração e a relação quantitativa do pessoal serão fixadas em cada caso, nos atos que autorizarem aquela execução.</w:t>
      </w:r>
    </w:p>
    <w:p w14:paraId="4B8B434F"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 3º - Os funcionários optantes da extinta SUPRA serão readaptados, após cursos de treinamento e de capacitação que os habilitem ao exercício de suas novas funções nos quadros do IBRA, respeitada a situação jurídica de cada qual.</w:t>
      </w:r>
    </w:p>
    <w:p w14:paraId="38A2104E"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Art. 17 - Fica o IBRA autorizado a promover a criação, organização, incorporação, fusão e aquisição de sociedade de economia mista, para execução de empreendimentos e serviços de natureza agroindustrial ou comercial que se enquadrem nos objetivos da Reforma Agrária ou da Política Agrícola a seu cargo, e, especialmente, que visem à execução de projetos dos Planos Nacional e Regionais de Reforma Agrária.</w:t>
      </w:r>
    </w:p>
    <w:p w14:paraId="3C585BAD" w14:textId="77777777" w:rsidR="009D278D" w:rsidRPr="009D278D" w:rsidRDefault="009D278D" w:rsidP="009D278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CAPÍTULO V - Disposições Gerais</w:t>
      </w:r>
    </w:p>
    <w:p w14:paraId="24C1BF6F"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Art. 18 - Será cometida aos Governos dos Estados, dos Territórios Federais, dos Municípios e do Distrito Federal, mediante convênios firmados na forma dos </w:t>
      </w:r>
      <w:hyperlink r:id="rId31" w:anchor="art6" w:history="1">
        <w:r w:rsidRPr="009D278D">
          <w:rPr>
            <w:rFonts w:ascii="Book Antiqua" w:eastAsia="Times New Roman" w:hAnsi="Book Antiqua" w:cs="Arial"/>
            <w:color w:val="0000FF"/>
            <w:kern w:val="0"/>
            <w:sz w:val="19"/>
            <w:szCs w:val="19"/>
            <w:u w:val="single"/>
            <w:lang w:eastAsia="pt-BR"/>
            <w14:ligatures w14:val="none"/>
          </w:rPr>
          <w:t>artigos 6º</w:t>
        </w:r>
      </w:hyperlink>
      <w:r w:rsidRPr="009D278D">
        <w:rPr>
          <w:rFonts w:ascii="Book Antiqua" w:eastAsia="Times New Roman" w:hAnsi="Book Antiqua" w:cs="Arial"/>
          <w:color w:val="000000"/>
          <w:kern w:val="0"/>
          <w:sz w:val="19"/>
          <w:szCs w:val="19"/>
          <w:lang w:eastAsia="pt-BR"/>
          <w14:ligatures w14:val="none"/>
        </w:rPr>
        <w:t>, </w:t>
      </w:r>
      <w:hyperlink r:id="rId32" w:anchor="art8" w:history="1">
        <w:r w:rsidRPr="009D278D">
          <w:rPr>
            <w:rFonts w:ascii="Book Antiqua" w:eastAsia="Times New Roman" w:hAnsi="Book Antiqua" w:cs="Arial"/>
            <w:color w:val="0000FF"/>
            <w:kern w:val="0"/>
            <w:sz w:val="19"/>
            <w:szCs w:val="19"/>
            <w:u w:val="single"/>
            <w:lang w:eastAsia="pt-BR"/>
            <w14:ligatures w14:val="none"/>
          </w:rPr>
          <w:t>7º</w:t>
        </w:r>
      </w:hyperlink>
      <w:r w:rsidRPr="009D278D">
        <w:rPr>
          <w:rFonts w:ascii="Book Antiqua" w:eastAsia="Times New Roman" w:hAnsi="Book Antiqua" w:cs="Arial"/>
          <w:color w:val="000000"/>
          <w:kern w:val="0"/>
          <w:sz w:val="19"/>
          <w:szCs w:val="19"/>
          <w:lang w:eastAsia="pt-BR"/>
          <w14:ligatures w14:val="none"/>
        </w:rPr>
        <w:t> e </w:t>
      </w:r>
      <w:hyperlink r:id="rId33" w:anchor="art8" w:history="1">
        <w:r w:rsidRPr="009D278D">
          <w:rPr>
            <w:rFonts w:ascii="Book Antiqua" w:eastAsia="Times New Roman" w:hAnsi="Book Antiqua" w:cs="Arial"/>
            <w:color w:val="0000FF"/>
            <w:kern w:val="0"/>
            <w:sz w:val="19"/>
            <w:szCs w:val="19"/>
            <w:u w:val="single"/>
            <w:lang w:eastAsia="pt-BR"/>
            <w14:ligatures w14:val="none"/>
          </w:rPr>
          <w:t>8º da Lei nº 4.504, de 30 de novembro de 1964</w:t>
        </w:r>
      </w:hyperlink>
      <w:r w:rsidRPr="009D278D">
        <w:rPr>
          <w:rFonts w:ascii="Book Antiqua" w:eastAsia="Times New Roman" w:hAnsi="Book Antiqua" w:cs="Arial"/>
          <w:color w:val="000000"/>
          <w:kern w:val="0"/>
          <w:sz w:val="19"/>
          <w:szCs w:val="19"/>
          <w:lang w:eastAsia="pt-BR"/>
          <w14:ligatures w14:val="none"/>
        </w:rPr>
        <w:t xml:space="preserve">, a responsabilidade da execução, em colaboração com o IBRA, dentro dos respectivos limites territoriais, de tarefas que visem à implantação da Reforma Agrária, bem como à </w:t>
      </w:r>
      <w:r w:rsidRPr="009D278D">
        <w:rPr>
          <w:rFonts w:ascii="Book Antiqua" w:eastAsia="Times New Roman" w:hAnsi="Book Antiqua" w:cs="Arial"/>
          <w:color w:val="000000"/>
          <w:kern w:val="0"/>
          <w:sz w:val="19"/>
          <w:szCs w:val="19"/>
          <w:lang w:eastAsia="pt-BR"/>
          <w14:ligatures w14:val="none"/>
        </w:rPr>
        <w:lastRenderedPageBreak/>
        <w:t>fiscalização do cumprimento das instruções e outros atos normativos baixados para consecução daquele objetivo.</w:t>
      </w:r>
    </w:p>
    <w:p w14:paraId="37D9D905"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Parágrafo único. A celebração e o cumprimento dos convênios podem constituir condição para a concessão de      assistência técnica e financeira por parte do Governo Federal.</w:t>
      </w:r>
    </w:p>
    <w:p w14:paraId="3B676A89"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Art. 19 - Utilizar, como prova de propriedade ou de direitos a ela relativos, documento expedido pelo IBRA para fins cadastrais ou tributários, em prejuízo de outrem ou em proveito próprio ou alheio:</w:t>
      </w:r>
    </w:p>
    <w:p w14:paraId="096EDBD2"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Pena: Reclusão de 2 a 6 anos.</w:t>
      </w:r>
    </w:p>
    <w:p w14:paraId="7CF3B6CA"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Parágrafo único. Se o agente é funcionário público e comete o crime prevalecendo-se do cargo, aumenta-se a pena de sexta parte.</w:t>
      </w:r>
    </w:p>
    <w:p w14:paraId="2CB869BB"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Art. 20 - Invadir, com intenção de ocupá-las, terras da União, dos Estados e dos Municípios:</w:t>
      </w:r>
    </w:p>
    <w:p w14:paraId="39BCF8A3"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Pena: Detenção de 6 meses a 3 anos.</w:t>
      </w:r>
    </w:p>
    <w:p w14:paraId="219B468E"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Parágrafo único. Na mesma pena incorre quem, com idêntico propósito, invadir terras de órgãos ou entidades federais, estaduais ou municipais, destinadas à Reforma Agrária.</w:t>
      </w:r>
    </w:p>
    <w:p w14:paraId="5CEE780C"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Art. 21 - Caberá ao Presidente do Instituto Brasileiro de Reforma Agrária decretar a prisão administrativa dos responsáveis por dinheiros, bens ou valores pertencentes, direta ou indiretamente, ao IBRA, ou que se achem sob sua guarda.</w:t>
      </w:r>
    </w:p>
    <w:p w14:paraId="4380429F" w14:textId="2469D129"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xml:space="preserve">        </w:t>
      </w:r>
      <w:r w:rsidRPr="009D278D">
        <w:rPr>
          <w:rFonts w:ascii="Book Antiqua" w:eastAsia="Times New Roman" w:hAnsi="Book Antiqua" w:cs="Arial"/>
          <w:b/>
          <w:bCs/>
          <w:color w:val="000000"/>
          <w:kern w:val="0"/>
          <w:sz w:val="19"/>
          <w:szCs w:val="19"/>
          <w:highlight w:val="magenta"/>
          <w:lang w:eastAsia="pt-BR"/>
          <w14:ligatures w14:val="none"/>
        </w:rPr>
        <w:t>Art. 22</w:t>
      </w:r>
      <w:r>
        <w:rPr>
          <w:rFonts w:ascii="Book Antiqua" w:eastAsia="Times New Roman" w:hAnsi="Book Antiqua" w:cs="Arial"/>
          <w:color w:val="000000"/>
          <w:kern w:val="0"/>
          <w:sz w:val="19"/>
          <w:szCs w:val="19"/>
          <w:lang w:eastAsia="pt-BR"/>
          <w14:ligatures w14:val="none"/>
        </w:rPr>
        <w:t>.</w:t>
      </w:r>
      <w:r w:rsidRPr="009D278D">
        <w:rPr>
          <w:rFonts w:ascii="Book Antiqua" w:eastAsia="Times New Roman" w:hAnsi="Book Antiqua" w:cs="Arial"/>
          <w:color w:val="000000"/>
          <w:kern w:val="0"/>
          <w:sz w:val="19"/>
          <w:szCs w:val="19"/>
          <w:lang w:eastAsia="pt-BR"/>
          <w14:ligatures w14:val="none"/>
        </w:rPr>
        <w:t xml:space="preserve"> A partir de 1º de janeiro de 1967, somente mediante apresentação do Certificado de Cadastro, expedido pelo IBRA e previsto na </w:t>
      </w:r>
      <w:hyperlink r:id="rId34" w:history="1">
        <w:r w:rsidRPr="009D278D">
          <w:rPr>
            <w:rFonts w:ascii="Book Antiqua" w:eastAsia="Times New Roman" w:hAnsi="Book Antiqua" w:cs="Arial"/>
            <w:color w:val="0000FF"/>
            <w:kern w:val="0"/>
            <w:sz w:val="19"/>
            <w:szCs w:val="19"/>
            <w:u w:val="single"/>
            <w:lang w:eastAsia="pt-BR"/>
            <w14:ligatures w14:val="none"/>
          </w:rPr>
          <w:t>Lei n º 4.504, de 30 de novembro de 1964</w:t>
        </w:r>
      </w:hyperlink>
      <w:r w:rsidRPr="009D278D">
        <w:rPr>
          <w:rFonts w:ascii="Book Antiqua" w:eastAsia="Times New Roman" w:hAnsi="Book Antiqua" w:cs="Arial"/>
          <w:color w:val="000000"/>
          <w:kern w:val="0"/>
          <w:sz w:val="19"/>
          <w:szCs w:val="19"/>
          <w:lang w:eastAsia="pt-BR"/>
          <w14:ligatures w14:val="none"/>
        </w:rPr>
        <w:t>, poderá o proprietário de qualquer imóvel rural pleitear as facilidades proporcionadas pelos órgãos federais de administração centralizada ou descentralizada, ou por empresas de economia mista de que a União possua a maioria das ações, e, bem assim, obter inscrição, aprovação e registro de projetos de colonização particular, no IBRA ou no INDA, ou aprovação de projetos de loteamento.</w:t>
      </w:r>
    </w:p>
    <w:p w14:paraId="2A889492" w14:textId="2FBC375C" w:rsidR="009D278D" w:rsidRPr="00E52D83"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8"/>
          <w:szCs w:val="18"/>
          <w:lang w:eastAsia="pt-BR"/>
          <w14:ligatures w14:val="none"/>
        </w:rPr>
      </w:pPr>
      <w:r w:rsidRPr="009D278D">
        <w:rPr>
          <w:rFonts w:ascii="Book Antiqua" w:eastAsia="Times New Roman" w:hAnsi="Book Antiqua" w:cs="Arial"/>
          <w:b/>
          <w:bCs/>
          <w:color w:val="000000"/>
          <w:kern w:val="0"/>
          <w:sz w:val="19"/>
          <w:szCs w:val="19"/>
          <w:lang w:eastAsia="pt-BR"/>
          <w14:ligatures w14:val="none"/>
        </w:rPr>
        <w:t xml:space="preserve">        </w:t>
      </w:r>
      <w:r w:rsidRPr="009D278D">
        <w:rPr>
          <w:rFonts w:ascii="Book Antiqua" w:eastAsia="Times New Roman" w:hAnsi="Book Antiqua" w:cs="Arial"/>
          <w:b/>
          <w:bCs/>
          <w:color w:val="000000"/>
          <w:kern w:val="0"/>
          <w:sz w:val="19"/>
          <w:szCs w:val="19"/>
          <w:highlight w:val="magenta"/>
          <w:lang w:eastAsia="pt-BR"/>
          <w14:ligatures w14:val="none"/>
        </w:rPr>
        <w:t>§ 1º</w:t>
      </w:r>
      <w:r w:rsidRPr="009D278D">
        <w:rPr>
          <w:rFonts w:ascii="Book Antiqua" w:eastAsia="Times New Roman" w:hAnsi="Book Antiqua" w:cs="Arial"/>
          <w:b/>
          <w:bCs/>
          <w:color w:val="000000"/>
          <w:kern w:val="0"/>
          <w:sz w:val="19"/>
          <w:szCs w:val="19"/>
          <w:lang w:eastAsia="pt-BR"/>
          <w14:ligatures w14:val="none"/>
        </w:rPr>
        <w:t xml:space="preserve"> - Sem apresentação do Certificado de Cadastro, não poderão os proprietários, a partir da data a que se refere este artigo, sob pena de nulidade, desmembrar, arrendar, hipotecar, vender ou prometer em venda imóveis rurais</w:t>
      </w:r>
      <w:r w:rsidRPr="00E52D83">
        <w:rPr>
          <w:rFonts w:ascii="Book Antiqua" w:eastAsia="Times New Roman" w:hAnsi="Book Antiqua" w:cs="Arial"/>
          <w:color w:val="000000"/>
          <w:kern w:val="0"/>
          <w:sz w:val="18"/>
          <w:szCs w:val="18"/>
          <w:lang w:eastAsia="pt-BR"/>
          <w14:ligatures w14:val="none"/>
        </w:rPr>
        <w:t xml:space="preserve">. </w:t>
      </w:r>
      <w:r w:rsidRPr="00E52D83">
        <w:rPr>
          <w:rFonts w:ascii="Book Antiqua" w:hAnsi="Book Antiqua"/>
          <w:b/>
          <w:bCs/>
          <w:color w:val="FF0000"/>
          <w:sz w:val="16"/>
          <w:szCs w:val="16"/>
          <w:u w:val="single"/>
        </w:rPr>
        <w:t>(Cartórios/TJSC-2021)</w:t>
      </w:r>
    </w:p>
    <w:p w14:paraId="54B87177"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 2º - Em caso de sucessão causa mortis nenhuma partilha, amigável ou judicial, poderá ser homologada pela autoridade competente, sem a apresentação do Certificado de Cadastro, a partir da data referida neste artigo.</w:t>
      </w:r>
    </w:p>
    <w:p w14:paraId="42E5C68F" w14:textId="24937A9A" w:rsidR="009D278D" w:rsidRPr="00E52D83"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6"/>
          <w:szCs w:val="16"/>
          <w:u w:val="single"/>
          <w:lang w:eastAsia="pt-BR"/>
          <w14:ligatures w14:val="none"/>
        </w:rPr>
      </w:pPr>
      <w:r w:rsidRPr="009D278D">
        <w:rPr>
          <w:rFonts w:ascii="Book Antiqua" w:eastAsia="Times New Roman" w:hAnsi="Book Antiqua" w:cs="Arial"/>
          <w:color w:val="000000"/>
          <w:kern w:val="0"/>
          <w:sz w:val="19"/>
          <w:szCs w:val="19"/>
          <w:lang w:eastAsia="pt-BR"/>
          <w14:ligatures w14:val="none"/>
        </w:rPr>
        <w:t xml:space="preserve">        </w:t>
      </w:r>
      <w:r w:rsidRPr="009D278D">
        <w:rPr>
          <w:rFonts w:ascii="Book Antiqua" w:eastAsia="Times New Roman" w:hAnsi="Book Antiqua" w:cs="Arial"/>
          <w:b/>
          <w:bCs/>
          <w:color w:val="000000"/>
          <w:kern w:val="0"/>
          <w:sz w:val="19"/>
          <w:szCs w:val="19"/>
          <w:highlight w:val="magenta"/>
          <w:lang w:eastAsia="pt-BR"/>
          <w14:ligatures w14:val="none"/>
        </w:rPr>
        <w:t>§ 3</w:t>
      </w:r>
      <w:r w:rsidRPr="009D278D">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9D278D">
        <w:rPr>
          <w:rFonts w:ascii="Book Antiqua" w:eastAsia="Times New Roman" w:hAnsi="Book Antiqua" w:cs="Arial"/>
          <w:b/>
          <w:bCs/>
          <w:color w:val="000000"/>
          <w:kern w:val="0"/>
          <w:sz w:val="19"/>
          <w:szCs w:val="19"/>
          <w:lang w:eastAsia="pt-BR"/>
          <w14:ligatures w14:val="none"/>
        </w:rPr>
        <w:t> A apresentação do Certificado de Cadastro de Imóvel Rural – CCIR, exigida no </w:t>
      </w:r>
      <w:r w:rsidRPr="009D278D">
        <w:rPr>
          <w:rFonts w:ascii="Book Antiqua" w:eastAsia="Times New Roman" w:hAnsi="Book Antiqua" w:cs="Arial"/>
          <w:b/>
          <w:bCs/>
          <w:i/>
          <w:iCs/>
          <w:color w:val="000000"/>
          <w:kern w:val="0"/>
          <w:sz w:val="19"/>
          <w:szCs w:val="19"/>
          <w:lang w:eastAsia="pt-BR"/>
          <w14:ligatures w14:val="none"/>
        </w:rPr>
        <w:t>caput</w:t>
      </w:r>
      <w:r w:rsidRPr="009D278D">
        <w:rPr>
          <w:rFonts w:ascii="Book Antiqua" w:eastAsia="Times New Roman" w:hAnsi="Book Antiqua" w:cs="Arial"/>
          <w:b/>
          <w:bCs/>
          <w:color w:val="000000"/>
          <w:kern w:val="0"/>
          <w:sz w:val="19"/>
          <w:szCs w:val="19"/>
          <w:lang w:eastAsia="pt-BR"/>
          <w14:ligatures w14:val="none"/>
        </w:rPr>
        <w:t> deste artigo e nos §§ 1</w:t>
      </w:r>
      <w:r w:rsidRPr="009D278D">
        <w:rPr>
          <w:rFonts w:ascii="Book Antiqua" w:eastAsia="Times New Roman" w:hAnsi="Book Antiqua" w:cs="Arial"/>
          <w:b/>
          <w:bCs/>
          <w:color w:val="000000"/>
          <w:kern w:val="0"/>
          <w:sz w:val="19"/>
          <w:szCs w:val="19"/>
          <w:u w:val="single"/>
          <w:vertAlign w:val="superscript"/>
          <w:lang w:eastAsia="pt-BR"/>
          <w14:ligatures w14:val="none"/>
        </w:rPr>
        <w:t>o</w:t>
      </w:r>
      <w:r w:rsidRPr="009D278D">
        <w:rPr>
          <w:rFonts w:ascii="Book Antiqua" w:eastAsia="Times New Roman" w:hAnsi="Book Antiqua" w:cs="Arial"/>
          <w:b/>
          <w:bCs/>
          <w:color w:val="000000"/>
          <w:kern w:val="0"/>
          <w:sz w:val="19"/>
          <w:szCs w:val="19"/>
          <w:lang w:eastAsia="pt-BR"/>
          <w14:ligatures w14:val="none"/>
        </w:rPr>
        <w:t> e 2</w:t>
      </w:r>
      <w:r w:rsidRPr="009D278D">
        <w:rPr>
          <w:rFonts w:ascii="Book Antiqua" w:eastAsia="Times New Roman" w:hAnsi="Book Antiqua" w:cs="Arial"/>
          <w:b/>
          <w:bCs/>
          <w:color w:val="000000"/>
          <w:kern w:val="0"/>
          <w:sz w:val="19"/>
          <w:szCs w:val="19"/>
          <w:u w:val="single"/>
          <w:vertAlign w:val="superscript"/>
          <w:lang w:eastAsia="pt-BR"/>
          <w14:ligatures w14:val="none"/>
        </w:rPr>
        <w:t>o</w:t>
      </w:r>
      <w:r w:rsidRPr="009D278D">
        <w:rPr>
          <w:rFonts w:ascii="Book Antiqua" w:eastAsia="Times New Roman" w:hAnsi="Book Antiqua" w:cs="Arial"/>
          <w:b/>
          <w:bCs/>
          <w:color w:val="000000"/>
          <w:kern w:val="0"/>
          <w:sz w:val="19"/>
          <w:szCs w:val="19"/>
          <w:lang w:eastAsia="pt-BR"/>
          <w14:ligatures w14:val="none"/>
        </w:rPr>
        <w:t xml:space="preserve">, </w:t>
      </w:r>
      <w:r w:rsidRPr="009D278D">
        <w:rPr>
          <w:rFonts w:ascii="Book Antiqua" w:eastAsia="Times New Roman" w:hAnsi="Book Antiqua" w:cs="Arial"/>
          <w:b/>
          <w:bCs/>
          <w:color w:val="000000"/>
          <w:kern w:val="0"/>
          <w:sz w:val="19"/>
          <w:szCs w:val="19"/>
          <w:highlight w:val="yellow"/>
          <w:lang w:eastAsia="pt-BR"/>
          <w14:ligatures w14:val="none"/>
        </w:rPr>
        <w:t>far-se-á, sempre, acompanhada da prova de quitação do Imposto sobre a Propriedade Territorial Rural – ITR</w:t>
      </w:r>
      <w:r w:rsidRPr="009D278D">
        <w:rPr>
          <w:rFonts w:ascii="Book Antiqua" w:eastAsia="Times New Roman" w:hAnsi="Book Antiqua" w:cs="Arial"/>
          <w:b/>
          <w:bCs/>
          <w:color w:val="000000"/>
          <w:kern w:val="0"/>
          <w:sz w:val="19"/>
          <w:szCs w:val="19"/>
          <w:lang w:eastAsia="pt-BR"/>
          <w14:ligatures w14:val="none"/>
        </w:rPr>
        <w:t>, correspondente aos últimos cinco exercícios, ressalvados os casos de inexigibilidade e dispensa previstos no</w:t>
      </w:r>
      <w:hyperlink r:id="rId35" w:anchor="art20" w:history="1">
        <w:r w:rsidRPr="009D278D">
          <w:rPr>
            <w:rFonts w:ascii="Book Antiqua" w:eastAsia="Times New Roman" w:hAnsi="Book Antiqua" w:cs="Arial"/>
            <w:b/>
            <w:bCs/>
            <w:color w:val="0000FF"/>
            <w:kern w:val="0"/>
            <w:sz w:val="19"/>
            <w:szCs w:val="19"/>
            <w:u w:val="single"/>
            <w:lang w:eastAsia="pt-BR"/>
            <w14:ligatures w14:val="none"/>
          </w:rPr>
          <w:t> art. 20 da Lei n</w:t>
        </w:r>
        <w:r w:rsidRPr="009D278D">
          <w:rPr>
            <w:rFonts w:ascii="Book Antiqua" w:eastAsia="Times New Roman" w:hAnsi="Book Antiqua" w:cs="Arial"/>
            <w:b/>
            <w:bCs/>
            <w:color w:val="0000FF"/>
            <w:kern w:val="0"/>
            <w:sz w:val="19"/>
            <w:szCs w:val="19"/>
            <w:u w:val="single"/>
            <w:vertAlign w:val="superscript"/>
            <w:lang w:eastAsia="pt-BR"/>
            <w14:ligatures w14:val="none"/>
          </w:rPr>
          <w:t>o</w:t>
        </w:r>
        <w:r w:rsidRPr="009D278D">
          <w:rPr>
            <w:rFonts w:ascii="Book Antiqua" w:eastAsia="Times New Roman" w:hAnsi="Book Antiqua" w:cs="Arial"/>
            <w:b/>
            <w:bCs/>
            <w:color w:val="0000FF"/>
            <w:kern w:val="0"/>
            <w:sz w:val="19"/>
            <w:szCs w:val="19"/>
            <w:u w:val="single"/>
            <w:lang w:eastAsia="pt-BR"/>
            <w14:ligatures w14:val="none"/>
          </w:rPr>
          <w:t> 9.393, de 19 de dezembro de 1996</w:t>
        </w:r>
      </w:hyperlink>
      <w:r w:rsidRPr="009D278D">
        <w:rPr>
          <w:rFonts w:ascii="Book Antiqua" w:eastAsia="Times New Roman" w:hAnsi="Book Antiqua" w:cs="Arial"/>
          <w:color w:val="000000"/>
          <w:kern w:val="0"/>
          <w:sz w:val="18"/>
          <w:szCs w:val="18"/>
          <w:lang w:eastAsia="pt-BR"/>
          <w14:ligatures w14:val="none"/>
        </w:rPr>
        <w:t>.</w:t>
      </w:r>
      <w:r w:rsidR="00E52D83">
        <w:rPr>
          <w:rFonts w:ascii="Book Antiqua" w:eastAsia="Times New Roman" w:hAnsi="Book Antiqua" w:cs="Arial"/>
          <w:color w:val="000000"/>
          <w:kern w:val="0"/>
          <w:sz w:val="18"/>
          <w:szCs w:val="18"/>
          <w:lang w:eastAsia="pt-BR"/>
          <w14:ligatures w14:val="none"/>
        </w:rPr>
        <w:t xml:space="preserve"> </w:t>
      </w:r>
      <w:hyperlink r:id="rId36" w:history="1">
        <w:r w:rsidRPr="00E52D83">
          <w:rPr>
            <w:rFonts w:ascii="Book Antiqua" w:eastAsia="Times New Roman" w:hAnsi="Book Antiqua" w:cs="Arial"/>
            <w:color w:val="0000FF"/>
            <w:kern w:val="0"/>
            <w:sz w:val="16"/>
            <w:szCs w:val="16"/>
            <w:u w:val="single"/>
            <w:lang w:eastAsia="pt-BR"/>
            <w14:ligatures w14:val="none"/>
          </w:rPr>
          <w:t>(Redação dada pela Lei nº 10.267, de 28.8.2001)</w:t>
        </w:r>
      </w:hyperlink>
      <w:r w:rsidRPr="00E52D83">
        <w:rPr>
          <w:rFonts w:ascii="Book Antiqua" w:eastAsia="Times New Roman" w:hAnsi="Book Antiqua" w:cs="Arial"/>
          <w:color w:val="000000"/>
          <w:kern w:val="0"/>
          <w:sz w:val="16"/>
          <w:szCs w:val="16"/>
          <w:lang w:eastAsia="pt-BR"/>
          <w14:ligatures w14:val="none"/>
        </w:rPr>
        <w:t xml:space="preserve"> </w:t>
      </w:r>
      <w:r w:rsidRPr="00E52D83">
        <w:rPr>
          <w:rFonts w:ascii="Book Antiqua" w:hAnsi="Book Antiqua"/>
          <w:b/>
          <w:bCs/>
          <w:color w:val="FF0000"/>
          <w:sz w:val="16"/>
          <w:szCs w:val="16"/>
          <w:u w:val="single"/>
        </w:rPr>
        <w:t>(Cartórios/TJSC-2021)</w:t>
      </w:r>
    </w:p>
    <w:p w14:paraId="03FF3E1C" w14:textId="32985773" w:rsidR="009D278D" w:rsidRPr="00E52D83"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6"/>
          <w:szCs w:val="16"/>
          <w:lang w:eastAsia="pt-BR"/>
          <w14:ligatures w14:val="none"/>
        </w:rPr>
      </w:pPr>
      <w:r w:rsidRPr="009D278D">
        <w:rPr>
          <w:rFonts w:ascii="Book Antiqua" w:eastAsia="Times New Roman" w:hAnsi="Book Antiqua" w:cs="Arial"/>
          <w:color w:val="000000"/>
          <w:kern w:val="0"/>
          <w:sz w:val="19"/>
          <w:szCs w:val="19"/>
          <w:lang w:eastAsia="pt-BR"/>
          <w14:ligatures w14:val="none"/>
        </w:rPr>
        <w:t>        § 4</w:t>
      </w:r>
      <w:r w:rsidRPr="009D278D">
        <w:rPr>
          <w:rFonts w:ascii="Book Antiqua" w:eastAsia="Times New Roman" w:hAnsi="Book Antiqua" w:cs="Arial"/>
          <w:color w:val="000000"/>
          <w:kern w:val="0"/>
          <w:sz w:val="19"/>
          <w:szCs w:val="19"/>
          <w:u w:val="single"/>
          <w:vertAlign w:val="superscript"/>
          <w:lang w:eastAsia="pt-BR"/>
          <w14:ligatures w14:val="none"/>
        </w:rPr>
        <w:t>o</w:t>
      </w:r>
      <w:r w:rsidRPr="009D278D">
        <w:rPr>
          <w:rFonts w:ascii="Book Antiqua" w:eastAsia="Times New Roman" w:hAnsi="Book Antiqua" w:cs="Arial"/>
          <w:color w:val="000000"/>
          <w:kern w:val="0"/>
          <w:sz w:val="19"/>
          <w:szCs w:val="19"/>
          <w:lang w:eastAsia="pt-BR"/>
          <w14:ligatures w14:val="none"/>
        </w:rPr>
        <w:t> Dos títulos de domínio destacados do patrimônio público constará obrigatoriamente o número de inscrição do CCIR, nos termos da regulamentação desta Lei</w:t>
      </w:r>
      <w:r w:rsidRPr="00E52D83">
        <w:rPr>
          <w:rFonts w:ascii="Book Antiqua" w:eastAsia="Times New Roman" w:hAnsi="Book Antiqua" w:cs="Arial"/>
          <w:color w:val="000000"/>
          <w:kern w:val="0"/>
          <w:sz w:val="16"/>
          <w:szCs w:val="16"/>
          <w:lang w:eastAsia="pt-BR"/>
          <w14:ligatures w14:val="none"/>
        </w:rPr>
        <w:t>. </w:t>
      </w:r>
      <w:hyperlink r:id="rId37" w:history="1">
        <w:r w:rsidRPr="00E52D83">
          <w:rPr>
            <w:rFonts w:ascii="Book Antiqua" w:eastAsia="Times New Roman" w:hAnsi="Book Antiqua" w:cs="Arial"/>
            <w:color w:val="0000FF"/>
            <w:kern w:val="0"/>
            <w:sz w:val="16"/>
            <w:szCs w:val="16"/>
            <w:u w:val="single"/>
            <w:lang w:eastAsia="pt-BR"/>
            <w14:ligatures w14:val="none"/>
          </w:rPr>
          <w:t>(Parágrafo incluído pela Lei nº 10.267, de 28.8.2001)</w:t>
        </w:r>
      </w:hyperlink>
    </w:p>
    <w:p w14:paraId="71FE69B2" w14:textId="555DD6FB" w:rsidR="009D278D" w:rsidRPr="00E52D83"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6"/>
          <w:szCs w:val="16"/>
          <w:lang w:eastAsia="pt-BR"/>
          <w14:ligatures w14:val="none"/>
        </w:rPr>
      </w:pPr>
      <w:r w:rsidRPr="009D278D">
        <w:rPr>
          <w:rFonts w:ascii="Book Antiqua" w:eastAsia="Times New Roman" w:hAnsi="Book Antiqua" w:cs="Arial"/>
          <w:color w:val="000000"/>
          <w:kern w:val="0"/>
          <w:sz w:val="19"/>
          <w:szCs w:val="19"/>
          <w:lang w:eastAsia="pt-BR"/>
          <w14:ligatures w14:val="none"/>
        </w:rPr>
        <w:t>        § 5</w:t>
      </w:r>
      <w:r w:rsidRPr="009D278D">
        <w:rPr>
          <w:rFonts w:ascii="Book Antiqua" w:eastAsia="Times New Roman" w:hAnsi="Book Antiqua" w:cs="Arial"/>
          <w:color w:val="000000"/>
          <w:kern w:val="0"/>
          <w:sz w:val="19"/>
          <w:szCs w:val="19"/>
          <w:u w:val="single"/>
          <w:vertAlign w:val="superscript"/>
          <w:lang w:eastAsia="pt-BR"/>
          <w14:ligatures w14:val="none"/>
        </w:rPr>
        <w:t>o</w:t>
      </w:r>
      <w:r w:rsidRPr="009D278D">
        <w:rPr>
          <w:rFonts w:ascii="Book Antiqua" w:eastAsia="Times New Roman" w:hAnsi="Book Antiqua" w:cs="Arial"/>
          <w:color w:val="000000"/>
          <w:kern w:val="0"/>
          <w:sz w:val="19"/>
          <w:szCs w:val="19"/>
          <w:lang w:eastAsia="pt-BR"/>
          <w14:ligatures w14:val="none"/>
        </w:rPr>
        <w:t> Nos casos de usucapião, o juiz intimará o INCRA do teor da sentença, para fins de cadastramento do imóvel rural</w:t>
      </w:r>
      <w:r w:rsidRPr="00E52D83">
        <w:rPr>
          <w:rFonts w:ascii="Book Antiqua" w:eastAsia="Times New Roman" w:hAnsi="Book Antiqua" w:cs="Arial"/>
          <w:color w:val="000000"/>
          <w:kern w:val="0"/>
          <w:sz w:val="16"/>
          <w:szCs w:val="16"/>
          <w:lang w:eastAsia="pt-BR"/>
          <w14:ligatures w14:val="none"/>
        </w:rPr>
        <w:t>.  </w:t>
      </w:r>
      <w:hyperlink r:id="rId38" w:history="1">
        <w:r w:rsidRPr="00E52D83">
          <w:rPr>
            <w:rFonts w:ascii="Book Antiqua" w:eastAsia="Times New Roman" w:hAnsi="Book Antiqua" w:cs="Arial"/>
            <w:color w:val="0000FF"/>
            <w:kern w:val="0"/>
            <w:sz w:val="16"/>
            <w:szCs w:val="16"/>
            <w:u w:val="single"/>
            <w:lang w:eastAsia="pt-BR"/>
            <w14:ligatures w14:val="none"/>
          </w:rPr>
          <w:t>(Parágrafo incluído pela Lei nº 10.267, de 28.8.2001)</w:t>
        </w:r>
      </w:hyperlink>
    </w:p>
    <w:p w14:paraId="4829D457" w14:textId="3C7883EA"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8"/>
          <w:szCs w:val="18"/>
          <w:lang w:eastAsia="pt-BR"/>
          <w14:ligatures w14:val="none"/>
        </w:rPr>
      </w:pPr>
      <w:r w:rsidRPr="009D278D">
        <w:rPr>
          <w:rFonts w:ascii="Book Antiqua" w:eastAsia="Times New Roman" w:hAnsi="Book Antiqua" w:cs="Arial"/>
          <w:color w:val="000000"/>
          <w:kern w:val="0"/>
          <w:sz w:val="19"/>
          <w:szCs w:val="19"/>
          <w:lang w:eastAsia="pt-BR"/>
          <w14:ligatures w14:val="none"/>
        </w:rPr>
        <w:t>        </w:t>
      </w:r>
      <w:bookmarkStart w:id="2" w:name="art22§6"/>
      <w:bookmarkEnd w:id="2"/>
      <w:r w:rsidRPr="009D278D">
        <w:rPr>
          <w:rFonts w:ascii="Book Antiqua" w:eastAsia="Times New Roman" w:hAnsi="Book Antiqua" w:cs="Arial"/>
          <w:color w:val="000000"/>
          <w:kern w:val="0"/>
          <w:sz w:val="19"/>
          <w:szCs w:val="19"/>
          <w:lang w:eastAsia="pt-BR"/>
          <w14:ligatures w14:val="none"/>
        </w:rPr>
        <w:t>§ 6</w:t>
      </w:r>
      <w:r w:rsidRPr="009D278D">
        <w:rPr>
          <w:rFonts w:ascii="Book Antiqua" w:eastAsia="Times New Roman" w:hAnsi="Book Antiqua" w:cs="Arial"/>
          <w:color w:val="000000"/>
          <w:kern w:val="0"/>
          <w:sz w:val="19"/>
          <w:szCs w:val="19"/>
          <w:u w:val="single"/>
          <w:vertAlign w:val="superscript"/>
          <w:lang w:eastAsia="pt-BR"/>
          <w14:ligatures w14:val="none"/>
        </w:rPr>
        <w:t>o</w:t>
      </w:r>
      <w:r w:rsidRPr="009D278D">
        <w:rPr>
          <w:rFonts w:ascii="Book Antiqua" w:eastAsia="Times New Roman" w:hAnsi="Book Antiqua" w:cs="Arial"/>
          <w:color w:val="000000"/>
          <w:kern w:val="0"/>
          <w:sz w:val="19"/>
          <w:szCs w:val="19"/>
          <w:lang w:eastAsia="pt-BR"/>
          <w14:ligatures w14:val="none"/>
        </w:rPr>
        <w:t> Além dos requisitos previstos no </w:t>
      </w:r>
      <w:hyperlink r:id="rId39" w:anchor="art134" w:history="1">
        <w:r w:rsidRPr="009D278D">
          <w:rPr>
            <w:rFonts w:ascii="Book Antiqua" w:eastAsia="Times New Roman" w:hAnsi="Book Antiqua" w:cs="Arial"/>
            <w:color w:val="0000FF"/>
            <w:kern w:val="0"/>
            <w:sz w:val="19"/>
            <w:szCs w:val="19"/>
            <w:u w:val="single"/>
            <w:lang w:eastAsia="pt-BR"/>
            <w14:ligatures w14:val="none"/>
          </w:rPr>
          <w:t>art. 134 do Código Civil</w:t>
        </w:r>
      </w:hyperlink>
      <w:r w:rsidRPr="009D278D">
        <w:rPr>
          <w:rFonts w:ascii="Book Antiqua" w:eastAsia="Times New Roman" w:hAnsi="Book Antiqua" w:cs="Arial"/>
          <w:color w:val="000000"/>
          <w:kern w:val="0"/>
          <w:sz w:val="19"/>
          <w:szCs w:val="19"/>
          <w:lang w:eastAsia="pt-BR"/>
          <w14:ligatures w14:val="none"/>
        </w:rPr>
        <w:t> e na </w:t>
      </w:r>
      <w:hyperlink r:id="rId40" w:anchor="art134" w:history="1">
        <w:r w:rsidRPr="009D278D">
          <w:rPr>
            <w:rFonts w:ascii="Book Antiqua" w:eastAsia="Times New Roman" w:hAnsi="Book Antiqua" w:cs="Arial"/>
            <w:color w:val="0000FF"/>
            <w:kern w:val="0"/>
            <w:sz w:val="19"/>
            <w:szCs w:val="19"/>
            <w:u w:val="single"/>
            <w:lang w:eastAsia="pt-BR"/>
            <w14:ligatures w14:val="none"/>
          </w:rPr>
          <w:t>Lei n</w:t>
        </w:r>
        <w:r w:rsidRPr="009D278D">
          <w:rPr>
            <w:rFonts w:ascii="Book Antiqua" w:eastAsia="Times New Roman" w:hAnsi="Book Antiqua" w:cs="Arial"/>
            <w:color w:val="0000FF"/>
            <w:kern w:val="0"/>
            <w:sz w:val="19"/>
            <w:szCs w:val="19"/>
            <w:u w:val="single"/>
            <w:vertAlign w:val="superscript"/>
            <w:lang w:eastAsia="pt-BR"/>
            <w14:ligatures w14:val="none"/>
          </w:rPr>
          <w:t>o</w:t>
        </w:r>
        <w:r w:rsidRPr="009D278D">
          <w:rPr>
            <w:rFonts w:ascii="Book Antiqua" w:eastAsia="Times New Roman" w:hAnsi="Book Antiqua" w:cs="Arial"/>
            <w:color w:val="0000FF"/>
            <w:kern w:val="0"/>
            <w:sz w:val="19"/>
            <w:szCs w:val="19"/>
            <w:u w:val="single"/>
            <w:lang w:eastAsia="pt-BR"/>
            <w14:ligatures w14:val="none"/>
          </w:rPr>
          <w:t> 7.433, de 18 de dezembro de 1985</w:t>
        </w:r>
      </w:hyperlink>
      <w:r w:rsidRPr="009D278D">
        <w:rPr>
          <w:rFonts w:ascii="Book Antiqua" w:eastAsia="Times New Roman" w:hAnsi="Book Antiqua" w:cs="Arial"/>
          <w:color w:val="000000"/>
          <w:kern w:val="0"/>
          <w:sz w:val="19"/>
          <w:szCs w:val="19"/>
          <w:lang w:eastAsia="pt-BR"/>
          <w14:ligatures w14:val="none"/>
        </w:rPr>
        <w:t>, os serviços notariais são obrigados a mencionar nas escrituras os seguintes dados do CCIR</w:t>
      </w:r>
      <w:r w:rsidRPr="009D278D">
        <w:rPr>
          <w:rFonts w:ascii="Book Antiqua" w:eastAsia="Times New Roman" w:hAnsi="Book Antiqua" w:cs="Arial"/>
          <w:color w:val="000000"/>
          <w:kern w:val="0"/>
          <w:sz w:val="18"/>
          <w:szCs w:val="18"/>
          <w:lang w:eastAsia="pt-BR"/>
          <w14:ligatures w14:val="none"/>
        </w:rPr>
        <w:t>:</w:t>
      </w:r>
      <w:r>
        <w:rPr>
          <w:rFonts w:ascii="Book Antiqua" w:eastAsia="Times New Roman" w:hAnsi="Book Antiqua" w:cs="Arial"/>
          <w:color w:val="000000"/>
          <w:kern w:val="0"/>
          <w:sz w:val="18"/>
          <w:szCs w:val="18"/>
          <w:lang w:eastAsia="pt-BR"/>
          <w14:ligatures w14:val="none"/>
        </w:rPr>
        <w:t xml:space="preserve"> </w:t>
      </w:r>
      <w:hyperlink r:id="rId41" w:history="1">
        <w:r w:rsidRPr="00E52D83">
          <w:rPr>
            <w:rFonts w:ascii="Book Antiqua" w:eastAsia="Times New Roman" w:hAnsi="Book Antiqua" w:cs="Arial"/>
            <w:color w:val="0000FF"/>
            <w:kern w:val="0"/>
            <w:sz w:val="16"/>
            <w:szCs w:val="16"/>
            <w:u w:val="single"/>
            <w:lang w:eastAsia="pt-BR"/>
            <w14:ligatures w14:val="none"/>
          </w:rPr>
          <w:t>(Parágrafo incluído pela Lei nº 10.267, de 28.8.2001)</w:t>
        </w:r>
      </w:hyperlink>
    </w:p>
    <w:p w14:paraId="07C3DF0E" w14:textId="77777777" w:rsidR="009D278D" w:rsidRPr="00E52D83"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6"/>
          <w:szCs w:val="16"/>
          <w:lang w:eastAsia="pt-BR"/>
          <w14:ligatures w14:val="none"/>
        </w:rPr>
      </w:pPr>
      <w:r w:rsidRPr="009D278D">
        <w:rPr>
          <w:rFonts w:ascii="Book Antiqua" w:eastAsia="Times New Roman" w:hAnsi="Book Antiqua" w:cs="Arial"/>
          <w:color w:val="000000"/>
          <w:kern w:val="0"/>
          <w:sz w:val="19"/>
          <w:szCs w:val="19"/>
          <w:lang w:eastAsia="pt-BR"/>
          <w14:ligatures w14:val="none"/>
        </w:rPr>
        <w:t xml:space="preserve">        I – código do </w:t>
      </w:r>
      <w:proofErr w:type="gramStart"/>
      <w:r w:rsidRPr="009D278D">
        <w:rPr>
          <w:rFonts w:ascii="Book Antiqua" w:eastAsia="Times New Roman" w:hAnsi="Book Antiqua" w:cs="Arial"/>
          <w:color w:val="000000"/>
          <w:kern w:val="0"/>
          <w:sz w:val="19"/>
          <w:szCs w:val="19"/>
          <w:lang w:eastAsia="pt-BR"/>
          <w14:ligatures w14:val="none"/>
        </w:rPr>
        <w:t>imóvel</w:t>
      </w:r>
      <w:r w:rsidRPr="00E52D83">
        <w:rPr>
          <w:rFonts w:ascii="Book Antiqua" w:eastAsia="Times New Roman" w:hAnsi="Book Antiqua" w:cs="Arial"/>
          <w:color w:val="000000"/>
          <w:kern w:val="0"/>
          <w:sz w:val="16"/>
          <w:szCs w:val="16"/>
          <w:lang w:eastAsia="pt-BR"/>
          <w14:ligatures w14:val="none"/>
        </w:rPr>
        <w:t>;   </w:t>
      </w:r>
      <w:proofErr w:type="gramEnd"/>
      <w:r w:rsidRPr="00E52D83">
        <w:rPr>
          <w:rFonts w:ascii="Book Antiqua" w:eastAsia="Times New Roman" w:hAnsi="Book Antiqua" w:cs="Arial"/>
          <w:color w:val="000000"/>
          <w:kern w:val="0"/>
          <w:sz w:val="16"/>
          <w:szCs w:val="16"/>
          <w:lang w:eastAsia="pt-BR"/>
          <w14:ligatures w14:val="none"/>
        </w:rPr>
        <w:t>            </w:t>
      </w:r>
      <w:hyperlink r:id="rId42" w:history="1">
        <w:r w:rsidRPr="00E52D83">
          <w:rPr>
            <w:rFonts w:ascii="Book Antiqua" w:eastAsia="Times New Roman" w:hAnsi="Book Antiqua" w:cs="Arial"/>
            <w:color w:val="0000FF"/>
            <w:kern w:val="0"/>
            <w:sz w:val="16"/>
            <w:szCs w:val="16"/>
            <w:u w:val="single"/>
            <w:lang w:eastAsia="pt-BR"/>
            <w14:ligatures w14:val="none"/>
          </w:rPr>
          <w:t>(Inciso incluído pela Lei nº 10.267, de 28.8.2001)</w:t>
        </w:r>
      </w:hyperlink>
    </w:p>
    <w:p w14:paraId="0050E093" w14:textId="77777777" w:rsidR="009D278D" w:rsidRPr="00E52D83"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6"/>
          <w:szCs w:val="16"/>
          <w:lang w:eastAsia="pt-BR"/>
          <w14:ligatures w14:val="none"/>
        </w:rPr>
      </w:pPr>
      <w:r w:rsidRPr="009D278D">
        <w:rPr>
          <w:rFonts w:ascii="Book Antiqua" w:eastAsia="Times New Roman" w:hAnsi="Book Antiqua" w:cs="Arial"/>
          <w:color w:val="000000"/>
          <w:kern w:val="0"/>
          <w:sz w:val="19"/>
          <w:szCs w:val="19"/>
          <w:lang w:eastAsia="pt-BR"/>
          <w14:ligatures w14:val="none"/>
        </w:rPr>
        <w:lastRenderedPageBreak/>
        <w:t xml:space="preserve">        II – nome do </w:t>
      </w:r>
      <w:proofErr w:type="gramStart"/>
      <w:r w:rsidRPr="009D278D">
        <w:rPr>
          <w:rFonts w:ascii="Book Antiqua" w:eastAsia="Times New Roman" w:hAnsi="Book Antiqua" w:cs="Arial"/>
          <w:color w:val="000000"/>
          <w:kern w:val="0"/>
          <w:sz w:val="19"/>
          <w:szCs w:val="19"/>
          <w:lang w:eastAsia="pt-BR"/>
          <w14:ligatures w14:val="none"/>
        </w:rPr>
        <w:t>detentor</w:t>
      </w:r>
      <w:r w:rsidRPr="00E52D83">
        <w:rPr>
          <w:rFonts w:ascii="Book Antiqua" w:eastAsia="Times New Roman" w:hAnsi="Book Antiqua" w:cs="Arial"/>
          <w:color w:val="000000"/>
          <w:kern w:val="0"/>
          <w:sz w:val="16"/>
          <w:szCs w:val="16"/>
          <w:lang w:eastAsia="pt-BR"/>
          <w14:ligatures w14:val="none"/>
        </w:rPr>
        <w:t>;   </w:t>
      </w:r>
      <w:proofErr w:type="gramEnd"/>
      <w:r w:rsidRPr="00E52D83">
        <w:rPr>
          <w:rFonts w:ascii="Book Antiqua" w:eastAsia="Times New Roman" w:hAnsi="Book Antiqua" w:cs="Arial"/>
          <w:color w:val="000000"/>
          <w:kern w:val="0"/>
          <w:sz w:val="16"/>
          <w:szCs w:val="16"/>
          <w:lang w:eastAsia="pt-BR"/>
          <w14:ligatures w14:val="none"/>
        </w:rPr>
        <w:t>          </w:t>
      </w:r>
      <w:hyperlink r:id="rId43" w:history="1">
        <w:r w:rsidRPr="00E52D83">
          <w:rPr>
            <w:rFonts w:ascii="Book Antiqua" w:eastAsia="Times New Roman" w:hAnsi="Book Antiqua" w:cs="Arial"/>
            <w:color w:val="0000FF"/>
            <w:kern w:val="0"/>
            <w:sz w:val="16"/>
            <w:szCs w:val="16"/>
            <w:u w:val="single"/>
            <w:lang w:eastAsia="pt-BR"/>
            <w14:ligatures w14:val="none"/>
          </w:rPr>
          <w:t>(Inciso incluído pela Lei nº 10.267, de 28.8.2001)</w:t>
        </w:r>
      </w:hyperlink>
    </w:p>
    <w:p w14:paraId="39C41BA1" w14:textId="77777777" w:rsidR="009D278D" w:rsidRPr="00E52D83"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6"/>
          <w:szCs w:val="16"/>
          <w:lang w:eastAsia="pt-BR"/>
          <w14:ligatures w14:val="none"/>
        </w:rPr>
      </w:pPr>
      <w:r w:rsidRPr="009D278D">
        <w:rPr>
          <w:rFonts w:ascii="Book Antiqua" w:eastAsia="Times New Roman" w:hAnsi="Book Antiqua" w:cs="Arial"/>
          <w:color w:val="000000"/>
          <w:kern w:val="0"/>
          <w:sz w:val="19"/>
          <w:szCs w:val="19"/>
          <w:lang w:eastAsia="pt-BR"/>
          <w14:ligatures w14:val="none"/>
        </w:rPr>
        <w:t xml:space="preserve">        III – nacionalidade do </w:t>
      </w:r>
      <w:proofErr w:type="gramStart"/>
      <w:r w:rsidRPr="009D278D">
        <w:rPr>
          <w:rFonts w:ascii="Book Antiqua" w:eastAsia="Times New Roman" w:hAnsi="Book Antiqua" w:cs="Arial"/>
          <w:color w:val="000000"/>
          <w:kern w:val="0"/>
          <w:sz w:val="19"/>
          <w:szCs w:val="19"/>
          <w:lang w:eastAsia="pt-BR"/>
          <w14:ligatures w14:val="none"/>
        </w:rPr>
        <w:t>detentor</w:t>
      </w:r>
      <w:r w:rsidRPr="00E52D83">
        <w:rPr>
          <w:rFonts w:ascii="Book Antiqua" w:eastAsia="Times New Roman" w:hAnsi="Book Antiqua" w:cs="Arial"/>
          <w:color w:val="000000"/>
          <w:kern w:val="0"/>
          <w:sz w:val="16"/>
          <w:szCs w:val="16"/>
          <w:lang w:eastAsia="pt-BR"/>
          <w14:ligatures w14:val="none"/>
        </w:rPr>
        <w:t>;   </w:t>
      </w:r>
      <w:proofErr w:type="gramEnd"/>
      <w:r w:rsidRPr="00E52D83">
        <w:rPr>
          <w:rFonts w:ascii="Book Antiqua" w:eastAsia="Times New Roman" w:hAnsi="Book Antiqua" w:cs="Arial"/>
          <w:color w:val="000000"/>
          <w:kern w:val="0"/>
          <w:sz w:val="16"/>
          <w:szCs w:val="16"/>
          <w:lang w:eastAsia="pt-BR"/>
          <w14:ligatures w14:val="none"/>
        </w:rPr>
        <w:t>              </w:t>
      </w:r>
      <w:hyperlink r:id="rId44" w:history="1">
        <w:r w:rsidRPr="00E52D83">
          <w:rPr>
            <w:rFonts w:ascii="Book Antiqua" w:eastAsia="Times New Roman" w:hAnsi="Book Antiqua" w:cs="Arial"/>
            <w:color w:val="0000FF"/>
            <w:kern w:val="0"/>
            <w:sz w:val="16"/>
            <w:szCs w:val="16"/>
            <w:u w:val="single"/>
            <w:lang w:eastAsia="pt-BR"/>
            <w14:ligatures w14:val="none"/>
          </w:rPr>
          <w:t>(Inciso incluído pela Lei nº 10.267, de 28.8.2001)</w:t>
        </w:r>
      </w:hyperlink>
    </w:p>
    <w:p w14:paraId="3364BA1F" w14:textId="77777777" w:rsidR="009D278D" w:rsidRPr="00E52D83"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6"/>
          <w:szCs w:val="16"/>
          <w:lang w:eastAsia="pt-BR"/>
          <w14:ligatures w14:val="none"/>
        </w:rPr>
      </w:pPr>
      <w:r w:rsidRPr="009D278D">
        <w:rPr>
          <w:rFonts w:ascii="Book Antiqua" w:eastAsia="Times New Roman" w:hAnsi="Book Antiqua" w:cs="Arial"/>
          <w:color w:val="000000"/>
          <w:kern w:val="0"/>
          <w:sz w:val="19"/>
          <w:szCs w:val="19"/>
          <w:lang w:eastAsia="pt-BR"/>
          <w14:ligatures w14:val="none"/>
        </w:rPr>
        <w:t xml:space="preserve">        IV – denominação do </w:t>
      </w:r>
      <w:proofErr w:type="gramStart"/>
      <w:r w:rsidRPr="009D278D">
        <w:rPr>
          <w:rFonts w:ascii="Book Antiqua" w:eastAsia="Times New Roman" w:hAnsi="Book Antiqua" w:cs="Arial"/>
          <w:color w:val="000000"/>
          <w:kern w:val="0"/>
          <w:sz w:val="19"/>
          <w:szCs w:val="19"/>
          <w:lang w:eastAsia="pt-BR"/>
          <w14:ligatures w14:val="none"/>
        </w:rPr>
        <w:t>imóvel</w:t>
      </w:r>
      <w:r w:rsidRPr="00E52D83">
        <w:rPr>
          <w:rFonts w:ascii="Book Antiqua" w:eastAsia="Times New Roman" w:hAnsi="Book Antiqua" w:cs="Arial"/>
          <w:color w:val="000000"/>
          <w:kern w:val="0"/>
          <w:sz w:val="16"/>
          <w:szCs w:val="16"/>
          <w:lang w:eastAsia="pt-BR"/>
          <w14:ligatures w14:val="none"/>
        </w:rPr>
        <w:t>;   </w:t>
      </w:r>
      <w:proofErr w:type="gramEnd"/>
      <w:r w:rsidRPr="00E52D83">
        <w:rPr>
          <w:rFonts w:ascii="Book Antiqua" w:eastAsia="Times New Roman" w:hAnsi="Book Antiqua" w:cs="Arial"/>
          <w:color w:val="000000"/>
          <w:kern w:val="0"/>
          <w:sz w:val="16"/>
          <w:szCs w:val="16"/>
          <w:lang w:eastAsia="pt-BR"/>
          <w14:ligatures w14:val="none"/>
        </w:rPr>
        <w:t>               </w:t>
      </w:r>
      <w:hyperlink r:id="rId45" w:history="1">
        <w:r w:rsidRPr="00E52D83">
          <w:rPr>
            <w:rFonts w:ascii="Book Antiqua" w:eastAsia="Times New Roman" w:hAnsi="Book Antiqua" w:cs="Arial"/>
            <w:color w:val="0000FF"/>
            <w:kern w:val="0"/>
            <w:sz w:val="16"/>
            <w:szCs w:val="16"/>
            <w:u w:val="single"/>
            <w:lang w:eastAsia="pt-BR"/>
            <w14:ligatures w14:val="none"/>
          </w:rPr>
          <w:t>(Inciso incluído pela Lei nº 10.267, de 28.8.2001)</w:t>
        </w:r>
      </w:hyperlink>
    </w:p>
    <w:p w14:paraId="3A44F5D4" w14:textId="77777777" w:rsidR="009D278D" w:rsidRPr="00E52D83"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6"/>
          <w:szCs w:val="16"/>
          <w:lang w:eastAsia="pt-BR"/>
          <w14:ligatures w14:val="none"/>
        </w:rPr>
      </w:pPr>
      <w:r w:rsidRPr="009D278D">
        <w:rPr>
          <w:rFonts w:ascii="Book Antiqua" w:eastAsia="Times New Roman" w:hAnsi="Book Antiqua" w:cs="Arial"/>
          <w:color w:val="000000"/>
          <w:kern w:val="0"/>
          <w:sz w:val="19"/>
          <w:szCs w:val="19"/>
          <w:lang w:eastAsia="pt-BR"/>
          <w14:ligatures w14:val="none"/>
        </w:rPr>
        <w:t xml:space="preserve">        V – </w:t>
      </w:r>
      <w:proofErr w:type="gramStart"/>
      <w:r w:rsidRPr="009D278D">
        <w:rPr>
          <w:rFonts w:ascii="Book Antiqua" w:eastAsia="Times New Roman" w:hAnsi="Book Antiqua" w:cs="Arial"/>
          <w:color w:val="000000"/>
          <w:kern w:val="0"/>
          <w:sz w:val="19"/>
          <w:szCs w:val="19"/>
          <w:lang w:eastAsia="pt-BR"/>
          <w14:ligatures w14:val="none"/>
        </w:rPr>
        <w:t>localização</w:t>
      </w:r>
      <w:proofErr w:type="gramEnd"/>
      <w:r w:rsidRPr="009D278D">
        <w:rPr>
          <w:rFonts w:ascii="Book Antiqua" w:eastAsia="Times New Roman" w:hAnsi="Book Antiqua" w:cs="Arial"/>
          <w:color w:val="000000"/>
          <w:kern w:val="0"/>
          <w:sz w:val="19"/>
          <w:szCs w:val="19"/>
          <w:lang w:eastAsia="pt-BR"/>
          <w14:ligatures w14:val="none"/>
        </w:rPr>
        <w:t xml:space="preserve"> do imóvel</w:t>
      </w:r>
      <w:r w:rsidRPr="00E52D83">
        <w:rPr>
          <w:rFonts w:ascii="Book Antiqua" w:eastAsia="Times New Roman" w:hAnsi="Book Antiqua" w:cs="Arial"/>
          <w:color w:val="000000"/>
          <w:kern w:val="0"/>
          <w:sz w:val="16"/>
          <w:szCs w:val="16"/>
          <w:lang w:eastAsia="pt-BR"/>
          <w14:ligatures w14:val="none"/>
        </w:rPr>
        <w:t>.               </w:t>
      </w:r>
      <w:hyperlink r:id="rId46" w:history="1">
        <w:r w:rsidRPr="00E52D83">
          <w:rPr>
            <w:rFonts w:ascii="Book Antiqua" w:eastAsia="Times New Roman" w:hAnsi="Book Antiqua" w:cs="Arial"/>
            <w:color w:val="0000FF"/>
            <w:kern w:val="0"/>
            <w:sz w:val="16"/>
            <w:szCs w:val="16"/>
            <w:u w:val="single"/>
            <w:lang w:eastAsia="pt-BR"/>
            <w14:ligatures w14:val="none"/>
          </w:rPr>
          <w:t>(Inciso incluído pela Lei nº 10.267, de 28.8.2001)</w:t>
        </w:r>
      </w:hyperlink>
    </w:p>
    <w:p w14:paraId="02979332" w14:textId="5E48AAC9" w:rsidR="009D278D" w:rsidRPr="00E52D83"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6"/>
          <w:szCs w:val="16"/>
          <w:lang w:eastAsia="pt-BR"/>
          <w14:ligatures w14:val="none"/>
        </w:rPr>
      </w:pPr>
      <w:r w:rsidRPr="009D278D">
        <w:rPr>
          <w:rFonts w:ascii="Book Antiqua" w:eastAsia="Times New Roman" w:hAnsi="Book Antiqua" w:cs="Arial"/>
          <w:color w:val="000000"/>
          <w:kern w:val="0"/>
          <w:sz w:val="19"/>
          <w:szCs w:val="19"/>
          <w:lang w:eastAsia="pt-BR"/>
          <w14:ligatures w14:val="none"/>
        </w:rPr>
        <w:t>        § 7</w:t>
      </w:r>
      <w:r w:rsidRPr="009D278D">
        <w:rPr>
          <w:rFonts w:ascii="Book Antiqua" w:eastAsia="Times New Roman" w:hAnsi="Book Antiqua" w:cs="Arial"/>
          <w:color w:val="000000"/>
          <w:kern w:val="0"/>
          <w:sz w:val="19"/>
          <w:szCs w:val="19"/>
          <w:u w:val="single"/>
          <w:vertAlign w:val="superscript"/>
          <w:lang w:eastAsia="pt-BR"/>
          <w14:ligatures w14:val="none"/>
        </w:rPr>
        <w:t>o</w:t>
      </w:r>
      <w:r w:rsidRPr="009D278D">
        <w:rPr>
          <w:rFonts w:ascii="Book Antiqua" w:eastAsia="Times New Roman" w:hAnsi="Book Antiqua" w:cs="Arial"/>
          <w:color w:val="000000"/>
          <w:kern w:val="0"/>
          <w:sz w:val="19"/>
          <w:szCs w:val="19"/>
          <w:lang w:eastAsia="pt-BR"/>
          <w14:ligatures w14:val="none"/>
        </w:rPr>
        <w:t> Os serviços de registro de imóveis ficam obrigados a encaminhar ao INCRA, mensalmente, as modificações ocorridas nas matrículas imobiliárias decorrentes de mudanças de titularidade, parcelamento, desmembramento, loteamento, remembramento, retificação de área, reserva legal e particular do patrimônio natural e outras limitações e restrições de caráter ambiental, envolvendo os imóveis rurais, inclusive os destacados do patrimônio público</w:t>
      </w:r>
      <w:r w:rsidRPr="009D278D">
        <w:rPr>
          <w:rFonts w:ascii="Book Antiqua" w:eastAsia="Times New Roman" w:hAnsi="Book Antiqua" w:cs="Arial"/>
          <w:color w:val="000000"/>
          <w:kern w:val="0"/>
          <w:sz w:val="18"/>
          <w:szCs w:val="18"/>
          <w:lang w:eastAsia="pt-BR"/>
          <w14:ligatures w14:val="none"/>
        </w:rPr>
        <w:t>. </w:t>
      </w:r>
      <w:hyperlink r:id="rId47" w:history="1">
        <w:r w:rsidRPr="00E52D83">
          <w:rPr>
            <w:rFonts w:ascii="Book Antiqua" w:eastAsia="Times New Roman" w:hAnsi="Book Antiqua" w:cs="Arial"/>
            <w:color w:val="0000FF"/>
            <w:kern w:val="0"/>
            <w:sz w:val="16"/>
            <w:szCs w:val="16"/>
            <w:u w:val="single"/>
            <w:lang w:eastAsia="pt-BR"/>
            <w14:ligatures w14:val="none"/>
          </w:rPr>
          <w:t>(Parágrafo incluído pela Lei nº 10.267, de 28.8.2001)</w:t>
        </w:r>
      </w:hyperlink>
    </w:p>
    <w:p w14:paraId="0BF69C17" w14:textId="7F81EDD6" w:rsidR="009D278D" w:rsidRPr="00E52D83"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6"/>
          <w:szCs w:val="16"/>
          <w:lang w:eastAsia="pt-BR"/>
          <w14:ligatures w14:val="none"/>
        </w:rPr>
      </w:pPr>
      <w:r w:rsidRPr="009D278D">
        <w:rPr>
          <w:rFonts w:ascii="Book Antiqua" w:eastAsia="Times New Roman" w:hAnsi="Book Antiqua" w:cs="Arial"/>
          <w:color w:val="000000"/>
          <w:kern w:val="0"/>
          <w:sz w:val="19"/>
          <w:szCs w:val="19"/>
          <w:lang w:eastAsia="pt-BR"/>
          <w14:ligatures w14:val="none"/>
        </w:rPr>
        <w:t>        § 8</w:t>
      </w:r>
      <w:r w:rsidRPr="009D278D">
        <w:rPr>
          <w:rFonts w:ascii="Book Antiqua" w:eastAsia="Times New Roman" w:hAnsi="Book Antiqua" w:cs="Arial"/>
          <w:color w:val="000000"/>
          <w:kern w:val="0"/>
          <w:sz w:val="19"/>
          <w:szCs w:val="19"/>
          <w:u w:val="single"/>
          <w:vertAlign w:val="superscript"/>
          <w:lang w:eastAsia="pt-BR"/>
          <w14:ligatures w14:val="none"/>
        </w:rPr>
        <w:t>o</w:t>
      </w:r>
      <w:r w:rsidRPr="009D278D">
        <w:rPr>
          <w:rFonts w:ascii="Book Antiqua" w:eastAsia="Times New Roman" w:hAnsi="Book Antiqua" w:cs="Arial"/>
          <w:color w:val="000000"/>
          <w:kern w:val="0"/>
          <w:sz w:val="19"/>
          <w:szCs w:val="19"/>
          <w:lang w:eastAsia="pt-BR"/>
          <w14:ligatures w14:val="none"/>
        </w:rPr>
        <w:t> O INCRA encaminhará, mensalmente, aos serviços de registro de imóveis, os códigos dos imóveis rurais de que trata o § 7</w:t>
      </w:r>
      <w:r w:rsidRPr="009D278D">
        <w:rPr>
          <w:rFonts w:ascii="Book Antiqua" w:eastAsia="Times New Roman" w:hAnsi="Book Antiqua" w:cs="Arial"/>
          <w:color w:val="000000"/>
          <w:kern w:val="0"/>
          <w:sz w:val="19"/>
          <w:szCs w:val="19"/>
          <w:u w:val="single"/>
          <w:vertAlign w:val="superscript"/>
          <w:lang w:eastAsia="pt-BR"/>
          <w14:ligatures w14:val="none"/>
        </w:rPr>
        <w:t>o</w:t>
      </w:r>
      <w:r w:rsidRPr="009D278D">
        <w:rPr>
          <w:rFonts w:ascii="Book Antiqua" w:eastAsia="Times New Roman" w:hAnsi="Book Antiqua" w:cs="Arial"/>
          <w:color w:val="000000"/>
          <w:kern w:val="0"/>
          <w:sz w:val="19"/>
          <w:szCs w:val="19"/>
          <w:lang w:eastAsia="pt-BR"/>
          <w14:ligatures w14:val="none"/>
        </w:rPr>
        <w:t>, para serem averbados de ofício, nas respectivas matrículas</w:t>
      </w:r>
      <w:r w:rsidRPr="00E52D83">
        <w:rPr>
          <w:rFonts w:ascii="Book Antiqua" w:eastAsia="Times New Roman" w:hAnsi="Book Antiqua" w:cs="Arial"/>
          <w:color w:val="000000"/>
          <w:kern w:val="0"/>
          <w:sz w:val="16"/>
          <w:szCs w:val="16"/>
          <w:lang w:eastAsia="pt-BR"/>
          <w14:ligatures w14:val="none"/>
        </w:rPr>
        <w:t xml:space="preserve">. </w:t>
      </w:r>
      <w:hyperlink r:id="rId48" w:history="1">
        <w:r w:rsidRPr="00E52D83">
          <w:rPr>
            <w:rFonts w:ascii="Book Antiqua" w:eastAsia="Times New Roman" w:hAnsi="Book Antiqua" w:cs="Arial"/>
            <w:color w:val="0000FF"/>
            <w:kern w:val="0"/>
            <w:sz w:val="16"/>
            <w:szCs w:val="16"/>
            <w:u w:val="single"/>
            <w:lang w:eastAsia="pt-BR"/>
            <w14:ligatures w14:val="none"/>
          </w:rPr>
          <w:t>(Parágrafo incluído pela Lei nº 10.267, de 28.8.2001)</w:t>
        </w:r>
      </w:hyperlink>
    </w:p>
    <w:p w14:paraId="0ECED74F"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xml:space="preserve">        Art. 23 - O IBRA poderá promover, em colaboração com os órgãos executivos da Política Habitacional, a organização de </w:t>
      </w:r>
      <w:proofErr w:type="spellStart"/>
      <w:r w:rsidRPr="009D278D">
        <w:rPr>
          <w:rFonts w:ascii="Book Antiqua" w:eastAsia="Times New Roman" w:hAnsi="Book Antiqua" w:cs="Arial"/>
          <w:color w:val="000000"/>
          <w:kern w:val="0"/>
          <w:sz w:val="19"/>
          <w:szCs w:val="19"/>
          <w:lang w:eastAsia="pt-BR"/>
          <w14:ligatures w14:val="none"/>
        </w:rPr>
        <w:t>nucleamentos</w:t>
      </w:r>
      <w:proofErr w:type="spellEnd"/>
      <w:r w:rsidRPr="009D278D">
        <w:rPr>
          <w:rFonts w:ascii="Book Antiqua" w:eastAsia="Times New Roman" w:hAnsi="Book Antiqua" w:cs="Arial"/>
          <w:color w:val="000000"/>
          <w:kern w:val="0"/>
          <w:sz w:val="19"/>
          <w:szCs w:val="19"/>
          <w:lang w:eastAsia="pt-BR"/>
          <w14:ligatures w14:val="none"/>
        </w:rPr>
        <w:t xml:space="preserve"> urbanos para assegurar a colocação de excedentes rurais não qualificados para as atividades agropecuárias.</w:t>
      </w:r>
    </w:p>
    <w:p w14:paraId="3026979B"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Art. 24 - Os acordos, convênios ou contratos de interesse da política agrária instituída pela </w:t>
      </w:r>
      <w:hyperlink r:id="rId49" w:history="1">
        <w:r w:rsidRPr="009D278D">
          <w:rPr>
            <w:rFonts w:ascii="Book Antiqua" w:eastAsia="Times New Roman" w:hAnsi="Book Antiqua" w:cs="Arial"/>
            <w:color w:val="0000FF"/>
            <w:kern w:val="0"/>
            <w:sz w:val="19"/>
            <w:szCs w:val="19"/>
            <w:u w:val="single"/>
            <w:lang w:eastAsia="pt-BR"/>
            <w14:ligatures w14:val="none"/>
          </w:rPr>
          <w:t>Lei n º 4.504, de 30 de novembro de 1964</w:t>
        </w:r>
      </w:hyperlink>
      <w:r w:rsidRPr="009D278D">
        <w:rPr>
          <w:rFonts w:ascii="Book Antiqua" w:eastAsia="Times New Roman" w:hAnsi="Book Antiqua" w:cs="Arial"/>
          <w:color w:val="000000"/>
          <w:kern w:val="0"/>
          <w:sz w:val="19"/>
          <w:szCs w:val="19"/>
          <w:lang w:eastAsia="pt-BR"/>
          <w14:ligatures w14:val="none"/>
        </w:rPr>
        <w:t>, firmados em qualquer Ministério ou outra entidade de direito público, serão registrados no Instituto Brasileiro de Reforma Agrária (IBRA).</w:t>
      </w:r>
    </w:p>
    <w:p w14:paraId="5392DC74"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Parágrafo único. O IBRA enviará relatório anual, ao Tribunal de Contas, para os fins estatísticos e de contabilidade pública, sobre os convênios, acordos e contratos firmados no exercício.</w:t>
      </w:r>
    </w:p>
    <w:p w14:paraId="442026BE"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Art. 25 - Nenhum dos instrumentos referidos no artigo anterior, após a lavratura e para o fim de registro, poderá ser enviado diretamente, pelas partes que nele se obrigarem, ao Tribunal de Contas da União.</w:t>
      </w:r>
    </w:p>
    <w:p w14:paraId="207B2C07"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Art. 26 - Para que não seja considerado latifúndio o imóvel rural, ainda que do domínio particular, cujo objetivo de preservação florestal ou de outros recursos naturais haja sido reconhecido para fins de tombamento pelo órgão competente da administração pública, deve este tombamento, no prazo de 60 (sessenta) dias de sua ultimação, ser submetido ao julgamento do IBRA.</w:t>
      </w:r>
    </w:p>
    <w:p w14:paraId="3054DCB0" w14:textId="77777777" w:rsidR="009D278D" w:rsidRPr="009D278D" w:rsidRDefault="009D278D" w:rsidP="009D278D">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        Art. 27 - A presente Lei entrará em vigor na data de sua publicação, revogadas as disposições em contrário.</w:t>
      </w:r>
    </w:p>
    <w:p w14:paraId="42A3251A" w14:textId="77777777" w:rsidR="009D278D" w:rsidRPr="009D278D" w:rsidRDefault="009D278D" w:rsidP="009D278D">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Brasília, 6 de abril de 1966; 145º da Independência e 78º da República.</w:t>
      </w:r>
    </w:p>
    <w:p w14:paraId="07D33622" w14:textId="77777777" w:rsidR="009D278D" w:rsidRPr="009D278D" w:rsidRDefault="009D278D" w:rsidP="009D278D">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000000"/>
          <w:kern w:val="0"/>
          <w:sz w:val="19"/>
          <w:szCs w:val="19"/>
          <w:lang w:eastAsia="pt-BR"/>
          <w14:ligatures w14:val="none"/>
        </w:rPr>
        <w:t>H. CASTELLO BRANCO</w:t>
      </w:r>
      <w:r w:rsidRPr="009D278D">
        <w:rPr>
          <w:rFonts w:ascii="Book Antiqua" w:eastAsia="Times New Roman" w:hAnsi="Book Antiqua" w:cs="Arial"/>
          <w:color w:val="000000"/>
          <w:kern w:val="0"/>
          <w:sz w:val="19"/>
          <w:szCs w:val="19"/>
          <w:lang w:eastAsia="pt-BR"/>
          <w14:ligatures w14:val="none"/>
        </w:rPr>
        <w:br/>
      </w:r>
      <w:r w:rsidRPr="009D278D">
        <w:rPr>
          <w:rFonts w:ascii="Book Antiqua" w:eastAsia="Times New Roman" w:hAnsi="Book Antiqua" w:cs="Arial"/>
          <w:i/>
          <w:iCs/>
          <w:color w:val="000000"/>
          <w:kern w:val="0"/>
          <w:sz w:val="19"/>
          <w:szCs w:val="19"/>
          <w:lang w:eastAsia="pt-BR"/>
          <w14:ligatures w14:val="none"/>
        </w:rPr>
        <w:t>Mem de Sá</w:t>
      </w:r>
      <w:r w:rsidRPr="009D278D">
        <w:rPr>
          <w:rFonts w:ascii="Book Antiqua" w:eastAsia="Times New Roman" w:hAnsi="Book Antiqua" w:cs="Arial"/>
          <w:i/>
          <w:iCs/>
          <w:color w:val="000000"/>
          <w:kern w:val="0"/>
          <w:sz w:val="19"/>
          <w:szCs w:val="19"/>
          <w:lang w:eastAsia="pt-BR"/>
          <w14:ligatures w14:val="none"/>
        </w:rPr>
        <w:br/>
        <w:t>Ney Braga</w:t>
      </w:r>
    </w:p>
    <w:p w14:paraId="4F88AFB3" w14:textId="1759E30A" w:rsidR="00BB7FE6" w:rsidRPr="009D278D" w:rsidRDefault="009D278D" w:rsidP="009D278D">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9D278D">
        <w:rPr>
          <w:rFonts w:ascii="Book Antiqua" w:eastAsia="Times New Roman" w:hAnsi="Book Antiqua" w:cs="Arial"/>
          <w:color w:val="FF0000"/>
          <w:kern w:val="0"/>
          <w:sz w:val="19"/>
          <w:szCs w:val="19"/>
          <w:lang w:eastAsia="pt-BR"/>
          <w14:ligatures w14:val="none"/>
        </w:rPr>
        <w:t>Este texto não substitui o publicado no DOU de 11.4.1966</w:t>
      </w:r>
    </w:p>
    <w:sectPr w:rsidR="00BB7FE6" w:rsidRPr="009D278D" w:rsidSect="00973E8A">
      <w:pgSz w:w="11906" w:h="16838"/>
      <w:pgMar w:top="1276"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AEA"/>
    <w:rsid w:val="004B6681"/>
    <w:rsid w:val="00973E8A"/>
    <w:rsid w:val="009D278D"/>
    <w:rsid w:val="00BB7FE6"/>
    <w:rsid w:val="00C84AEA"/>
    <w:rsid w:val="00D346F6"/>
    <w:rsid w:val="00DF5428"/>
    <w:rsid w:val="00E52D83"/>
    <w:rsid w:val="00FA617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54992"/>
  <w15:chartTrackingRefBased/>
  <w15:docId w15:val="{F8341808-3511-415B-B8D3-7A8639132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4B66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9193670">
      <w:bodyDiv w:val="1"/>
      <w:marLeft w:val="0"/>
      <w:marRight w:val="0"/>
      <w:marTop w:val="0"/>
      <w:marBottom w:val="0"/>
      <w:divBdr>
        <w:top w:val="none" w:sz="0" w:space="0" w:color="auto"/>
        <w:left w:val="none" w:sz="0" w:space="0" w:color="auto"/>
        <w:bottom w:val="none" w:sz="0" w:space="0" w:color="auto"/>
        <w:right w:val="none" w:sz="0" w:space="0" w:color="auto"/>
      </w:divBdr>
      <w:divsChild>
        <w:div w:id="609702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gislacao.planalto.gov.br/LEGISLA/Legislacao.nsf/viwTodos/23000f61899579ff032569fa00711f65?OpenDocument&amp;Highlight=1,&amp;AutoFramed" TargetMode="External"/><Relationship Id="rId18" Type="http://schemas.openxmlformats.org/officeDocument/2006/relationships/hyperlink" Target="https://www.planalto.gov.br/ccivil_03/leis/L4504.htm" TargetMode="External"/><Relationship Id="rId26" Type="http://schemas.openxmlformats.org/officeDocument/2006/relationships/hyperlink" Target="https://www.planalto.gov.br/ccivil_03/leis/L4504.htm" TargetMode="External"/><Relationship Id="rId39" Type="http://schemas.openxmlformats.org/officeDocument/2006/relationships/hyperlink" Target="https://www.planalto.gov.br/ccivil_03/leis/2002/L10406.htm" TargetMode="External"/><Relationship Id="rId21" Type="http://schemas.openxmlformats.org/officeDocument/2006/relationships/hyperlink" Target="https://legislacao.planalto.gov.br/LEGISLA/Legislacao.nsf/viwTodos/47024584258f091c032569fa006410fb?OpenDocument&amp;Highlight=1,&amp;AutoFramed" TargetMode="External"/><Relationship Id="rId34" Type="http://schemas.openxmlformats.org/officeDocument/2006/relationships/hyperlink" Target="https://www.planalto.gov.br/ccivil_03/leis/L4504.htm" TargetMode="External"/><Relationship Id="rId42" Type="http://schemas.openxmlformats.org/officeDocument/2006/relationships/hyperlink" Target="https://www.planalto.gov.br/ccivil_03/leis/LEIS_2001/L10267.htm" TargetMode="External"/><Relationship Id="rId47" Type="http://schemas.openxmlformats.org/officeDocument/2006/relationships/hyperlink" Target="https://www.planalto.gov.br/ccivil_03/leis/LEIS_2001/L10267.htm" TargetMode="External"/><Relationship Id="rId50" Type="http://schemas.openxmlformats.org/officeDocument/2006/relationships/fontTable" Target="fontTable.xml"/><Relationship Id="rId7" Type="http://schemas.openxmlformats.org/officeDocument/2006/relationships/hyperlink" Target="https://www.planalto.gov.br/ccivil_03/Constituicao/Constituicao46.htm" TargetMode="External"/><Relationship Id="rId2" Type="http://schemas.openxmlformats.org/officeDocument/2006/relationships/settings" Target="settings.xml"/><Relationship Id="rId16" Type="http://schemas.openxmlformats.org/officeDocument/2006/relationships/hyperlink" Target="https://www.planalto.gov.br/ccivil_03/Decreto-Lei/1965-1988/Del1561.htm" TargetMode="External"/><Relationship Id="rId29" Type="http://schemas.openxmlformats.org/officeDocument/2006/relationships/hyperlink" Target="https://www.planalto.gov.br/ccivil_03/leis/1950-1969/L4863.htm" TargetMode="External"/><Relationship Id="rId11" Type="http://schemas.openxmlformats.org/officeDocument/2006/relationships/hyperlink" Target="https://www.planalto.gov.br/ccivil_03/Decreto-Lei/1937-1946/Del0893.htm" TargetMode="External"/><Relationship Id="rId24" Type="http://schemas.openxmlformats.org/officeDocument/2006/relationships/hyperlink" Target="https://www.planalto.gov.br/ccivil_03/leis/L4504.htm" TargetMode="External"/><Relationship Id="rId32" Type="http://schemas.openxmlformats.org/officeDocument/2006/relationships/hyperlink" Target="https://www.planalto.gov.br/ccivil_03/leis/L4504.htm" TargetMode="External"/><Relationship Id="rId37" Type="http://schemas.openxmlformats.org/officeDocument/2006/relationships/hyperlink" Target="https://www.planalto.gov.br/ccivil_03/leis/LEIS_2001/L10267.htm" TargetMode="External"/><Relationship Id="rId40" Type="http://schemas.openxmlformats.org/officeDocument/2006/relationships/hyperlink" Target="https://www.planalto.gov.br/ccivil_03/leis/L7433.htm" TargetMode="External"/><Relationship Id="rId45" Type="http://schemas.openxmlformats.org/officeDocument/2006/relationships/hyperlink" Target="https://www.planalto.gov.br/ccivil_03/leis/LEIS_2001/L10267.htm" TargetMode="External"/><Relationship Id="rId5" Type="http://schemas.openxmlformats.org/officeDocument/2006/relationships/hyperlink" Target="https://www.planalto.gov.br/ccivil_03/leis/L4504.htm" TargetMode="External"/><Relationship Id="rId15" Type="http://schemas.openxmlformats.org/officeDocument/2006/relationships/hyperlink" Target="https://www.planalto.gov.br/ccivil_03/leis/L4504.htm" TargetMode="External"/><Relationship Id="rId23" Type="http://schemas.openxmlformats.org/officeDocument/2006/relationships/hyperlink" Target="https://www.planalto.gov.br/ccivil_03/leis/L4504.htm" TargetMode="External"/><Relationship Id="rId28" Type="http://schemas.openxmlformats.org/officeDocument/2006/relationships/hyperlink" Target="https://www.planalto.gov.br/ccivil_03/leis/1950-1969/L2973.htm" TargetMode="External"/><Relationship Id="rId36" Type="http://schemas.openxmlformats.org/officeDocument/2006/relationships/hyperlink" Target="https://www.planalto.gov.br/ccivil_03/leis/LEIS_2001/L10267.htm" TargetMode="External"/><Relationship Id="rId49" Type="http://schemas.openxmlformats.org/officeDocument/2006/relationships/hyperlink" Target="https://www.planalto.gov.br/ccivil_03/leis/L4504.htm" TargetMode="External"/><Relationship Id="rId10" Type="http://schemas.openxmlformats.org/officeDocument/2006/relationships/hyperlink" Target="https://www.planalto.gov.br/ccivil_03/Decreto-Lei/1937-1946/Del0893.htm" TargetMode="External"/><Relationship Id="rId19" Type="http://schemas.openxmlformats.org/officeDocument/2006/relationships/hyperlink" Target="https://www.planalto.gov.br/ccivil_03/leis/L4947.htm" TargetMode="External"/><Relationship Id="rId31" Type="http://schemas.openxmlformats.org/officeDocument/2006/relationships/hyperlink" Target="https://www.planalto.gov.br/ccivil_03/leis/L4504.htm" TargetMode="External"/><Relationship Id="rId44" Type="http://schemas.openxmlformats.org/officeDocument/2006/relationships/hyperlink" Target="https://www.planalto.gov.br/ccivil_03/leis/LEIS_2001/L10267.htm" TargetMode="External"/><Relationship Id="rId4" Type="http://schemas.openxmlformats.org/officeDocument/2006/relationships/hyperlink" Target="http://legislacao.planalto.gov.br/legisla/legislacao.nsf/Viw_Identificacao/lei%204.947-1966?OpenDocument" TargetMode="External"/><Relationship Id="rId9" Type="http://schemas.openxmlformats.org/officeDocument/2006/relationships/hyperlink" Target="https://www.planalto.gov.br/ccivil_03/leis/L4504.htm" TargetMode="External"/><Relationship Id="rId14" Type="http://schemas.openxmlformats.org/officeDocument/2006/relationships/hyperlink" Target="https://www.planalto.gov.br/ccivil_03/leis/L10164.htm" TargetMode="External"/><Relationship Id="rId22" Type="http://schemas.openxmlformats.org/officeDocument/2006/relationships/hyperlink" Target="https://legislacao.planalto.gov.br/LEGISLA/Legislacao.nsf/viwTodos/47024584258f091c032569fa006410fb?OpenDocument&amp;Highlight=1,&amp;AutoFramed" TargetMode="External"/><Relationship Id="rId27" Type="http://schemas.openxmlformats.org/officeDocument/2006/relationships/hyperlink" Target="https://www.planalto.gov.br/ccivil_03/leis/1950-1969/L1628.htm" TargetMode="External"/><Relationship Id="rId30" Type="http://schemas.openxmlformats.org/officeDocument/2006/relationships/hyperlink" Target="https://www.planalto.gov.br/ccivil_03/leis/1950-1969/L1628.htm" TargetMode="External"/><Relationship Id="rId35" Type="http://schemas.openxmlformats.org/officeDocument/2006/relationships/hyperlink" Target="https://www.planalto.gov.br/ccivil_03/leis/L9393.htm" TargetMode="External"/><Relationship Id="rId43" Type="http://schemas.openxmlformats.org/officeDocument/2006/relationships/hyperlink" Target="https://www.planalto.gov.br/ccivil_03/leis/LEIS_2001/L10267.htm" TargetMode="External"/><Relationship Id="rId48" Type="http://schemas.openxmlformats.org/officeDocument/2006/relationships/hyperlink" Target="https://www.planalto.gov.br/ccivil_03/leis/LEIS_2001/L10267.htm" TargetMode="External"/><Relationship Id="rId8" Type="http://schemas.openxmlformats.org/officeDocument/2006/relationships/hyperlink" Target="https://www.planalto.gov.br/ccivil_03/leis/L4504.htm" TargetMode="External"/><Relationship Id="rId51"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hyperlink" Target="https://www.planalto.gov.br/ccivil_03/leis/L5869.htm" TargetMode="External"/><Relationship Id="rId17" Type="http://schemas.openxmlformats.org/officeDocument/2006/relationships/hyperlink" Target="https://www.planalto.gov.br/ccivil_03/Decreto-Lei/1965-1988/Del1640.htm" TargetMode="External"/><Relationship Id="rId25" Type="http://schemas.openxmlformats.org/officeDocument/2006/relationships/hyperlink" Target="https://www.planalto.gov.br/ccivil_03/leis/L4504.htm" TargetMode="External"/><Relationship Id="rId33" Type="http://schemas.openxmlformats.org/officeDocument/2006/relationships/hyperlink" Target="https://www.planalto.gov.br/ccivil_03/leis/L4504.htm" TargetMode="External"/><Relationship Id="rId38" Type="http://schemas.openxmlformats.org/officeDocument/2006/relationships/hyperlink" Target="https://www.planalto.gov.br/ccivil_03/leis/LEIS_2001/L10267.htm" TargetMode="External"/><Relationship Id="rId46" Type="http://schemas.openxmlformats.org/officeDocument/2006/relationships/hyperlink" Target="https://www.planalto.gov.br/ccivil_03/leis/LEIS_2001/L10267.htm" TargetMode="External"/><Relationship Id="rId20" Type="http://schemas.openxmlformats.org/officeDocument/2006/relationships/hyperlink" Target="https://www.planalto.gov.br/ccivil_03/leis/1970-1979/L5672.htm" TargetMode="External"/><Relationship Id="rId41" Type="http://schemas.openxmlformats.org/officeDocument/2006/relationships/hyperlink" Target="https://www.planalto.gov.br/ccivil_03/leis/LEIS_2001/L10267.htm" TargetMode="External"/><Relationship Id="rId1" Type="http://schemas.openxmlformats.org/officeDocument/2006/relationships/styles" Target="styles.xml"/><Relationship Id="rId6" Type="http://schemas.openxmlformats.org/officeDocument/2006/relationships/hyperlink" Target="https://www.planalto.gov.br/ccivil_03/leis/L450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3746</Words>
  <Characters>20231</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5</cp:revision>
  <dcterms:created xsi:type="dcterms:W3CDTF">2023-04-25T18:46:00Z</dcterms:created>
  <dcterms:modified xsi:type="dcterms:W3CDTF">2023-10-29T17:33:00Z</dcterms:modified>
</cp:coreProperties>
</file>