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E739D" w14:textId="77777777" w:rsidR="003B1CB8" w:rsidRPr="003B1CB8" w:rsidRDefault="003B1CB8" w:rsidP="003B1CB8">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b/>
          <w:bCs/>
          <w:color w:val="000080"/>
          <w:kern w:val="0"/>
          <w:sz w:val="19"/>
          <w:szCs w:val="19"/>
          <w:lang w:eastAsia="pt-BR"/>
          <w14:ligatures w14:val="none"/>
        </w:rPr>
        <w:t> </w:t>
      </w:r>
      <w:hyperlink r:id="rId4" w:history="1">
        <w:r w:rsidRPr="003B1CB8">
          <w:rPr>
            <w:rFonts w:ascii="Book Antiqua" w:eastAsia="Times New Roman" w:hAnsi="Book Antiqua" w:cs="Arial"/>
            <w:b/>
            <w:bCs/>
            <w:color w:val="000080"/>
            <w:kern w:val="0"/>
            <w:sz w:val="19"/>
            <w:szCs w:val="19"/>
            <w:u w:val="single"/>
            <w:lang w:eastAsia="pt-BR"/>
            <w14:ligatures w14:val="none"/>
          </w:rPr>
          <w:t>LEI Nº 14.993, DE 8 DE OUTUBRO DE 2024</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B1CB8" w:rsidRPr="003B1CB8" w14:paraId="539F7391" w14:textId="77777777" w:rsidTr="003B1CB8">
        <w:trPr>
          <w:tblCellSpacing w:w="0" w:type="dxa"/>
        </w:trPr>
        <w:tc>
          <w:tcPr>
            <w:tcW w:w="1417" w:type="pct"/>
            <w:vAlign w:val="center"/>
            <w:hideMark/>
          </w:tcPr>
          <w:p w14:paraId="3F3632F7" w14:textId="00B22360" w:rsidR="003B1CB8" w:rsidRPr="003B1CB8" w:rsidRDefault="003B1CB8" w:rsidP="003B1CB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583" w:type="pct"/>
            <w:vAlign w:val="center"/>
            <w:hideMark/>
          </w:tcPr>
          <w:p w14:paraId="1D4DFAE9" w14:textId="77777777" w:rsidR="003B1CB8" w:rsidRPr="003B1CB8" w:rsidRDefault="003B1CB8" w:rsidP="003B1CB8">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3B1CB8">
              <w:rPr>
                <w:rFonts w:ascii="Book Antiqua" w:eastAsia="Times New Roman" w:hAnsi="Book Antiqua" w:cs="Arial"/>
                <w:color w:val="800000"/>
                <w:kern w:val="0"/>
                <w:sz w:val="18"/>
                <w:szCs w:val="18"/>
                <w:lang w:eastAsia="pt-BR"/>
                <w14:ligatures w14:val="none"/>
              </w:rPr>
              <w:t>Dispõe sobre a promoção da mobilidade sustentável de baixo carbono e a captura e a estocagem geológica de dióxido de carbono; institui o Programa Nacional de Combustível Sustentável de Aviação (</w:t>
            </w:r>
            <w:proofErr w:type="spellStart"/>
            <w:r w:rsidRPr="003B1CB8">
              <w:rPr>
                <w:rFonts w:ascii="Book Antiqua" w:eastAsia="Times New Roman" w:hAnsi="Book Antiqua" w:cs="Arial"/>
                <w:color w:val="800000"/>
                <w:kern w:val="0"/>
                <w:sz w:val="18"/>
                <w:szCs w:val="18"/>
                <w:lang w:eastAsia="pt-BR"/>
                <w14:ligatures w14:val="none"/>
              </w:rPr>
              <w:t>ProBioQAV</w:t>
            </w:r>
            <w:proofErr w:type="spellEnd"/>
            <w:r w:rsidRPr="003B1CB8">
              <w:rPr>
                <w:rFonts w:ascii="Book Antiqua" w:eastAsia="Times New Roman" w:hAnsi="Book Antiqua" w:cs="Arial"/>
                <w:color w:val="800000"/>
                <w:kern w:val="0"/>
                <w:sz w:val="18"/>
                <w:szCs w:val="18"/>
                <w:lang w:eastAsia="pt-BR"/>
                <w14:ligatures w14:val="none"/>
              </w:rPr>
              <w:t xml:space="preserve">), o Programa Nacional de Diesel Verde (PNDV) e o Programa Nacional de Descarbonização do Produtor e Importador de Gás Natural e de Incentivo ao </w:t>
            </w:r>
            <w:proofErr w:type="spellStart"/>
            <w:r w:rsidRPr="003B1CB8">
              <w:rPr>
                <w:rFonts w:ascii="Book Antiqua" w:eastAsia="Times New Roman" w:hAnsi="Book Antiqua" w:cs="Arial"/>
                <w:color w:val="800000"/>
                <w:kern w:val="0"/>
                <w:sz w:val="18"/>
                <w:szCs w:val="18"/>
                <w:lang w:eastAsia="pt-BR"/>
                <w14:ligatures w14:val="none"/>
              </w:rPr>
              <w:t>Biometano</w:t>
            </w:r>
            <w:proofErr w:type="spellEnd"/>
            <w:r w:rsidRPr="003B1CB8">
              <w:rPr>
                <w:rFonts w:ascii="Book Antiqua" w:eastAsia="Times New Roman" w:hAnsi="Book Antiqua" w:cs="Arial"/>
                <w:color w:val="800000"/>
                <w:kern w:val="0"/>
                <w:sz w:val="18"/>
                <w:szCs w:val="18"/>
                <w:lang w:eastAsia="pt-BR"/>
                <w14:ligatures w14:val="none"/>
              </w:rPr>
              <w:t xml:space="preserve">; altera as Leis </w:t>
            </w:r>
            <w:proofErr w:type="spellStart"/>
            <w:r w:rsidRPr="003B1CB8">
              <w:rPr>
                <w:rFonts w:ascii="Book Antiqua" w:eastAsia="Times New Roman" w:hAnsi="Book Antiqua" w:cs="Arial"/>
                <w:color w:val="800000"/>
                <w:kern w:val="0"/>
                <w:sz w:val="18"/>
                <w:szCs w:val="18"/>
                <w:lang w:eastAsia="pt-BR"/>
                <w14:ligatures w14:val="none"/>
              </w:rPr>
              <w:t>nºs</w:t>
            </w:r>
            <w:proofErr w:type="spellEnd"/>
            <w:r w:rsidRPr="003B1CB8">
              <w:rPr>
                <w:rFonts w:ascii="Book Antiqua" w:eastAsia="Times New Roman" w:hAnsi="Book Antiqua" w:cs="Arial"/>
                <w:color w:val="800000"/>
                <w:kern w:val="0"/>
                <w:sz w:val="18"/>
                <w:szCs w:val="18"/>
                <w:lang w:eastAsia="pt-BR"/>
                <w14:ligatures w14:val="none"/>
              </w:rPr>
              <w:t xml:space="preserve"> 9.478, de 6 de agosto de 1997, 9.847, de 26 de outubro de 1999, 8.723, de 28 de outubro de 1993, e 13.033, de 24 de setembro de 2014; e revoga dispositivo da Lei nº 10.438, de 26 de abril de 2002.</w:t>
            </w:r>
          </w:p>
        </w:tc>
      </w:tr>
    </w:tbl>
    <w:p w14:paraId="272160FD" w14:textId="77777777" w:rsidR="003B1CB8" w:rsidRPr="003B1CB8" w:rsidRDefault="003B1CB8" w:rsidP="003B1CB8">
      <w:pPr>
        <w:spacing w:before="100" w:beforeAutospacing="1" w:after="100" w:afterAutospacing="1" w:line="240" w:lineRule="auto"/>
        <w:ind w:firstLine="570"/>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b/>
          <w:bCs/>
          <w:color w:val="000000"/>
          <w:kern w:val="0"/>
          <w:sz w:val="19"/>
          <w:szCs w:val="19"/>
          <w:lang w:eastAsia="pt-BR"/>
          <w14:ligatures w14:val="none"/>
        </w:rPr>
        <w:t>O PRESIDENTE DA </w:t>
      </w:r>
      <w:proofErr w:type="gramStart"/>
      <w:r w:rsidRPr="003B1CB8">
        <w:rPr>
          <w:rFonts w:ascii="Book Antiqua" w:eastAsia="Times New Roman" w:hAnsi="Book Antiqua" w:cs="Arial"/>
          <w:b/>
          <w:bCs/>
          <w:color w:val="000000"/>
          <w:kern w:val="0"/>
          <w:sz w:val="19"/>
          <w:szCs w:val="19"/>
          <w:lang w:eastAsia="pt-BR"/>
          <w14:ligatures w14:val="none"/>
        </w:rPr>
        <w:t>REPÚBLICA  </w:t>
      </w:r>
      <w:r w:rsidRPr="003B1CB8">
        <w:rPr>
          <w:rFonts w:ascii="Book Antiqua" w:eastAsia="Times New Roman" w:hAnsi="Book Antiqua" w:cs="Arial"/>
          <w:color w:val="000000"/>
          <w:kern w:val="0"/>
          <w:sz w:val="19"/>
          <w:szCs w:val="19"/>
          <w:lang w:eastAsia="pt-BR"/>
          <w14:ligatures w14:val="none"/>
        </w:rPr>
        <w:t>Faço</w:t>
      </w:r>
      <w:proofErr w:type="gramEnd"/>
      <w:r w:rsidRPr="003B1CB8">
        <w:rPr>
          <w:rFonts w:ascii="Book Antiqua" w:eastAsia="Times New Roman" w:hAnsi="Book Antiqua" w:cs="Arial"/>
          <w:color w:val="000000"/>
          <w:kern w:val="0"/>
          <w:sz w:val="19"/>
          <w:szCs w:val="19"/>
          <w:lang w:eastAsia="pt-BR"/>
          <w14:ligatures w14:val="none"/>
        </w:rPr>
        <w:t xml:space="preserve"> saber que o Congresso Nacional decreta e eu sanciono a seguinte Lei:</w:t>
      </w:r>
    </w:p>
    <w:p w14:paraId="46927F2F"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I</w:t>
      </w:r>
    </w:p>
    <w:p w14:paraId="7D260D88"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DISPOSIÇÕES GERAIS</w:t>
      </w:r>
    </w:p>
    <w:p w14:paraId="37E203F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3B1CB8">
        <w:rPr>
          <w:rFonts w:ascii="Book Antiqua" w:eastAsia="Times New Roman" w:hAnsi="Book Antiqua" w:cs="Arial"/>
          <w:color w:val="000000"/>
          <w:kern w:val="0"/>
          <w:sz w:val="19"/>
          <w:szCs w:val="19"/>
          <w:lang w:eastAsia="pt-BR"/>
          <w14:ligatures w14:val="none"/>
        </w:rPr>
        <w:t>Art. 1º Esta Lei:</w:t>
      </w:r>
    </w:p>
    <w:p w14:paraId="74BF8B7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institui</w:t>
      </w:r>
      <w:proofErr w:type="gramEnd"/>
      <w:r w:rsidRPr="003B1CB8">
        <w:rPr>
          <w:rFonts w:ascii="Book Antiqua" w:eastAsia="Times New Roman" w:hAnsi="Book Antiqua" w:cs="Arial"/>
          <w:color w:val="000000"/>
          <w:kern w:val="0"/>
          <w:sz w:val="19"/>
          <w:szCs w:val="19"/>
          <w:lang w:eastAsia="pt-BR"/>
          <w14:ligatures w14:val="none"/>
        </w:rPr>
        <w:t xml:space="preserve"> o Programa Nacional de Combustível Sustentável de Aviação (</w:t>
      </w:r>
      <w:proofErr w:type="spellStart"/>
      <w:r w:rsidRPr="003B1CB8">
        <w:rPr>
          <w:rFonts w:ascii="Book Antiqua" w:eastAsia="Times New Roman" w:hAnsi="Book Antiqua" w:cs="Arial"/>
          <w:color w:val="000000"/>
          <w:kern w:val="0"/>
          <w:sz w:val="19"/>
          <w:szCs w:val="19"/>
          <w:lang w:eastAsia="pt-BR"/>
          <w14:ligatures w14:val="none"/>
        </w:rPr>
        <w:t>ProBioQAV</w:t>
      </w:r>
      <w:proofErr w:type="spellEnd"/>
      <w:r w:rsidRPr="003B1CB8">
        <w:rPr>
          <w:rFonts w:ascii="Book Antiqua" w:eastAsia="Times New Roman" w:hAnsi="Book Antiqua" w:cs="Arial"/>
          <w:color w:val="000000"/>
          <w:kern w:val="0"/>
          <w:sz w:val="19"/>
          <w:szCs w:val="19"/>
          <w:lang w:eastAsia="pt-BR"/>
          <w14:ligatures w14:val="none"/>
        </w:rPr>
        <w:t xml:space="preserve">), o Programa Nacional de Diesel Verde (PNDV) e o Programa Nacional de Descarbonização do Produtor e Importador de Gás Natural e de Incentivo ao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7356923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altera</w:t>
      </w:r>
      <w:proofErr w:type="gramEnd"/>
      <w:r w:rsidRPr="003B1CB8">
        <w:rPr>
          <w:rFonts w:ascii="Book Antiqua" w:eastAsia="Times New Roman" w:hAnsi="Book Antiqua" w:cs="Arial"/>
          <w:color w:val="000000"/>
          <w:kern w:val="0"/>
          <w:sz w:val="19"/>
          <w:szCs w:val="19"/>
          <w:lang w:eastAsia="pt-BR"/>
          <w14:ligatures w14:val="none"/>
        </w:rPr>
        <w:t xml:space="preserve"> os limites máximo e mínimo do teor de mistura de etanol anidro à gasolina C comercializada ao consumidor final e do teor de mistura de biodiesel ao diesel comercializado ao consumidor final;</w:t>
      </w:r>
    </w:p>
    <w:p w14:paraId="5B356D4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dispõe sobre a regulamentação e a fiscalização das atividades de captura e de estocagem geológica de dióxido de carbono e de produção e comercialização dos combustíveis sintéticos;</w:t>
      </w:r>
    </w:p>
    <w:p w14:paraId="2BAF0AE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IV – </w:t>
      </w:r>
      <w:proofErr w:type="gramStart"/>
      <w:r w:rsidRPr="003B1CB8">
        <w:rPr>
          <w:rFonts w:ascii="Book Antiqua" w:eastAsia="Times New Roman" w:hAnsi="Book Antiqua" w:cs="Arial"/>
          <w:color w:val="000000"/>
          <w:kern w:val="0"/>
          <w:sz w:val="19"/>
          <w:szCs w:val="19"/>
          <w:lang w:eastAsia="pt-BR"/>
          <w14:ligatures w14:val="none"/>
        </w:rPr>
        <w:t>integra</w:t>
      </w:r>
      <w:proofErr w:type="gramEnd"/>
      <w:r w:rsidRPr="003B1CB8">
        <w:rPr>
          <w:rFonts w:ascii="Book Antiqua" w:eastAsia="Times New Roman" w:hAnsi="Book Antiqua" w:cs="Arial"/>
          <w:color w:val="000000"/>
          <w:kern w:val="0"/>
          <w:sz w:val="19"/>
          <w:szCs w:val="19"/>
          <w:lang w:eastAsia="pt-BR"/>
          <w14:ligatures w14:val="none"/>
        </w:rPr>
        <w:t xml:space="preserve"> iniciativas e medidas adotadas no âmbito da Política Nacional de Biocombustíveis (</w:t>
      </w:r>
      <w:proofErr w:type="spellStart"/>
      <w:r w:rsidRPr="003B1CB8">
        <w:rPr>
          <w:rFonts w:ascii="Book Antiqua" w:eastAsia="Times New Roman" w:hAnsi="Book Antiqua" w:cs="Arial"/>
          <w:color w:val="000000"/>
          <w:kern w:val="0"/>
          <w:sz w:val="19"/>
          <w:szCs w:val="19"/>
          <w:lang w:eastAsia="pt-BR"/>
          <w14:ligatures w14:val="none"/>
        </w:rPr>
        <w:t>RenovaBio</w:t>
      </w:r>
      <w:proofErr w:type="spellEnd"/>
      <w:r w:rsidRPr="003B1CB8">
        <w:rPr>
          <w:rFonts w:ascii="Book Antiqua" w:eastAsia="Times New Roman" w:hAnsi="Book Antiqua" w:cs="Arial"/>
          <w:color w:val="000000"/>
          <w:kern w:val="0"/>
          <w:sz w:val="19"/>
          <w:szCs w:val="19"/>
          <w:lang w:eastAsia="pt-BR"/>
          <w14:ligatures w14:val="none"/>
        </w:rPr>
        <w:t>), do Programa Mobilidade Verde e Inovação (Programa Mover), do Programa Brasileiro de Etiquetagem Veicular (PBEV) e do Programa de Controle de Emissões Veiculares (Proconve).</w:t>
      </w:r>
    </w:p>
    <w:p w14:paraId="7541F0E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3B1CB8">
        <w:rPr>
          <w:rFonts w:ascii="Book Antiqua" w:eastAsia="Times New Roman" w:hAnsi="Book Antiqua" w:cs="Arial"/>
          <w:color w:val="000000"/>
          <w:kern w:val="0"/>
          <w:sz w:val="19"/>
          <w:szCs w:val="19"/>
          <w:lang w:eastAsia="pt-BR"/>
          <w14:ligatures w14:val="none"/>
        </w:rPr>
        <w:t>Art. 2º Para fins desta Lei, considera-se:</w:t>
      </w:r>
    </w:p>
    <w:p w14:paraId="7DC45FA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agente</w:t>
      </w:r>
      <w:proofErr w:type="gramEnd"/>
      <w:r w:rsidRPr="003B1CB8">
        <w:rPr>
          <w:rFonts w:ascii="Book Antiqua" w:eastAsia="Times New Roman" w:hAnsi="Book Antiqua" w:cs="Arial"/>
          <w:color w:val="000000"/>
          <w:kern w:val="0"/>
          <w:sz w:val="19"/>
          <w:szCs w:val="19"/>
          <w:lang w:eastAsia="pt-BR"/>
          <w14:ligatures w14:val="none"/>
        </w:rPr>
        <w:t xml:space="preserve"> certificador de origem: organismo ou empresa credenciada pela Agência Nacional do Petróleo, Gás Natural e Biocombustíveis (ANP) para realizar a certificação do produtor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com vistas à emissão do Certificado de Garantia de Origem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(CGOB);</w:t>
      </w:r>
    </w:p>
    <w:p w14:paraId="719591D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avaliação</w:t>
      </w:r>
      <w:proofErr w:type="gramEnd"/>
      <w:r w:rsidRPr="003B1CB8">
        <w:rPr>
          <w:rFonts w:ascii="Book Antiqua" w:eastAsia="Times New Roman" w:hAnsi="Book Antiqua" w:cs="Arial"/>
          <w:color w:val="000000"/>
          <w:kern w:val="0"/>
          <w:sz w:val="19"/>
          <w:szCs w:val="19"/>
          <w:lang w:eastAsia="pt-BR"/>
          <w14:ligatures w14:val="none"/>
        </w:rPr>
        <w:t xml:space="preserve"> do ciclo de vida: metodologia abrangente e padronizada internacionalmente para quantificar todas as emissões de gases de efeito estufa (GEE) e o consumo de energia de produto ou serviço, incorporados todos os recursos relevantes consumidos e os impactos gerados até a utilização do produto ou serviço produzido;</w:t>
      </w:r>
    </w:p>
    <w:p w14:paraId="12096DD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captura de dióxido de carbono: processo físico-químico ou biológico de remoção de dióxido de carbono da atmosfera e de fontes estacionárias de emissão;</w:t>
      </w:r>
    </w:p>
    <w:p w14:paraId="0EC72DD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IV - Certificado de Garantia de Origem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(CGOB): certificado de rastreabilidade lastreado em volume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produzido e comercializado pelo produtor de biocombustível, emitido por agente certificador de origem credenciado pela ANP, que atesta as características do processo produtivo e que deve incluir, pelo menos, a origem do insumo para produção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a localização da produção, além de outros itens dispostos em regulamento;</w:t>
      </w:r>
    </w:p>
    <w:p w14:paraId="0A356F9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 - </w:t>
      </w:r>
      <w:proofErr w:type="gramStart"/>
      <w:r w:rsidRPr="003B1CB8">
        <w:rPr>
          <w:rFonts w:ascii="Book Antiqua" w:eastAsia="Times New Roman" w:hAnsi="Book Antiqua" w:cs="Arial"/>
          <w:color w:val="000000"/>
          <w:kern w:val="0"/>
          <w:sz w:val="19"/>
          <w:szCs w:val="19"/>
          <w:lang w:eastAsia="pt-BR"/>
          <w14:ligatures w14:val="none"/>
        </w:rPr>
        <w:t>ciclo</w:t>
      </w:r>
      <w:proofErr w:type="gramEnd"/>
      <w:r w:rsidRPr="003B1CB8">
        <w:rPr>
          <w:rFonts w:ascii="Book Antiqua" w:eastAsia="Times New Roman" w:hAnsi="Book Antiqua" w:cs="Arial"/>
          <w:color w:val="000000"/>
          <w:kern w:val="0"/>
          <w:sz w:val="19"/>
          <w:szCs w:val="19"/>
          <w:lang w:eastAsia="pt-BR"/>
          <w14:ligatures w14:val="none"/>
        </w:rPr>
        <w:t xml:space="preserve"> de vida: estágios consecutivos e encadeados de um sistema de produto usado para a mobilidade, desde a produção da matéria-prima ou de sua geração a partir de recursos naturais até sua disposição final;</w:t>
      </w:r>
    </w:p>
    <w:p w14:paraId="3F05A97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 xml:space="preserve">VI - </w:t>
      </w:r>
      <w:proofErr w:type="gramStart"/>
      <w:r w:rsidRPr="003B1CB8">
        <w:rPr>
          <w:rFonts w:ascii="Book Antiqua" w:eastAsia="Times New Roman" w:hAnsi="Book Antiqua" w:cs="Arial"/>
          <w:color w:val="000000"/>
          <w:kern w:val="0"/>
          <w:sz w:val="19"/>
          <w:szCs w:val="19"/>
          <w:lang w:eastAsia="pt-BR"/>
          <w14:ligatures w14:val="none"/>
        </w:rPr>
        <w:t>ciclo</w:t>
      </w:r>
      <w:proofErr w:type="gramEnd"/>
      <w:r w:rsidRPr="003B1CB8">
        <w:rPr>
          <w:rFonts w:ascii="Book Antiqua" w:eastAsia="Times New Roman" w:hAnsi="Book Antiqua" w:cs="Arial"/>
          <w:color w:val="000000"/>
          <w:kern w:val="0"/>
          <w:sz w:val="19"/>
          <w:szCs w:val="19"/>
          <w:lang w:eastAsia="pt-BR"/>
          <w14:ligatures w14:val="none"/>
        </w:rPr>
        <w:t xml:space="preserve"> do poço à queima: ciclo de vida que contabiliza as emissões de GEE oriundas dos processos de cultivo e extração de recursos e da produção dos combustíveis líquidos ou gasosos ou da energia elétrica, sua distribuição e utilização em aeronaves;</w:t>
      </w:r>
    </w:p>
    <w:p w14:paraId="57436FB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 - ciclo do poço à roda: ciclo de vida que contabiliza as emissões de GEE oriundas dos processos de cultivo e extração de recursos e da produção dos combustíveis líquidos ou gasosos ou da energia elétrica, sua distribuição e utilização em veículos leves e pesados de passageiros e comerciais;</w:t>
      </w:r>
    </w:p>
    <w:p w14:paraId="51214A0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VIII - ciclo do berço ao túmulo: ciclo de vida que considera as emissões de GEE incorporadas no ciclo do poço à roda, acrescidas daquelas geradas desde a extração de recursos e na fabricação de autopeças, na montagem e no descarte dos veículos leves e pesados de passageiros e comerciais;</w:t>
      </w:r>
    </w:p>
    <w:p w14:paraId="0522794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IX - </w:t>
      </w:r>
      <w:proofErr w:type="gramStart"/>
      <w:r w:rsidRPr="003B1CB8">
        <w:rPr>
          <w:rFonts w:ascii="Book Antiqua" w:eastAsia="Times New Roman" w:hAnsi="Book Antiqua" w:cs="Arial"/>
          <w:color w:val="000000"/>
          <w:kern w:val="0"/>
          <w:sz w:val="19"/>
          <w:szCs w:val="19"/>
          <w:lang w:eastAsia="pt-BR"/>
          <w14:ligatures w14:val="none"/>
        </w:rPr>
        <w:t>ciclo</w:t>
      </w:r>
      <w:proofErr w:type="gramEnd"/>
      <w:r w:rsidRPr="003B1CB8">
        <w:rPr>
          <w:rFonts w:ascii="Book Antiqua" w:eastAsia="Times New Roman" w:hAnsi="Book Antiqua" w:cs="Arial"/>
          <w:color w:val="000000"/>
          <w:kern w:val="0"/>
          <w:sz w:val="19"/>
          <w:szCs w:val="19"/>
          <w:lang w:eastAsia="pt-BR"/>
          <w14:ligatures w14:val="none"/>
        </w:rPr>
        <w:t xml:space="preserve"> do tanque à roda: ciclo de vida que contabiliza consumo energético envolvido no uso de veículos leves e pesados dentro de um ciclo de uso padronizado;</w:t>
      </w:r>
    </w:p>
    <w:p w14:paraId="1693D7F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X - </w:t>
      </w:r>
      <w:proofErr w:type="gramStart"/>
      <w:r w:rsidRPr="003B1CB8">
        <w:rPr>
          <w:rFonts w:ascii="Book Antiqua" w:eastAsia="Times New Roman" w:hAnsi="Book Antiqua" w:cs="Arial"/>
          <w:color w:val="000000"/>
          <w:kern w:val="0"/>
          <w:sz w:val="19"/>
          <w:szCs w:val="19"/>
          <w:lang w:eastAsia="pt-BR"/>
          <w14:ligatures w14:val="none"/>
        </w:rPr>
        <w:t>consumo</w:t>
      </w:r>
      <w:proofErr w:type="gramEnd"/>
      <w:r w:rsidRPr="003B1CB8">
        <w:rPr>
          <w:rFonts w:ascii="Book Antiqua" w:eastAsia="Times New Roman" w:hAnsi="Book Antiqua" w:cs="Arial"/>
          <w:color w:val="000000"/>
          <w:kern w:val="0"/>
          <w:sz w:val="19"/>
          <w:szCs w:val="19"/>
          <w:lang w:eastAsia="pt-BR"/>
          <w14:ligatures w14:val="none"/>
        </w:rPr>
        <w:t xml:space="preserve"> energético: relação entre a energia medida no ciclo do tanque à roda despendida para deslocar um veículo por uma distância definida, expressa em </w:t>
      </w:r>
      <w:proofErr w:type="spellStart"/>
      <w:r w:rsidRPr="003B1CB8">
        <w:rPr>
          <w:rFonts w:ascii="Book Antiqua" w:eastAsia="Times New Roman" w:hAnsi="Book Antiqua" w:cs="Arial"/>
          <w:color w:val="000000"/>
          <w:kern w:val="0"/>
          <w:sz w:val="19"/>
          <w:szCs w:val="19"/>
          <w:lang w:eastAsia="pt-BR"/>
          <w14:ligatures w14:val="none"/>
        </w:rPr>
        <w:t>megajoule</w:t>
      </w:r>
      <w:proofErr w:type="spellEnd"/>
      <w:r w:rsidRPr="003B1CB8">
        <w:rPr>
          <w:rFonts w:ascii="Book Antiqua" w:eastAsia="Times New Roman" w:hAnsi="Book Antiqua" w:cs="Arial"/>
          <w:color w:val="000000"/>
          <w:kern w:val="0"/>
          <w:sz w:val="19"/>
          <w:szCs w:val="19"/>
          <w:lang w:eastAsia="pt-BR"/>
          <w14:ligatures w14:val="none"/>
        </w:rPr>
        <w:t xml:space="preserve"> por quilômetro (MJ/km) para veículos leves ou em </w:t>
      </w:r>
      <w:proofErr w:type="spellStart"/>
      <w:r w:rsidRPr="003B1CB8">
        <w:rPr>
          <w:rFonts w:ascii="Book Antiqua" w:eastAsia="Times New Roman" w:hAnsi="Book Antiqua" w:cs="Arial"/>
          <w:color w:val="000000"/>
          <w:kern w:val="0"/>
          <w:sz w:val="19"/>
          <w:szCs w:val="19"/>
          <w:lang w:eastAsia="pt-BR"/>
          <w14:ligatures w14:val="none"/>
        </w:rPr>
        <w:t>megajoule</w:t>
      </w:r>
      <w:proofErr w:type="spellEnd"/>
      <w:r w:rsidRPr="003B1CB8">
        <w:rPr>
          <w:rFonts w:ascii="Book Antiqua" w:eastAsia="Times New Roman" w:hAnsi="Book Antiqua" w:cs="Arial"/>
          <w:color w:val="000000"/>
          <w:kern w:val="0"/>
          <w:sz w:val="19"/>
          <w:szCs w:val="19"/>
          <w:lang w:eastAsia="pt-BR"/>
          <w14:ligatures w14:val="none"/>
        </w:rPr>
        <w:t xml:space="preserve"> por tonelada transportada por quilômetro (MJ/t.km) para veículos pesados;</w:t>
      </w:r>
    </w:p>
    <w:p w14:paraId="40CFD3A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XI - emissão de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no ciclo do poço à roda veicular: relação entre a quantidade de GEE medidos em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no ciclo do poço à roda emitida por um veículo ao se deslocar por uma distância de 1 km (um quilômetro), expressa em gramas de dióxido de carbono equivalente por quilômetro (gCO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e/km);</w:t>
      </w:r>
    </w:p>
    <w:p w14:paraId="7FF8643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XII - estocagem geológica de dióxido de carbono: processo de injeção de dióxido de carbono em reservatórios geológicos;</w:t>
      </w:r>
    </w:p>
    <w:p w14:paraId="772A9AE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XIII – dióxido de carbono equivalente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GEE expressos na base de gás carbônico equivalente;</w:t>
      </w:r>
    </w:p>
    <w:p w14:paraId="38857DD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XIV - gases de efeito estufa (GEE): constituintes gasosos, naturais ou antrópicos, que absorvem e reemitem radiação infravermelha na atmosfera e colaboram para o aumento da temperatura média global;</w:t>
      </w:r>
    </w:p>
    <w:p w14:paraId="7439669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XV - Intensidade de Carbono da Fonte de Energia (ICE): relação entre a emissão de GEE, com base em avaliação do ciclo de vida, computada no processo produtivo do combustível ou fonte energética e seu uso, expressa em gramas de dióxido de carbono equivalente por </w:t>
      </w:r>
      <w:proofErr w:type="spellStart"/>
      <w:r w:rsidRPr="003B1CB8">
        <w:rPr>
          <w:rFonts w:ascii="Book Antiqua" w:eastAsia="Times New Roman" w:hAnsi="Book Antiqua" w:cs="Arial"/>
          <w:color w:val="000000"/>
          <w:kern w:val="0"/>
          <w:sz w:val="19"/>
          <w:szCs w:val="19"/>
          <w:lang w:eastAsia="pt-BR"/>
          <w14:ligatures w14:val="none"/>
        </w:rPr>
        <w:t>megajoule</w:t>
      </w:r>
      <w:proofErr w:type="spellEnd"/>
      <w:r w:rsidRPr="003B1CB8">
        <w:rPr>
          <w:rFonts w:ascii="Book Antiqua" w:eastAsia="Times New Roman" w:hAnsi="Book Antiqua" w:cs="Arial"/>
          <w:color w:val="000000"/>
          <w:kern w:val="0"/>
          <w:sz w:val="19"/>
          <w:szCs w:val="19"/>
          <w:lang w:eastAsia="pt-BR"/>
          <w14:ligatures w14:val="none"/>
        </w:rPr>
        <w:t xml:space="preserve"> (gCO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e/MJ);</w:t>
      </w:r>
    </w:p>
    <w:p w14:paraId="59208AC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XVI - operador aéreo: empresa constituída que explora ou se propõe a explorar aeronaves para prestação dos serviços de transporte aéreo regular e não regular;</w:t>
      </w:r>
    </w:p>
    <w:p w14:paraId="50783CC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XVII – operador de estocagem geológica de dióxido de carbono: pessoa jurídica que realiza as atividades de injeção de dióxido de carbono em formação geológica ou sua retirada para reaproveitamento.</w:t>
      </w:r>
    </w:p>
    <w:p w14:paraId="2FC03AE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3B1CB8">
        <w:rPr>
          <w:rFonts w:ascii="Book Antiqua" w:eastAsia="Times New Roman" w:hAnsi="Book Antiqua" w:cs="Arial"/>
          <w:color w:val="000000"/>
          <w:kern w:val="0"/>
          <w:sz w:val="19"/>
          <w:szCs w:val="19"/>
          <w:lang w:eastAsia="pt-BR"/>
          <w14:ligatures w14:val="none"/>
        </w:rPr>
        <w:t xml:space="preserve">Art. 3º São diretrizes para promoção da mobilidade sustentável de baixo carbono e do </w:t>
      </w:r>
      <w:proofErr w:type="spellStart"/>
      <w:r w:rsidRPr="003B1CB8">
        <w:rPr>
          <w:rFonts w:ascii="Book Antiqua" w:eastAsia="Times New Roman" w:hAnsi="Book Antiqua" w:cs="Arial"/>
          <w:color w:val="000000"/>
          <w:kern w:val="0"/>
          <w:sz w:val="19"/>
          <w:szCs w:val="19"/>
          <w:lang w:eastAsia="pt-BR"/>
          <w14:ligatures w14:val="none"/>
        </w:rPr>
        <w:t>ProBioQAV</w:t>
      </w:r>
      <w:proofErr w:type="spellEnd"/>
      <w:r w:rsidRPr="003B1CB8">
        <w:rPr>
          <w:rFonts w:ascii="Book Antiqua" w:eastAsia="Times New Roman" w:hAnsi="Book Antiqua" w:cs="Arial"/>
          <w:color w:val="000000"/>
          <w:kern w:val="0"/>
          <w:sz w:val="19"/>
          <w:szCs w:val="19"/>
          <w:lang w:eastAsia="pt-BR"/>
          <w14:ligatures w14:val="none"/>
        </w:rPr>
        <w:t>:</w:t>
      </w:r>
    </w:p>
    <w:p w14:paraId="7CA10BA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integração</w:t>
      </w:r>
      <w:proofErr w:type="gramEnd"/>
      <w:r w:rsidRPr="003B1CB8">
        <w:rPr>
          <w:rFonts w:ascii="Book Antiqua" w:eastAsia="Times New Roman" w:hAnsi="Book Antiqua" w:cs="Arial"/>
          <w:color w:val="000000"/>
          <w:kern w:val="0"/>
          <w:sz w:val="19"/>
          <w:szCs w:val="19"/>
          <w:lang w:eastAsia="pt-BR"/>
          <w14:ligatures w14:val="none"/>
        </w:rPr>
        <w:t xml:space="preserve"> das políticas públicas para incremento da eficiência de produção dos combustíveis líquidos ou gasosos ou da energia elétrica e dos dispositivos de geração de potência como motores a combustão, elétricos, turbinas e células a combustível;</w:t>
      </w:r>
    </w:p>
    <w:p w14:paraId="494A08E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valorização</w:t>
      </w:r>
      <w:proofErr w:type="gramEnd"/>
      <w:r w:rsidRPr="003B1CB8">
        <w:rPr>
          <w:rFonts w:ascii="Book Antiqua" w:eastAsia="Times New Roman" w:hAnsi="Book Antiqua" w:cs="Arial"/>
          <w:color w:val="000000"/>
          <w:kern w:val="0"/>
          <w:sz w:val="19"/>
          <w:szCs w:val="19"/>
          <w:lang w:eastAsia="pt-BR"/>
          <w14:ligatures w14:val="none"/>
        </w:rPr>
        <w:t xml:space="preserve"> do potencial nacional de oferta de fontes energéticas renováveis e de baixo carbono;</w:t>
      </w:r>
    </w:p>
    <w:p w14:paraId="38442E9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III - uso da captura e da estocagem geológica de dióxido de carbono para reduzir a intensidade média de carbono das fontes de energia;</w:t>
      </w:r>
    </w:p>
    <w:p w14:paraId="2ABCBBF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IV - </w:t>
      </w:r>
      <w:proofErr w:type="gramStart"/>
      <w:r w:rsidRPr="003B1CB8">
        <w:rPr>
          <w:rFonts w:ascii="Book Antiqua" w:eastAsia="Times New Roman" w:hAnsi="Book Antiqua" w:cs="Arial"/>
          <w:color w:val="000000"/>
          <w:kern w:val="0"/>
          <w:sz w:val="19"/>
          <w:szCs w:val="19"/>
          <w:lang w:eastAsia="pt-BR"/>
          <w14:ligatures w14:val="none"/>
        </w:rPr>
        <w:t>manutenção</w:t>
      </w:r>
      <w:proofErr w:type="gramEnd"/>
      <w:r w:rsidRPr="003B1CB8">
        <w:rPr>
          <w:rFonts w:ascii="Book Antiqua" w:eastAsia="Times New Roman" w:hAnsi="Book Antiqua" w:cs="Arial"/>
          <w:color w:val="000000"/>
          <w:kern w:val="0"/>
          <w:sz w:val="19"/>
          <w:szCs w:val="19"/>
          <w:lang w:eastAsia="pt-BR"/>
          <w14:ligatures w14:val="none"/>
        </w:rPr>
        <w:t xml:space="preserve"> do reconhecimento da liderança do País no tema Transição Energética no Diálogo de Alto Nível das Nações Unidas sobre Energia;</w:t>
      </w:r>
    </w:p>
    <w:p w14:paraId="25849DE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 - </w:t>
      </w:r>
      <w:proofErr w:type="gramStart"/>
      <w:r w:rsidRPr="003B1CB8">
        <w:rPr>
          <w:rFonts w:ascii="Book Antiqua" w:eastAsia="Times New Roman" w:hAnsi="Book Antiqua" w:cs="Arial"/>
          <w:color w:val="000000"/>
          <w:kern w:val="0"/>
          <w:sz w:val="19"/>
          <w:szCs w:val="19"/>
          <w:lang w:eastAsia="pt-BR"/>
          <w14:ligatures w14:val="none"/>
        </w:rPr>
        <w:t>cumprimento</w:t>
      </w:r>
      <w:proofErr w:type="gramEnd"/>
      <w:r w:rsidRPr="003B1CB8">
        <w:rPr>
          <w:rFonts w:ascii="Book Antiqua" w:eastAsia="Times New Roman" w:hAnsi="Book Antiqua" w:cs="Arial"/>
          <w:color w:val="000000"/>
          <w:kern w:val="0"/>
          <w:sz w:val="19"/>
          <w:szCs w:val="19"/>
          <w:lang w:eastAsia="pt-BR"/>
          <w14:ligatures w14:val="none"/>
        </w:rPr>
        <w:t xml:space="preserve"> das diretrizes para uma Estratégia Nacional para Neutralidade Climática apresentadas pelo País na Conferência das Nações Unidas sobre Mudanças Climáticas;</w:t>
      </w:r>
    </w:p>
    <w:p w14:paraId="6BAB255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VI - </w:t>
      </w:r>
      <w:proofErr w:type="gramStart"/>
      <w:r w:rsidRPr="003B1CB8">
        <w:rPr>
          <w:rFonts w:ascii="Book Antiqua" w:eastAsia="Times New Roman" w:hAnsi="Book Antiqua" w:cs="Arial"/>
          <w:color w:val="000000"/>
          <w:kern w:val="0"/>
          <w:sz w:val="19"/>
          <w:szCs w:val="19"/>
          <w:lang w:eastAsia="pt-BR"/>
          <w14:ligatures w14:val="none"/>
        </w:rPr>
        <w:t>alinhamento</w:t>
      </w:r>
      <w:proofErr w:type="gramEnd"/>
      <w:r w:rsidRPr="003B1CB8">
        <w:rPr>
          <w:rFonts w:ascii="Book Antiqua" w:eastAsia="Times New Roman" w:hAnsi="Book Antiqua" w:cs="Arial"/>
          <w:color w:val="000000"/>
          <w:kern w:val="0"/>
          <w:sz w:val="19"/>
          <w:szCs w:val="19"/>
          <w:lang w:eastAsia="pt-BR"/>
          <w14:ligatures w14:val="none"/>
        </w:rPr>
        <w:t xml:space="preserve"> das metas de redução de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no ciclo de vida aplicável no transporte por veículos leves e pesados aos compromissos internacionais assumidos pelo País no âmbito do Acordo de Paris sob a Convenção-Quadro das Nações Unidas sobre Mudança do Clima; e</w:t>
      </w:r>
    </w:p>
    <w:p w14:paraId="1FC5A80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 - fortalecimento do desenvolvimento tecnológico nacional, com aproveitamento econômico dos insumos disponíveis, do conhecimento científico e da sua aplicação.</w:t>
      </w:r>
    </w:p>
    <w:p w14:paraId="7CCBA10D"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II</w:t>
      </w:r>
    </w:p>
    <w:p w14:paraId="2AEE7CBD"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DA MOBILIDADE SUSTENTÁVEL DE BAIXO CARBONO</w:t>
      </w:r>
    </w:p>
    <w:p w14:paraId="1A3432C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3B1CB8">
        <w:rPr>
          <w:rFonts w:ascii="Book Antiqua" w:eastAsia="Times New Roman" w:hAnsi="Book Antiqua" w:cs="Arial"/>
          <w:color w:val="000000"/>
          <w:kern w:val="0"/>
          <w:sz w:val="19"/>
          <w:szCs w:val="19"/>
          <w:lang w:eastAsia="pt-BR"/>
          <w14:ligatures w14:val="none"/>
        </w:rPr>
        <w:t xml:space="preserve">Art. 4º As iniciativas e as medidas adotadas no âmbito do </w:t>
      </w:r>
      <w:proofErr w:type="spellStart"/>
      <w:r w:rsidRPr="003B1CB8">
        <w:rPr>
          <w:rFonts w:ascii="Book Antiqua" w:eastAsia="Times New Roman" w:hAnsi="Book Antiqua" w:cs="Arial"/>
          <w:color w:val="000000"/>
          <w:kern w:val="0"/>
          <w:sz w:val="19"/>
          <w:szCs w:val="19"/>
          <w:lang w:eastAsia="pt-BR"/>
          <w14:ligatures w14:val="none"/>
        </w:rPr>
        <w:t>RenovaBio</w:t>
      </w:r>
      <w:proofErr w:type="spellEnd"/>
      <w:r w:rsidRPr="003B1CB8">
        <w:rPr>
          <w:rFonts w:ascii="Book Antiqua" w:eastAsia="Times New Roman" w:hAnsi="Book Antiqua" w:cs="Arial"/>
          <w:color w:val="000000"/>
          <w:kern w:val="0"/>
          <w:sz w:val="19"/>
          <w:szCs w:val="19"/>
          <w:lang w:eastAsia="pt-BR"/>
          <w14:ligatures w14:val="none"/>
        </w:rPr>
        <w:t>, do Programa Mover, do PBEV e do Proconve deverão ocorrer de forma integrada, a fim de promover a mobilidade sustentável de baixo carbono.</w:t>
      </w:r>
    </w:p>
    <w:p w14:paraId="5F8DE20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Parágrafo único. A integração entre o </w:t>
      </w:r>
      <w:proofErr w:type="spellStart"/>
      <w:r w:rsidRPr="003B1CB8">
        <w:rPr>
          <w:rFonts w:ascii="Book Antiqua" w:eastAsia="Times New Roman" w:hAnsi="Book Antiqua" w:cs="Arial"/>
          <w:color w:val="000000"/>
          <w:kern w:val="0"/>
          <w:sz w:val="19"/>
          <w:szCs w:val="19"/>
          <w:lang w:eastAsia="pt-BR"/>
          <w14:ligatures w14:val="none"/>
        </w:rPr>
        <w:t>RenovaBio</w:t>
      </w:r>
      <w:proofErr w:type="spellEnd"/>
      <w:r w:rsidRPr="003B1CB8">
        <w:rPr>
          <w:rFonts w:ascii="Book Antiqua" w:eastAsia="Times New Roman" w:hAnsi="Book Antiqua" w:cs="Arial"/>
          <w:color w:val="000000"/>
          <w:kern w:val="0"/>
          <w:sz w:val="19"/>
          <w:szCs w:val="19"/>
          <w:lang w:eastAsia="pt-BR"/>
          <w14:ligatures w14:val="none"/>
        </w:rPr>
        <w:t xml:space="preserve">, o Programa Mover e o PBEV </w:t>
      </w:r>
      <w:proofErr w:type="gramStart"/>
      <w:r w:rsidRPr="003B1CB8">
        <w:rPr>
          <w:rFonts w:ascii="Book Antiqua" w:eastAsia="Times New Roman" w:hAnsi="Book Antiqua" w:cs="Arial"/>
          <w:color w:val="000000"/>
          <w:kern w:val="0"/>
          <w:sz w:val="19"/>
          <w:szCs w:val="19"/>
          <w:lang w:eastAsia="pt-BR"/>
          <w14:ligatures w14:val="none"/>
        </w:rPr>
        <w:t>será</w:t>
      </w:r>
      <w:proofErr w:type="gramEnd"/>
      <w:r w:rsidRPr="003B1CB8">
        <w:rPr>
          <w:rFonts w:ascii="Book Antiqua" w:eastAsia="Times New Roman" w:hAnsi="Book Antiqua" w:cs="Arial"/>
          <w:color w:val="000000"/>
          <w:kern w:val="0"/>
          <w:sz w:val="19"/>
          <w:szCs w:val="19"/>
          <w:lang w:eastAsia="pt-BR"/>
          <w14:ligatures w14:val="none"/>
        </w:rPr>
        <w:t xml:space="preserve"> feita pela adoção da metodologia de análise de ciclo de vida com objetivo de mitigar as emissões de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com melhor custo-benefício, empregados os conceitos de:</w:t>
      </w:r>
    </w:p>
    <w:p w14:paraId="6123F9A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ciclo</w:t>
      </w:r>
      <w:proofErr w:type="gramEnd"/>
      <w:r w:rsidRPr="003B1CB8">
        <w:rPr>
          <w:rFonts w:ascii="Book Antiqua" w:eastAsia="Times New Roman" w:hAnsi="Book Antiqua" w:cs="Arial"/>
          <w:color w:val="000000"/>
          <w:kern w:val="0"/>
          <w:sz w:val="19"/>
          <w:szCs w:val="19"/>
          <w:lang w:eastAsia="pt-BR"/>
          <w14:ligatures w14:val="none"/>
        </w:rPr>
        <w:t xml:space="preserve"> do poço à roda até 31 de dezembro de 2031; e</w:t>
      </w:r>
    </w:p>
    <w:p w14:paraId="3C2E86B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ciclo</w:t>
      </w:r>
      <w:proofErr w:type="gramEnd"/>
      <w:r w:rsidRPr="003B1CB8">
        <w:rPr>
          <w:rFonts w:ascii="Book Antiqua" w:eastAsia="Times New Roman" w:hAnsi="Book Antiqua" w:cs="Arial"/>
          <w:color w:val="000000"/>
          <w:kern w:val="0"/>
          <w:sz w:val="19"/>
          <w:szCs w:val="19"/>
          <w:lang w:eastAsia="pt-BR"/>
          <w14:ligatures w14:val="none"/>
        </w:rPr>
        <w:t xml:space="preserve"> do berço ao túmulo a partir de 1º de janeiro de 2032.</w:t>
      </w:r>
    </w:p>
    <w:p w14:paraId="5FF1FF2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3B1CB8">
        <w:rPr>
          <w:rFonts w:ascii="Book Antiqua" w:eastAsia="Times New Roman" w:hAnsi="Book Antiqua" w:cs="Arial"/>
          <w:color w:val="000000"/>
          <w:kern w:val="0"/>
          <w:sz w:val="19"/>
          <w:szCs w:val="19"/>
          <w:lang w:eastAsia="pt-BR"/>
          <w14:ligatures w14:val="none"/>
        </w:rPr>
        <w:t>Art. 5º Para fins de apuração do cumprimento das metas do Programa Mover, o Conselho Nacional de Política Energética (CNPE) fixará os valores de ICE e a participação dos combustíveis líquidos ou gasosos ou da energia elétrica.</w:t>
      </w:r>
    </w:p>
    <w:p w14:paraId="61D6669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O Ministério do Desenvolvimento, Indústria, Comércio e Serviços definirá as metas do Programa Mover do consumo energético em MJ/km e da emissão de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 no ciclo de vida corporativo em CO</w:t>
      </w:r>
      <w:r w:rsidRPr="003B1CB8">
        <w:rPr>
          <w:rFonts w:ascii="Book Antiqua" w:eastAsia="Times New Roman" w:hAnsi="Book Antiqua" w:cs="Arial"/>
          <w:color w:val="000000"/>
          <w:kern w:val="0"/>
          <w:sz w:val="19"/>
          <w:szCs w:val="19"/>
          <w:vertAlign w:val="subscript"/>
          <w:lang w:eastAsia="pt-BR"/>
          <w14:ligatures w14:val="none"/>
        </w:rPr>
        <w:t>2</w:t>
      </w:r>
      <w:r w:rsidRPr="003B1CB8">
        <w:rPr>
          <w:rFonts w:ascii="Book Antiqua" w:eastAsia="Times New Roman" w:hAnsi="Book Antiqua" w:cs="Arial"/>
          <w:color w:val="000000"/>
          <w:kern w:val="0"/>
          <w:sz w:val="19"/>
          <w:szCs w:val="19"/>
          <w:lang w:eastAsia="pt-BR"/>
          <w14:ligatures w14:val="none"/>
        </w:rPr>
        <w:t>e/km e fiscalizará o seu cumprimento, com base nos valores de ICE, nos termos do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w:t>
      </w:r>
    </w:p>
    <w:p w14:paraId="792B810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Os fabricantes e os importadores de veículos não poderão ser responsabilizados pelo não cumprimento de suas metas devido a divergências entre os valores de ICE médio e de participação dos combustíveis líquidos ou gasosos ou da energia elétrica, de que trata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e aqueles observados de maneira efetiva ao longo do período para o qual as metas foram definidas.</w:t>
      </w:r>
    </w:p>
    <w:p w14:paraId="1500F9C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Para efeito de cálculo das metas do Programa Mover, novas espécies de combustíveis somente poderão ser consideradas após a certificação das emissões no ciclo de vida aplicável.</w:t>
      </w:r>
    </w:p>
    <w:p w14:paraId="617A144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3B1CB8">
        <w:rPr>
          <w:rFonts w:ascii="Book Antiqua" w:eastAsia="Times New Roman" w:hAnsi="Book Antiqua" w:cs="Arial"/>
          <w:color w:val="000000"/>
          <w:kern w:val="0"/>
          <w:sz w:val="19"/>
          <w:szCs w:val="19"/>
          <w:lang w:eastAsia="pt-BR"/>
          <w14:ligatures w14:val="none"/>
        </w:rPr>
        <w:t>Art. 6º O PBEV divulgará as informações para o consumidor das emissões de GEE de cada veículo com base na análise do ciclo de vida aplicável e no consumo energético com base no ciclo do tanque à roda, por veículo.</w:t>
      </w:r>
    </w:p>
    <w:p w14:paraId="2369370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Parágrafo único. As informações de que trata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deverão utilizar unidades de medidas que facilitem o entendimento do consumidor.</w:t>
      </w:r>
    </w:p>
    <w:p w14:paraId="16718ADF"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III</w:t>
      </w:r>
    </w:p>
    <w:p w14:paraId="1CE959BE"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DO PROGRAMA NACIONAL DE COMBUSTÍVEL SUSTENTÁVEL DE AVIAÇÃO (PROBIOQAV)</w:t>
      </w:r>
    </w:p>
    <w:p w14:paraId="3F24818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3B1CB8">
        <w:rPr>
          <w:rFonts w:ascii="Book Antiqua" w:eastAsia="Times New Roman" w:hAnsi="Book Antiqua" w:cs="Arial"/>
          <w:color w:val="000000"/>
          <w:kern w:val="0"/>
          <w:sz w:val="19"/>
          <w:szCs w:val="19"/>
          <w:lang w:eastAsia="pt-BR"/>
          <w14:ligatures w14:val="none"/>
        </w:rPr>
        <w:t xml:space="preserve">Art. 7º O </w:t>
      </w:r>
      <w:proofErr w:type="spellStart"/>
      <w:r w:rsidRPr="003B1CB8">
        <w:rPr>
          <w:rFonts w:ascii="Book Antiqua" w:eastAsia="Times New Roman" w:hAnsi="Book Antiqua" w:cs="Arial"/>
          <w:color w:val="000000"/>
          <w:kern w:val="0"/>
          <w:sz w:val="19"/>
          <w:szCs w:val="19"/>
          <w:lang w:eastAsia="pt-BR"/>
          <w14:ligatures w14:val="none"/>
        </w:rPr>
        <w:t>ProBioQAV</w:t>
      </w:r>
      <w:proofErr w:type="spellEnd"/>
      <w:r w:rsidRPr="003B1CB8">
        <w:rPr>
          <w:rFonts w:ascii="Book Antiqua" w:eastAsia="Times New Roman" w:hAnsi="Book Antiqua" w:cs="Arial"/>
          <w:color w:val="000000"/>
          <w:kern w:val="0"/>
          <w:sz w:val="19"/>
          <w:szCs w:val="19"/>
          <w:lang w:eastAsia="pt-BR"/>
          <w14:ligatures w14:val="none"/>
        </w:rPr>
        <w:t xml:space="preserve"> tem como objetivo incentivar a pesquisa, a produção, a comercialização e o uso energético, na matriz energética brasileira, do combustível sustentável de aviação (</w:t>
      </w:r>
      <w:proofErr w:type="spellStart"/>
      <w:r w:rsidRPr="003B1CB8">
        <w:rPr>
          <w:rFonts w:ascii="Book Antiqua" w:eastAsia="Times New Roman" w:hAnsi="Book Antiqua" w:cs="Arial"/>
          <w:i/>
          <w:iCs/>
          <w:color w:val="000000"/>
          <w:kern w:val="0"/>
          <w:sz w:val="19"/>
          <w:szCs w:val="19"/>
          <w:lang w:eastAsia="pt-BR"/>
          <w14:ligatures w14:val="none"/>
        </w:rPr>
        <w:t>Sustainable</w:t>
      </w:r>
      <w:proofErr w:type="spellEnd"/>
      <w:r w:rsidRPr="003B1CB8">
        <w:rPr>
          <w:rFonts w:ascii="Book Antiqua" w:eastAsia="Times New Roman" w:hAnsi="Book Antiqua" w:cs="Arial"/>
          <w:i/>
          <w:iCs/>
          <w:color w:val="000000"/>
          <w:kern w:val="0"/>
          <w:sz w:val="19"/>
          <w:szCs w:val="19"/>
          <w:lang w:eastAsia="pt-BR"/>
          <w14:ligatures w14:val="none"/>
        </w:rPr>
        <w:t xml:space="preserve"> </w:t>
      </w:r>
      <w:proofErr w:type="spellStart"/>
      <w:r w:rsidRPr="003B1CB8">
        <w:rPr>
          <w:rFonts w:ascii="Book Antiqua" w:eastAsia="Times New Roman" w:hAnsi="Book Antiqua" w:cs="Arial"/>
          <w:i/>
          <w:iCs/>
          <w:color w:val="000000"/>
          <w:kern w:val="0"/>
          <w:sz w:val="19"/>
          <w:szCs w:val="19"/>
          <w:lang w:eastAsia="pt-BR"/>
          <w14:ligatures w14:val="none"/>
        </w:rPr>
        <w:t>Aviation</w:t>
      </w:r>
      <w:proofErr w:type="spellEnd"/>
      <w:r w:rsidRPr="003B1CB8">
        <w:rPr>
          <w:rFonts w:ascii="Book Antiqua" w:eastAsia="Times New Roman" w:hAnsi="Book Antiqua" w:cs="Arial"/>
          <w:i/>
          <w:iCs/>
          <w:color w:val="000000"/>
          <w:kern w:val="0"/>
          <w:sz w:val="19"/>
          <w:szCs w:val="19"/>
          <w:lang w:eastAsia="pt-BR"/>
          <w14:ligatures w14:val="none"/>
        </w:rPr>
        <w:t xml:space="preserve"> </w:t>
      </w:r>
      <w:proofErr w:type="spellStart"/>
      <w:r w:rsidRPr="003B1CB8">
        <w:rPr>
          <w:rFonts w:ascii="Book Antiqua" w:eastAsia="Times New Roman" w:hAnsi="Book Antiqua" w:cs="Arial"/>
          <w:i/>
          <w:iCs/>
          <w:color w:val="000000"/>
          <w:kern w:val="0"/>
          <w:sz w:val="19"/>
          <w:szCs w:val="19"/>
          <w:lang w:eastAsia="pt-BR"/>
          <w14:ligatures w14:val="none"/>
        </w:rPr>
        <w:t>Fuel</w:t>
      </w:r>
      <w:proofErr w:type="spellEnd"/>
      <w:r w:rsidRPr="003B1CB8">
        <w:rPr>
          <w:rFonts w:ascii="Book Antiqua" w:eastAsia="Times New Roman" w:hAnsi="Book Antiqua" w:cs="Arial"/>
          <w:color w:val="000000"/>
          <w:kern w:val="0"/>
          <w:sz w:val="19"/>
          <w:szCs w:val="19"/>
          <w:lang w:eastAsia="pt-BR"/>
          <w14:ligatures w14:val="none"/>
        </w:rPr>
        <w:t> – SAF), de que trata o </w:t>
      </w:r>
      <w:hyperlink r:id="rId5" w:anchor="art6xxxi" w:history="1">
        <w:r w:rsidRPr="003B1CB8">
          <w:rPr>
            <w:rFonts w:ascii="Book Antiqua" w:eastAsia="Times New Roman" w:hAnsi="Book Antiqua" w:cs="Arial"/>
            <w:color w:val="0000FF"/>
            <w:kern w:val="0"/>
            <w:sz w:val="19"/>
            <w:szCs w:val="19"/>
            <w:u w:val="single"/>
            <w:lang w:eastAsia="pt-BR"/>
            <w14:ligatures w14:val="none"/>
          </w:rPr>
          <w:t>inciso XXXI do caput do art. 6º da Lei nº 9.478, de 6 de agosto de 1997.</w:t>
        </w:r>
      </w:hyperlink>
    </w:p>
    <w:p w14:paraId="7688DD2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3B1CB8">
        <w:rPr>
          <w:rFonts w:ascii="Book Antiqua" w:eastAsia="Times New Roman" w:hAnsi="Book Antiqua" w:cs="Arial"/>
          <w:color w:val="000000"/>
          <w:kern w:val="0"/>
          <w:sz w:val="19"/>
          <w:szCs w:val="19"/>
          <w:lang w:eastAsia="pt-BR"/>
          <w14:ligatures w14:val="none"/>
        </w:rPr>
        <w:t>Art. 8º A ANP estabelecerá os valores das emissões totais equivalentes por unidade de energia computados no ciclo do poço à queima de cada rota tecnológica de produção de SAF, para fins de contabilizar a descarbonização em face do querosene de aviação fóssil.</w:t>
      </w:r>
    </w:p>
    <w:p w14:paraId="7B99BA5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Parágrafo único. Além do disposto na </w:t>
      </w:r>
      <w:proofErr w:type="spellStart"/>
      <w:r w:rsidRPr="003B1CB8">
        <w:rPr>
          <w:rFonts w:ascii="Book Antiqua" w:eastAsia="Times New Roman" w:hAnsi="Book Antiqua" w:cs="Arial"/>
          <w:color w:val="000000"/>
          <w:kern w:val="0"/>
          <w:sz w:val="19"/>
          <w:szCs w:val="19"/>
          <w:lang w:eastAsia="pt-BR"/>
          <w14:ligatures w14:val="none"/>
        </w:rPr>
        <w:t>RenovaBio</w:t>
      </w:r>
      <w:proofErr w:type="spellEnd"/>
      <w:r w:rsidRPr="003B1CB8">
        <w:rPr>
          <w:rFonts w:ascii="Book Antiqua" w:eastAsia="Times New Roman" w:hAnsi="Book Antiqua" w:cs="Arial"/>
          <w:color w:val="000000"/>
          <w:kern w:val="0"/>
          <w:sz w:val="19"/>
          <w:szCs w:val="19"/>
          <w:lang w:eastAsia="pt-BR"/>
          <w14:ligatures w14:val="none"/>
        </w:rPr>
        <w:t>, a ANP deverá observar as seguintes diretrizes na elaboração da análise do ciclo do poço à queima:</w:t>
      </w:r>
    </w:p>
    <w:p w14:paraId="538FC32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reconhecimento</w:t>
      </w:r>
      <w:proofErr w:type="gramEnd"/>
      <w:r w:rsidRPr="003B1CB8">
        <w:rPr>
          <w:rFonts w:ascii="Book Antiqua" w:eastAsia="Times New Roman" w:hAnsi="Book Antiqua" w:cs="Arial"/>
          <w:color w:val="000000"/>
          <w:kern w:val="0"/>
          <w:sz w:val="19"/>
          <w:szCs w:val="19"/>
          <w:lang w:eastAsia="pt-BR"/>
          <w14:ligatures w14:val="none"/>
        </w:rPr>
        <w:t xml:space="preserve"> da importância do aproveitamento de SAF produzido e utilizado no País para o cumprimento de compromissos internacionais de descarbonização pelos operadores aéreos; e</w:t>
      </w:r>
    </w:p>
    <w:p w14:paraId="4D3F682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busca</w:t>
      </w:r>
      <w:proofErr w:type="gramEnd"/>
      <w:r w:rsidRPr="003B1CB8">
        <w:rPr>
          <w:rFonts w:ascii="Book Antiqua" w:eastAsia="Times New Roman" w:hAnsi="Book Antiqua" w:cs="Arial"/>
          <w:color w:val="000000"/>
          <w:kern w:val="0"/>
          <w:sz w:val="19"/>
          <w:szCs w:val="19"/>
          <w:lang w:eastAsia="pt-BR"/>
          <w14:ligatures w14:val="none"/>
        </w:rPr>
        <w:t xml:space="preserve"> pelo alinhamento metodológico à Organização de Aviação Civil Internacional em relação aos requisitos de elegibilidade e de certificação para o SAF.</w:t>
      </w:r>
    </w:p>
    <w:p w14:paraId="148B224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3B1CB8">
        <w:rPr>
          <w:rFonts w:ascii="Book Antiqua" w:eastAsia="Times New Roman" w:hAnsi="Book Antiqua" w:cs="Arial"/>
          <w:color w:val="000000"/>
          <w:kern w:val="0"/>
          <w:sz w:val="19"/>
          <w:szCs w:val="19"/>
          <w:lang w:eastAsia="pt-BR"/>
          <w14:ligatures w14:val="none"/>
        </w:rPr>
        <w:t>Art. 9º A comercialização, a logística e o uso energético de SAF no País serão regidos pelas seguintes diretrizes:</w:t>
      </w:r>
    </w:p>
    <w:p w14:paraId="38AE67D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otimização</w:t>
      </w:r>
      <w:proofErr w:type="gramEnd"/>
      <w:r w:rsidRPr="003B1CB8">
        <w:rPr>
          <w:rFonts w:ascii="Book Antiqua" w:eastAsia="Times New Roman" w:hAnsi="Book Antiqua" w:cs="Arial"/>
          <w:color w:val="000000"/>
          <w:kern w:val="0"/>
          <w:sz w:val="19"/>
          <w:szCs w:val="19"/>
          <w:lang w:eastAsia="pt-BR"/>
          <w14:ligatures w14:val="none"/>
        </w:rPr>
        <w:t xml:space="preserve"> logística na distribuição e no uso de SAF; e</w:t>
      </w:r>
    </w:p>
    <w:p w14:paraId="15D2747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busca</w:t>
      </w:r>
      <w:proofErr w:type="gramEnd"/>
      <w:r w:rsidRPr="003B1CB8">
        <w:rPr>
          <w:rFonts w:ascii="Book Antiqua" w:eastAsia="Times New Roman" w:hAnsi="Book Antiqua" w:cs="Arial"/>
          <w:color w:val="000000"/>
          <w:kern w:val="0"/>
          <w:sz w:val="19"/>
          <w:szCs w:val="19"/>
          <w:lang w:eastAsia="pt-BR"/>
          <w14:ligatures w14:val="none"/>
        </w:rPr>
        <w:t xml:space="preserve"> pela adoção de mecanismos baseados em mercado.</w:t>
      </w:r>
    </w:p>
    <w:p w14:paraId="45CB503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3B1CB8">
        <w:rPr>
          <w:rFonts w:ascii="Book Antiqua" w:eastAsia="Times New Roman" w:hAnsi="Book Antiqua" w:cs="Arial"/>
          <w:color w:val="000000"/>
          <w:kern w:val="0"/>
          <w:sz w:val="19"/>
          <w:szCs w:val="19"/>
          <w:lang w:eastAsia="pt-BR"/>
          <w14:ligatures w14:val="none"/>
        </w:rPr>
        <w:t>Art. 10. Os operadores aéreos ficam obrigados a reduzir as emissões de GEE em suas operações domésticas por meio do uso de SAF, conforme os seguintes percentuais mínimos de redução:</w:t>
      </w:r>
    </w:p>
    <w:p w14:paraId="23D0933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 – 1% (um por cento), a partir de 1º de janeiro de 2027;</w:t>
      </w:r>
    </w:p>
    <w:p w14:paraId="13AD556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 – 2% (dois por cento), a partir de 1º de janeiro de 2029;</w:t>
      </w:r>
    </w:p>
    <w:p w14:paraId="7BB29D9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3% (três por cento), a partir de 1º de janeiro de 2030;</w:t>
      </w:r>
    </w:p>
    <w:p w14:paraId="0E53D09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IV – 4% (quatro por cento), a partir de 1º de janeiro de 2031;</w:t>
      </w:r>
    </w:p>
    <w:p w14:paraId="40770A8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 – 5% (cinco por cento), a partir de 1º de janeiro de 2032;</w:t>
      </w:r>
    </w:p>
    <w:p w14:paraId="31DAA6D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 – 6% (seis por cento), a partir de 1º de janeiro de 2033;</w:t>
      </w:r>
    </w:p>
    <w:p w14:paraId="2C3E835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 – 7% (sete por cento), a partir de 1º de janeiro de 2034;</w:t>
      </w:r>
    </w:p>
    <w:p w14:paraId="7542155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VIII – 8% (oito por cento), a partir de 1º de janeiro de 2035;</w:t>
      </w:r>
    </w:p>
    <w:p w14:paraId="0338CDC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IX – 9% (nove por cento), a partir de 1º de janeiro de 2036;</w:t>
      </w:r>
    </w:p>
    <w:p w14:paraId="353AD67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 – 10% (dez por cento), a partir de 1º de janeiro de 2037.</w:t>
      </w:r>
    </w:p>
    <w:p w14:paraId="2D4222D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A base de cálculo sobre a qual serão computadas as obrigações de redução de emissões a que se refere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será dada pelo volume das emissões decorrentes das operações domésticas realizadas pela empresa aérea no ano correspondente, supondo que todas as operações tenham utilizado combustível fóssil.</w:t>
      </w:r>
    </w:p>
    <w:p w14:paraId="5D3E946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 2º Poderão ser admitidos meios alternativos para cumprimento da meta de que trata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nos termos do regulamento.</w:t>
      </w:r>
    </w:p>
    <w:p w14:paraId="44CF08A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O CNPE poderá alterar os percentuais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a qualquer tempo, por motivo justificado de interesse público, e, após a normalização das condições que motivaram a alteração, os referidos percentuais serão reestabelecidos</w:t>
      </w:r>
      <w:r w:rsidRPr="003B1CB8">
        <w:rPr>
          <w:rFonts w:ascii="Book Antiqua" w:eastAsia="Times New Roman" w:hAnsi="Book Antiqua" w:cs="Arial"/>
          <w:b/>
          <w:bCs/>
          <w:color w:val="000000"/>
          <w:kern w:val="0"/>
          <w:sz w:val="19"/>
          <w:szCs w:val="19"/>
          <w:lang w:eastAsia="pt-BR"/>
          <w14:ligatures w14:val="none"/>
        </w:rPr>
        <w:t>.</w:t>
      </w:r>
    </w:p>
    <w:p w14:paraId="558BF07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 4º O interesse público referido no § 3º deste artigo será monitorado por meio de metodologia, de periodicidade e de publicidade estabelecidas pelo CNPE, observadas a efetividade ambiental e a eficiência econômica do </w:t>
      </w:r>
      <w:proofErr w:type="spellStart"/>
      <w:r w:rsidRPr="003B1CB8">
        <w:rPr>
          <w:rFonts w:ascii="Book Antiqua" w:eastAsia="Times New Roman" w:hAnsi="Book Antiqua" w:cs="Arial"/>
          <w:color w:val="000000"/>
          <w:kern w:val="0"/>
          <w:sz w:val="19"/>
          <w:szCs w:val="19"/>
          <w:lang w:eastAsia="pt-BR"/>
          <w14:ligatures w14:val="none"/>
        </w:rPr>
        <w:t>ProBioQAV</w:t>
      </w:r>
      <w:proofErr w:type="spellEnd"/>
      <w:r w:rsidRPr="003B1CB8">
        <w:rPr>
          <w:rFonts w:ascii="Book Antiqua" w:eastAsia="Times New Roman" w:hAnsi="Book Antiqua" w:cs="Arial"/>
          <w:color w:val="000000"/>
          <w:kern w:val="0"/>
          <w:sz w:val="19"/>
          <w:szCs w:val="19"/>
          <w:lang w:eastAsia="pt-BR"/>
          <w14:ligatures w14:val="none"/>
        </w:rPr>
        <w:t>.</w:t>
      </w:r>
    </w:p>
    <w:p w14:paraId="74940FF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5º Caberá à Agência Nacional de Aviação Civil (Anac), no exercício da competência prevista no </w:t>
      </w:r>
      <w:hyperlink r:id="rId6" w:anchor="art8x" w:history="1">
        <w:r w:rsidRPr="003B1CB8">
          <w:rPr>
            <w:rFonts w:ascii="Book Antiqua" w:eastAsia="Times New Roman" w:hAnsi="Book Antiqua" w:cs="Arial"/>
            <w:color w:val="0000FF"/>
            <w:kern w:val="0"/>
            <w:sz w:val="19"/>
            <w:szCs w:val="19"/>
            <w:u w:val="single"/>
            <w:lang w:eastAsia="pt-BR"/>
            <w14:ligatures w14:val="none"/>
          </w:rPr>
          <w:t>inciso X do caput do art. 8º da Lei nº 11.182, de 27 de setembro de 2005:</w:t>
        </w:r>
      </w:hyperlink>
    </w:p>
    <w:p w14:paraId="6F356CA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estabelecer</w:t>
      </w:r>
      <w:proofErr w:type="gramEnd"/>
      <w:r w:rsidRPr="003B1CB8">
        <w:rPr>
          <w:rFonts w:ascii="Book Antiqua" w:eastAsia="Times New Roman" w:hAnsi="Book Antiqua" w:cs="Arial"/>
          <w:color w:val="000000"/>
          <w:kern w:val="0"/>
          <w:sz w:val="19"/>
          <w:szCs w:val="19"/>
          <w:lang w:eastAsia="pt-BR"/>
          <w14:ligatures w14:val="none"/>
        </w:rPr>
        <w:t xml:space="preserve"> a metodologia de cálculo de verificação da redução de emissões associadas ao uso de SAF e de outros meios alternativos a que se refere o § 2º deste artigo; e</w:t>
      </w:r>
    </w:p>
    <w:p w14:paraId="6F96B25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fiscalizar</w:t>
      </w:r>
      <w:proofErr w:type="gramEnd"/>
      <w:r w:rsidRPr="003B1CB8">
        <w:rPr>
          <w:rFonts w:ascii="Book Antiqua" w:eastAsia="Times New Roman" w:hAnsi="Book Antiqua" w:cs="Arial"/>
          <w:color w:val="000000"/>
          <w:kern w:val="0"/>
          <w:sz w:val="19"/>
          <w:szCs w:val="19"/>
          <w:lang w:eastAsia="pt-BR"/>
          <w14:ligatures w14:val="none"/>
        </w:rPr>
        <w:t xml:space="preserve"> o cumprimento das obrigações previstas neste artigo pelos operadores aéreos.</w:t>
      </w:r>
    </w:p>
    <w:p w14:paraId="0345765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6º A Anac poderá dispensar do cumprimento da obrigação prevista no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as operadoras aéreas:</w:t>
      </w:r>
    </w:p>
    <w:p w14:paraId="1AD90E3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com</w:t>
      </w:r>
      <w:proofErr w:type="gramEnd"/>
      <w:r w:rsidRPr="003B1CB8">
        <w:rPr>
          <w:rFonts w:ascii="Book Antiqua" w:eastAsia="Times New Roman" w:hAnsi="Book Antiqua" w:cs="Arial"/>
          <w:color w:val="000000"/>
          <w:kern w:val="0"/>
          <w:sz w:val="19"/>
          <w:szCs w:val="19"/>
          <w:lang w:eastAsia="pt-BR"/>
          <w14:ligatures w14:val="none"/>
        </w:rPr>
        <w:t xml:space="preserve"> emissões anuais inferiores à definida em regulação da Anac;</w:t>
      </w:r>
    </w:p>
    <w:p w14:paraId="1403397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sem</w:t>
      </w:r>
      <w:proofErr w:type="gramEnd"/>
      <w:r w:rsidRPr="003B1CB8">
        <w:rPr>
          <w:rFonts w:ascii="Book Antiqua" w:eastAsia="Times New Roman" w:hAnsi="Book Antiqua" w:cs="Arial"/>
          <w:color w:val="000000"/>
          <w:kern w:val="0"/>
          <w:sz w:val="19"/>
          <w:szCs w:val="19"/>
          <w:lang w:eastAsia="pt-BR"/>
          <w14:ligatures w14:val="none"/>
        </w:rPr>
        <w:t xml:space="preserve"> acesso a SAF em nenhum dos aeroportos em que operem.</w:t>
      </w:r>
    </w:p>
    <w:p w14:paraId="5ABF45E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7º O disposto neste artigo não gera prejuízo ou cumulatividade aos acordos setoriais ou regulamentos específicos que disponham sobre outras metas de redução de emissões de GEE.</w:t>
      </w:r>
    </w:p>
    <w:p w14:paraId="76EA261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3B1CB8">
        <w:rPr>
          <w:rFonts w:ascii="Book Antiqua" w:eastAsia="Times New Roman" w:hAnsi="Book Antiqua" w:cs="Arial"/>
          <w:color w:val="000000"/>
          <w:kern w:val="0"/>
          <w:sz w:val="19"/>
          <w:szCs w:val="19"/>
          <w:lang w:eastAsia="pt-BR"/>
          <w14:ligatures w14:val="none"/>
        </w:rPr>
        <w:t>Art. 11. Em caso de imposição, por outros países ou conjunto de Estados estrangeiros, de obrigações relativas ao uso de SAF aos operadores aéreos nacionais, a obrigatoriedade de que trata o art. 10 desta Lei, ou obrigação similar à imposta por aqueles, poderá ser estendida a voos de operadores aéreos internacionais com passagem pelo território nacional, com base no princípio da reciprocidade, mediante determinação do CNPE e posterior regulamentação da Anac.</w:t>
      </w:r>
    </w:p>
    <w:p w14:paraId="0FC4BC9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Parágrafo único. O disposto no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não se aplica aos casos em que obrigações e outras medidas relativas ao uso de SAF sejam adotadas como parte da implementação de normas, de padrões ou de acordos estabelecidos no âmbito do regime multilateral da aviação civil.</w:t>
      </w:r>
    </w:p>
    <w:p w14:paraId="0982C9BE"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IV</w:t>
      </w:r>
    </w:p>
    <w:p w14:paraId="798220F0"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DO PROGRAMA NACIONAL DE DIESEL VERDE (PNDV)</w:t>
      </w:r>
    </w:p>
    <w:p w14:paraId="103689C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3B1CB8">
        <w:rPr>
          <w:rFonts w:ascii="Book Antiqua" w:eastAsia="Times New Roman" w:hAnsi="Book Antiqua" w:cs="Arial"/>
          <w:color w:val="000000"/>
          <w:kern w:val="0"/>
          <w:sz w:val="19"/>
          <w:szCs w:val="19"/>
          <w:lang w:eastAsia="pt-BR"/>
          <w14:ligatures w14:val="none"/>
        </w:rPr>
        <w:t>Art. 12. O Programa Nacional de Diesel Verde (PNDV) tem como objetivo incentivar a pesquisa, a produção, a comercialização e o uso energético do diesel verde, estabelecido em regulamento da ANP, na matriz energética brasileira.</w:t>
      </w:r>
    </w:p>
    <w:p w14:paraId="174F809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3B1CB8">
        <w:rPr>
          <w:rFonts w:ascii="Book Antiqua" w:eastAsia="Times New Roman" w:hAnsi="Book Antiqua" w:cs="Arial"/>
          <w:color w:val="000000"/>
          <w:kern w:val="0"/>
          <w:sz w:val="19"/>
          <w:szCs w:val="19"/>
          <w:lang w:eastAsia="pt-BR"/>
          <w14:ligatures w14:val="none"/>
        </w:rPr>
        <w:t>Art. 13. O CNPE estabelecerá, a cada ano, a participação volumétrica mínima obrigatória de diesel verde, produzido a partir de matérias-primas exclusivamente derivadas de biomassa renovável, em relação ao diesel comercializado ao consumidor final, de forma agregada no território nacional</w:t>
      </w:r>
      <w:r w:rsidRPr="003B1CB8">
        <w:rPr>
          <w:rFonts w:ascii="Book Antiqua" w:eastAsia="Times New Roman" w:hAnsi="Book Antiqua" w:cs="Arial"/>
          <w:b/>
          <w:bCs/>
          <w:color w:val="000000"/>
          <w:kern w:val="0"/>
          <w:sz w:val="19"/>
          <w:szCs w:val="19"/>
          <w:lang w:eastAsia="pt-BR"/>
          <w14:ligatures w14:val="none"/>
        </w:rPr>
        <w:t>.</w:t>
      </w:r>
    </w:p>
    <w:p w14:paraId="6005D62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A participação volumétrica mínima obrigatória de diesel verde em relação ao diesel comercializado ao consumidor final não poderá exceder o limite de 3% (três por cento), permitida adição voluntária de diesel verde superior a esse limite, e o interessado deverá comunicar seu uso à ANP.</w:t>
      </w:r>
    </w:p>
    <w:p w14:paraId="5AF5B58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Para a definição da participação volumétrica mínima obrigatória de diesel verde, o CNPE observará:</w:t>
      </w:r>
    </w:p>
    <w:p w14:paraId="1F42566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 xml:space="preserve">I - </w:t>
      </w:r>
      <w:proofErr w:type="gramStart"/>
      <w:r w:rsidRPr="003B1CB8">
        <w:rPr>
          <w:rFonts w:ascii="Book Antiqua" w:eastAsia="Times New Roman" w:hAnsi="Book Antiqua" w:cs="Arial"/>
          <w:color w:val="000000"/>
          <w:kern w:val="0"/>
          <w:sz w:val="19"/>
          <w:szCs w:val="19"/>
          <w:lang w:eastAsia="pt-BR"/>
          <w14:ligatures w14:val="none"/>
        </w:rPr>
        <w:t>as</w:t>
      </w:r>
      <w:proofErr w:type="gramEnd"/>
      <w:r w:rsidRPr="003B1CB8">
        <w:rPr>
          <w:rFonts w:ascii="Book Antiqua" w:eastAsia="Times New Roman" w:hAnsi="Book Antiqua" w:cs="Arial"/>
          <w:color w:val="000000"/>
          <w:kern w:val="0"/>
          <w:sz w:val="19"/>
          <w:szCs w:val="19"/>
          <w:lang w:eastAsia="pt-BR"/>
          <w14:ligatures w14:val="none"/>
        </w:rPr>
        <w:t xml:space="preserve"> condições de oferta de diesel verde, incluídas a disponibilidade de matéria-prima, a capacidade e a localização da produção;</w:t>
      </w:r>
    </w:p>
    <w:p w14:paraId="4EF8D2F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o</w:t>
      </w:r>
      <w:proofErr w:type="gramEnd"/>
      <w:r w:rsidRPr="003B1CB8">
        <w:rPr>
          <w:rFonts w:ascii="Book Antiqua" w:eastAsia="Times New Roman" w:hAnsi="Book Antiqua" w:cs="Arial"/>
          <w:color w:val="000000"/>
          <w:kern w:val="0"/>
          <w:sz w:val="19"/>
          <w:szCs w:val="19"/>
          <w:lang w:eastAsia="pt-BR"/>
          <w14:ligatures w14:val="none"/>
        </w:rPr>
        <w:t xml:space="preserve"> impacto da participação volumétrica mínima obrigatória no preço ao consumidor final; e</w:t>
      </w:r>
    </w:p>
    <w:p w14:paraId="3AC2B7C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a competitividade nos mercados internacionais do diesel verde produzido internamente.</w:t>
      </w:r>
    </w:p>
    <w:p w14:paraId="5B1244C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Caberá à ANP definir o percentual de adição obrigatória de diesel verde, em volume, ao diesel comercializado ao consumidor final para garantir a participação mínima obrigatória de forma agregada.</w:t>
      </w:r>
    </w:p>
    <w:p w14:paraId="66E4A80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4º Na definição do percentual de adição obrigatória de diesel verde, em volume, ao óleo diesel comercializado ao consumidor final, a ANP deverá observar as seguintes diretrizes:</w:t>
      </w:r>
    </w:p>
    <w:p w14:paraId="6D0F27C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otimização</w:t>
      </w:r>
      <w:proofErr w:type="gramEnd"/>
      <w:r w:rsidRPr="003B1CB8">
        <w:rPr>
          <w:rFonts w:ascii="Book Antiqua" w:eastAsia="Times New Roman" w:hAnsi="Book Antiqua" w:cs="Arial"/>
          <w:color w:val="000000"/>
          <w:kern w:val="0"/>
          <w:sz w:val="19"/>
          <w:szCs w:val="19"/>
          <w:lang w:eastAsia="pt-BR"/>
          <w14:ligatures w14:val="none"/>
        </w:rPr>
        <w:t xml:space="preserve"> logística na distribuição e no uso do diesel verde; e</w:t>
      </w:r>
    </w:p>
    <w:p w14:paraId="7975D43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busca</w:t>
      </w:r>
      <w:proofErr w:type="gramEnd"/>
      <w:r w:rsidRPr="003B1CB8">
        <w:rPr>
          <w:rFonts w:ascii="Book Antiqua" w:eastAsia="Times New Roman" w:hAnsi="Book Antiqua" w:cs="Arial"/>
          <w:color w:val="000000"/>
          <w:kern w:val="0"/>
          <w:sz w:val="19"/>
          <w:szCs w:val="19"/>
          <w:lang w:eastAsia="pt-BR"/>
          <w14:ligatures w14:val="none"/>
        </w:rPr>
        <w:t xml:space="preserve"> pela adoção de mecanismos baseados em mercado.</w:t>
      </w:r>
    </w:p>
    <w:p w14:paraId="385AEA1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5º As distribuidoras devem estar devidamente registradas e autorizadas pela ANP, e somente aquelas que atenderem aos requisitos por ela estabelecidos poderão efetuar a mistura de diesel verde ao óleo diesel, assegurando a legalidade e a qualidade do combustível comercializado ao consumidor final.</w:t>
      </w:r>
    </w:p>
    <w:p w14:paraId="12D26EE9"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V</w:t>
      </w:r>
    </w:p>
    <w:p w14:paraId="2DF5A73A"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DO PROGRAMA NACIONAL DE DESCARBONIZAÇÃO DO PRODUTOR E IMPORTADOR DE GÁS NATURAL E DE INCENTIVO AO BIOMETANO</w:t>
      </w:r>
    </w:p>
    <w:p w14:paraId="441D39F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3B1CB8">
        <w:rPr>
          <w:rFonts w:ascii="Book Antiqua" w:eastAsia="Times New Roman" w:hAnsi="Book Antiqua" w:cs="Arial"/>
          <w:color w:val="000000"/>
          <w:kern w:val="0"/>
          <w:sz w:val="19"/>
          <w:szCs w:val="19"/>
          <w:lang w:eastAsia="pt-BR"/>
          <w14:ligatures w14:val="none"/>
        </w:rPr>
        <w:t xml:space="preserve">Art. 14. O Programa Nacional de Descarbonização do Produtor e Importador de Gás Natural e de Incentivo ao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tem como objetivo incentivar a pesquisa, a produção, a comercialização e o uso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do biogás na matriz energética brasileira com vistas à descarbonização do setor de gás natural.</w:t>
      </w:r>
    </w:p>
    <w:p w14:paraId="3045365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3B1CB8">
        <w:rPr>
          <w:rFonts w:ascii="Book Antiqua" w:eastAsia="Times New Roman" w:hAnsi="Book Antiqua" w:cs="Arial"/>
          <w:color w:val="000000"/>
          <w:kern w:val="0"/>
          <w:sz w:val="19"/>
          <w:szCs w:val="19"/>
          <w:lang w:eastAsia="pt-BR"/>
          <w14:ligatures w14:val="none"/>
        </w:rPr>
        <w:t xml:space="preserve">Art. 15. São diretrizes do Programa Nacional de Descarbonização do Produtor e Importador de Gás Natural e de Incentivo ao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6A423BE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reconhecimento</w:t>
      </w:r>
      <w:proofErr w:type="gramEnd"/>
      <w:r w:rsidRPr="003B1CB8">
        <w:rPr>
          <w:rFonts w:ascii="Book Antiqua" w:eastAsia="Times New Roman" w:hAnsi="Book Antiqua" w:cs="Arial"/>
          <w:color w:val="000000"/>
          <w:kern w:val="0"/>
          <w:sz w:val="19"/>
          <w:szCs w:val="19"/>
          <w:lang w:eastAsia="pt-BR"/>
          <w14:ligatures w14:val="none"/>
        </w:rPr>
        <w:t xml:space="preserve"> da importância do aproveitamento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do biogás produzidos e utilizados no País para o cumprimento de compromissos internacionais de descarbonização;</w:t>
      </w:r>
    </w:p>
    <w:p w14:paraId="0A013C1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reconhecimento</w:t>
      </w:r>
      <w:proofErr w:type="gramEnd"/>
      <w:r w:rsidRPr="003B1CB8">
        <w:rPr>
          <w:rFonts w:ascii="Book Antiqua" w:eastAsia="Times New Roman" w:hAnsi="Book Antiqua" w:cs="Arial"/>
          <w:color w:val="000000"/>
          <w:kern w:val="0"/>
          <w:sz w:val="19"/>
          <w:szCs w:val="19"/>
          <w:lang w:eastAsia="pt-BR"/>
          <w14:ligatures w14:val="none"/>
        </w:rPr>
        <w:t xml:space="preserve"> da metodologia de avaliação de ciclo de vida como a mais acurada para mensurar a redução de emissões de GEE e os benefícios ambientais de cada rota tecnológica, quantificando o</w:t>
      </w:r>
      <w:r w:rsidRPr="003B1CB8">
        <w:rPr>
          <w:rFonts w:ascii="Book Antiqua" w:eastAsia="Times New Roman" w:hAnsi="Book Antiqua" w:cs="Arial"/>
          <w:color w:val="FF0000"/>
          <w:kern w:val="0"/>
          <w:sz w:val="19"/>
          <w:szCs w:val="19"/>
          <w:lang w:eastAsia="pt-BR"/>
          <w14:ligatures w14:val="none"/>
        </w:rPr>
        <w:t> </w:t>
      </w:r>
      <w:r w:rsidRPr="003B1CB8">
        <w:rPr>
          <w:rFonts w:ascii="Book Antiqua" w:eastAsia="Times New Roman" w:hAnsi="Book Antiqua" w:cs="Arial"/>
          <w:color w:val="000000"/>
          <w:kern w:val="0"/>
          <w:sz w:val="19"/>
          <w:szCs w:val="19"/>
          <w:lang w:eastAsia="pt-BR"/>
          <w14:ligatures w14:val="none"/>
        </w:rPr>
        <w:t xml:space="preserve">impacto ambiental associado desde a produção dos seus insumos até o seu descarte e reciclagem ou </w:t>
      </w:r>
      <w:proofErr w:type="spellStart"/>
      <w:r w:rsidRPr="003B1CB8">
        <w:rPr>
          <w:rFonts w:ascii="Book Antiqua" w:eastAsia="Times New Roman" w:hAnsi="Book Antiqua" w:cs="Arial"/>
          <w:color w:val="000000"/>
          <w:kern w:val="0"/>
          <w:sz w:val="19"/>
          <w:szCs w:val="19"/>
          <w:lang w:eastAsia="pt-BR"/>
          <w14:ligatures w14:val="none"/>
        </w:rPr>
        <w:t>reúso</w:t>
      </w:r>
      <w:proofErr w:type="spellEnd"/>
      <w:r w:rsidRPr="003B1CB8">
        <w:rPr>
          <w:rFonts w:ascii="Book Antiqua" w:eastAsia="Times New Roman" w:hAnsi="Book Antiqua" w:cs="Arial"/>
          <w:color w:val="000000"/>
          <w:kern w:val="0"/>
          <w:sz w:val="19"/>
          <w:szCs w:val="19"/>
          <w:lang w:eastAsia="pt-BR"/>
          <w14:ligatures w14:val="none"/>
        </w:rPr>
        <w:t>, quando aplicável.</w:t>
      </w:r>
    </w:p>
    <w:p w14:paraId="6C6B7ED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3B1CB8">
        <w:rPr>
          <w:rFonts w:ascii="Book Antiqua" w:eastAsia="Times New Roman" w:hAnsi="Book Antiqua" w:cs="Arial"/>
          <w:color w:val="000000"/>
          <w:kern w:val="0"/>
          <w:sz w:val="19"/>
          <w:szCs w:val="19"/>
          <w:lang w:eastAsia="pt-BR"/>
          <w14:ligatures w14:val="none"/>
        </w:rPr>
        <w:t xml:space="preserve">Art. 16. São objetivos do Programa Nacional de Descarbonização do Produtor e Importador de Gás Natural e de Incentivo ao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72EE16A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estimular</w:t>
      </w:r>
      <w:proofErr w:type="gramEnd"/>
      <w:r w:rsidRPr="003B1CB8">
        <w:rPr>
          <w:rFonts w:ascii="Book Antiqua" w:eastAsia="Times New Roman" w:hAnsi="Book Antiqua" w:cs="Arial"/>
          <w:color w:val="000000"/>
          <w:kern w:val="0"/>
          <w:sz w:val="19"/>
          <w:szCs w:val="19"/>
          <w:lang w:eastAsia="pt-BR"/>
          <w14:ligatures w14:val="none"/>
        </w:rPr>
        <w:t xml:space="preserve"> a produção e o consumo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do biogás por meio de projetos relacionados à cadeia de produção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do biogás;</w:t>
      </w:r>
    </w:p>
    <w:p w14:paraId="32E8245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incentivar</w:t>
      </w:r>
      <w:proofErr w:type="gramEnd"/>
      <w:r w:rsidRPr="003B1CB8">
        <w:rPr>
          <w:rFonts w:ascii="Book Antiqua" w:eastAsia="Times New Roman" w:hAnsi="Book Antiqua" w:cs="Arial"/>
          <w:color w:val="000000"/>
          <w:kern w:val="0"/>
          <w:sz w:val="19"/>
          <w:szCs w:val="19"/>
          <w:lang w:eastAsia="pt-BR"/>
          <w14:ligatures w14:val="none"/>
        </w:rPr>
        <w:t xml:space="preserve"> a fabricação, a comercialização, a aquisição e a utilização de veículos pesados e máquinas agrícolas e de outros veículos movidos a metano, bem como a conversão de veículos movidos a outros combustíveis para metano e a substituição de motor a diesel usado em veículo por motor novo movido a metano homologado pelos órgãos certificadores;</w:t>
      </w:r>
    </w:p>
    <w:p w14:paraId="0EC6FA7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III – fomentar projetos de infraestrutura que permitam a conexão de plantas de produção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com as redes de distribuição e transporte de gás natural, desde que sejam economicamente viáveis.</w:t>
      </w:r>
    </w:p>
    <w:p w14:paraId="02829CE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3B1CB8">
        <w:rPr>
          <w:rFonts w:ascii="Book Antiqua" w:eastAsia="Times New Roman" w:hAnsi="Book Antiqua" w:cs="Arial"/>
          <w:color w:val="000000"/>
          <w:kern w:val="0"/>
          <w:sz w:val="19"/>
          <w:szCs w:val="19"/>
          <w:lang w:eastAsia="pt-BR"/>
          <w14:ligatures w14:val="none"/>
        </w:rPr>
        <w:lastRenderedPageBreak/>
        <w:t xml:space="preserve">Art. 17. O CNPE definirá meta anual de redução de emissões de GEE no mercado de gás natural comercializado, autoproduzido ou </w:t>
      </w:r>
      <w:proofErr w:type="spellStart"/>
      <w:r w:rsidRPr="003B1CB8">
        <w:rPr>
          <w:rFonts w:ascii="Book Antiqua" w:eastAsia="Times New Roman" w:hAnsi="Book Antiqua" w:cs="Arial"/>
          <w:color w:val="000000"/>
          <w:kern w:val="0"/>
          <w:sz w:val="19"/>
          <w:szCs w:val="19"/>
          <w:lang w:eastAsia="pt-BR"/>
          <w14:ligatures w14:val="none"/>
        </w:rPr>
        <w:t>autoimportado</w:t>
      </w:r>
      <w:proofErr w:type="spellEnd"/>
      <w:r w:rsidRPr="003B1CB8">
        <w:rPr>
          <w:rFonts w:ascii="Book Antiqua" w:eastAsia="Times New Roman" w:hAnsi="Book Antiqua" w:cs="Arial"/>
          <w:color w:val="000000"/>
          <w:kern w:val="0"/>
          <w:sz w:val="19"/>
          <w:szCs w:val="19"/>
          <w:lang w:eastAsia="pt-BR"/>
          <w14:ligatures w14:val="none"/>
        </w:rPr>
        <w:t xml:space="preserve"> pelos produtores e importadores de gás natural, a ser cumprida por meio da participação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no consumo do gás natural, nos termos do regulamento.</w:t>
      </w:r>
    </w:p>
    <w:p w14:paraId="67CA8B0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A obrigação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entrará em vigor em 1º de janeiro de 2026, com valor inicial de 1% (um por cento) e não poderá exceder a 10% (dez por cento) de redução das emissões.</w:t>
      </w:r>
    </w:p>
    <w:p w14:paraId="6043A8F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 2º O CNPE poderá, excepcionalmente, alterar o percentual anual de redução de emissões de GEE, inclusive para valor inferior a 1% (um por cento), por motivo justificado de interesse público ou quando o volume de produção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impossibilitar ou onerar excessivamente o cumprimento da meta, e deverá reestabelecer esse valor após a normalização das condições que motivaram a sua alteração.</w:t>
      </w:r>
    </w:p>
    <w:p w14:paraId="1EB4EE8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A obrigação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xml:space="preserve"> deste artigo será comprovada pela compra ou utilização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no ano civil ou pelo registro anual da aquisição de CGOB, em consonância com as diretrizes estabelecidas pelo CNPE.</w:t>
      </w:r>
    </w:p>
    <w:p w14:paraId="1E2FAE1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4º Na determinação da meta anual compulsória de redução de emissões de GEE no mercado de gás natural, o CNPE deverá realizar análise de impacto regulatório, conforme disposto na </w:t>
      </w:r>
      <w:hyperlink r:id="rId7" w:history="1">
        <w:r w:rsidRPr="003B1CB8">
          <w:rPr>
            <w:rFonts w:ascii="Book Antiqua" w:eastAsia="Times New Roman" w:hAnsi="Book Antiqua" w:cs="Arial"/>
            <w:color w:val="0000FF"/>
            <w:kern w:val="0"/>
            <w:sz w:val="19"/>
            <w:szCs w:val="19"/>
            <w:u w:val="single"/>
            <w:lang w:eastAsia="pt-BR"/>
            <w14:ligatures w14:val="none"/>
          </w:rPr>
          <w:t>Lei nº 13.874, de 20 de setembro de 2019,</w:t>
        </w:r>
      </w:hyperlink>
      <w:r w:rsidRPr="003B1CB8">
        <w:rPr>
          <w:rFonts w:ascii="Book Antiqua" w:eastAsia="Times New Roman" w:hAnsi="Book Antiqua" w:cs="Arial"/>
          <w:color w:val="000000"/>
          <w:kern w:val="0"/>
          <w:sz w:val="19"/>
          <w:szCs w:val="19"/>
          <w:lang w:eastAsia="pt-BR"/>
          <w14:ligatures w14:val="none"/>
        </w:rPr>
        <w:t> observando:</w:t>
      </w:r>
    </w:p>
    <w:p w14:paraId="2636D4F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a</w:t>
      </w:r>
      <w:proofErr w:type="gramEnd"/>
      <w:r w:rsidRPr="003B1CB8">
        <w:rPr>
          <w:rFonts w:ascii="Book Antiqua" w:eastAsia="Times New Roman" w:hAnsi="Book Antiqua" w:cs="Arial"/>
          <w:color w:val="000000"/>
          <w:kern w:val="0"/>
          <w:sz w:val="19"/>
          <w:szCs w:val="19"/>
          <w:lang w:eastAsia="pt-BR"/>
          <w14:ligatures w14:val="none"/>
        </w:rPr>
        <w:t xml:space="preserve"> disponibilidade, atual ou futura,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de biogás e de CGOB;</w:t>
      </w:r>
    </w:p>
    <w:p w14:paraId="2095DAE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a</w:t>
      </w:r>
      <w:proofErr w:type="gramEnd"/>
      <w:r w:rsidRPr="003B1CB8">
        <w:rPr>
          <w:rFonts w:ascii="Book Antiqua" w:eastAsia="Times New Roman" w:hAnsi="Book Antiqua" w:cs="Arial"/>
          <w:color w:val="000000"/>
          <w:kern w:val="0"/>
          <w:sz w:val="19"/>
          <w:szCs w:val="19"/>
          <w:lang w:eastAsia="pt-BR"/>
          <w14:ligatures w14:val="none"/>
        </w:rPr>
        <w:t xml:space="preserve"> capacidade das infraestruturas e das instalações de produção e movimentação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necessárias ao longo do tempo;</w:t>
      </w:r>
    </w:p>
    <w:p w14:paraId="2FFCC15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III – as emissões de GEE decorrentes do transporte e da distribuição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0E9106A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IV - </w:t>
      </w:r>
      <w:proofErr w:type="gramStart"/>
      <w:r w:rsidRPr="003B1CB8">
        <w:rPr>
          <w:rFonts w:ascii="Book Antiqua" w:eastAsia="Times New Roman" w:hAnsi="Book Antiqua" w:cs="Arial"/>
          <w:color w:val="000000"/>
          <w:kern w:val="0"/>
          <w:sz w:val="19"/>
          <w:szCs w:val="19"/>
          <w:lang w:eastAsia="pt-BR"/>
          <w14:ligatures w14:val="none"/>
        </w:rPr>
        <w:t>os</w:t>
      </w:r>
      <w:proofErr w:type="gramEnd"/>
      <w:r w:rsidRPr="003B1CB8">
        <w:rPr>
          <w:rFonts w:ascii="Book Antiqua" w:eastAsia="Times New Roman" w:hAnsi="Book Antiqua" w:cs="Arial"/>
          <w:color w:val="000000"/>
          <w:kern w:val="0"/>
          <w:sz w:val="19"/>
          <w:szCs w:val="19"/>
          <w:lang w:eastAsia="pt-BR"/>
          <w14:ligatures w14:val="none"/>
        </w:rPr>
        <w:t xml:space="preserve"> benefícios da descarbonização a partir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demais fontes alternativas de redução das emissões de GEE;</w:t>
      </w:r>
    </w:p>
    <w:p w14:paraId="6CB8564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 - </w:t>
      </w:r>
      <w:proofErr w:type="gramStart"/>
      <w:r w:rsidRPr="003B1CB8">
        <w:rPr>
          <w:rFonts w:ascii="Book Antiqua" w:eastAsia="Times New Roman" w:hAnsi="Book Antiqua" w:cs="Arial"/>
          <w:color w:val="000000"/>
          <w:kern w:val="0"/>
          <w:sz w:val="19"/>
          <w:szCs w:val="19"/>
          <w:lang w:eastAsia="pt-BR"/>
          <w14:ligatures w14:val="none"/>
        </w:rPr>
        <w:t>a</w:t>
      </w:r>
      <w:proofErr w:type="gramEnd"/>
      <w:r w:rsidRPr="003B1CB8">
        <w:rPr>
          <w:rFonts w:ascii="Book Antiqua" w:eastAsia="Times New Roman" w:hAnsi="Book Antiqua" w:cs="Arial"/>
          <w:color w:val="000000"/>
          <w:kern w:val="0"/>
          <w:sz w:val="19"/>
          <w:szCs w:val="19"/>
          <w:lang w:eastAsia="pt-BR"/>
          <w14:ligatures w14:val="none"/>
        </w:rPr>
        <w:t xml:space="preserve"> preservação da competitividade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do gás natural em comparação com outros combustíveis;</w:t>
      </w:r>
    </w:p>
    <w:p w14:paraId="76D200E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VI – </w:t>
      </w:r>
      <w:proofErr w:type="gramStart"/>
      <w:r w:rsidRPr="003B1CB8">
        <w:rPr>
          <w:rFonts w:ascii="Book Antiqua" w:eastAsia="Times New Roman" w:hAnsi="Book Antiqua" w:cs="Arial"/>
          <w:color w:val="000000"/>
          <w:kern w:val="0"/>
          <w:sz w:val="19"/>
          <w:szCs w:val="19"/>
          <w:lang w:eastAsia="pt-BR"/>
          <w14:ligatures w14:val="none"/>
        </w:rPr>
        <w:t>a</w:t>
      </w:r>
      <w:proofErr w:type="gramEnd"/>
      <w:r w:rsidRPr="003B1CB8">
        <w:rPr>
          <w:rFonts w:ascii="Book Antiqua" w:eastAsia="Times New Roman" w:hAnsi="Book Antiqua" w:cs="Arial"/>
          <w:color w:val="000000"/>
          <w:kern w:val="0"/>
          <w:sz w:val="19"/>
          <w:szCs w:val="19"/>
          <w:lang w:eastAsia="pt-BR"/>
          <w14:ligatures w14:val="none"/>
        </w:rPr>
        <w:t xml:space="preserve"> proteção dos interesses do consumidor quanto a preço, a qualidade e a oferta de produtos;</w:t>
      </w:r>
    </w:p>
    <w:p w14:paraId="7179C9E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VII - o impacto do preço do gás natural e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na competitividade da indústria nacional;</w:t>
      </w:r>
    </w:p>
    <w:p w14:paraId="6842917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VIII - a evolução do consumo nacional de gás natural, de biogás e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5CD4064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IX - </w:t>
      </w:r>
      <w:proofErr w:type="gramStart"/>
      <w:r w:rsidRPr="003B1CB8">
        <w:rPr>
          <w:rFonts w:ascii="Book Antiqua" w:eastAsia="Times New Roman" w:hAnsi="Book Antiqua" w:cs="Arial"/>
          <w:color w:val="000000"/>
          <w:kern w:val="0"/>
          <w:sz w:val="19"/>
          <w:szCs w:val="19"/>
          <w:lang w:eastAsia="pt-BR"/>
          <w14:ligatures w14:val="none"/>
        </w:rPr>
        <w:t>os</w:t>
      </w:r>
      <w:proofErr w:type="gramEnd"/>
      <w:r w:rsidRPr="003B1CB8">
        <w:rPr>
          <w:rFonts w:ascii="Book Antiqua" w:eastAsia="Times New Roman" w:hAnsi="Book Antiqua" w:cs="Arial"/>
          <w:color w:val="000000"/>
          <w:kern w:val="0"/>
          <w:sz w:val="19"/>
          <w:szCs w:val="19"/>
          <w:lang w:eastAsia="pt-BR"/>
          <w14:ligatures w14:val="none"/>
        </w:rPr>
        <w:t xml:space="preserve"> compromissos internacionais de redução de emissões de GEE</w:t>
      </w:r>
      <w:r w:rsidRPr="003B1CB8">
        <w:rPr>
          <w:rFonts w:ascii="Book Antiqua" w:eastAsia="Times New Roman" w:hAnsi="Book Antiqua" w:cs="Arial"/>
          <w:b/>
          <w:bCs/>
          <w:color w:val="000000"/>
          <w:kern w:val="0"/>
          <w:sz w:val="19"/>
          <w:szCs w:val="19"/>
          <w:lang w:eastAsia="pt-BR"/>
          <w14:ligatures w14:val="none"/>
        </w:rPr>
        <w:t> </w:t>
      </w:r>
      <w:r w:rsidRPr="003B1CB8">
        <w:rPr>
          <w:rFonts w:ascii="Book Antiqua" w:eastAsia="Times New Roman" w:hAnsi="Book Antiqua" w:cs="Arial"/>
          <w:color w:val="000000"/>
          <w:kern w:val="0"/>
          <w:sz w:val="19"/>
          <w:szCs w:val="19"/>
          <w:lang w:eastAsia="pt-BR"/>
          <w14:ligatures w14:val="none"/>
        </w:rPr>
        <w:t>assumidos pelo Brasil e as ações setoriais no âmbito desses compromissos;</w:t>
      </w:r>
    </w:p>
    <w:p w14:paraId="4D02CA6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X - a integração e a compatibilidade do Programa Nacional de Descarbonização do Produtor e Importador do Gás Natural e de Incentivo ao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com as demais políticas e iniciativas direcionadas à redução das emissões de GEE, em especial com a Política Nacional sobre Mudança do Clima (PNMC), de que trata a </w:t>
      </w:r>
      <w:hyperlink r:id="rId8" w:history="1">
        <w:r w:rsidRPr="003B1CB8">
          <w:rPr>
            <w:rFonts w:ascii="Book Antiqua" w:eastAsia="Times New Roman" w:hAnsi="Book Antiqua" w:cs="Arial"/>
            <w:color w:val="0000FF"/>
            <w:kern w:val="0"/>
            <w:sz w:val="19"/>
            <w:szCs w:val="19"/>
            <w:u w:val="single"/>
            <w:lang w:eastAsia="pt-BR"/>
            <w14:ligatures w14:val="none"/>
          </w:rPr>
          <w:t>Lei nº 12.187, de 29 de dezembro de 2009</w:t>
        </w:r>
      </w:hyperlink>
      <w:r w:rsidRPr="003B1CB8">
        <w:rPr>
          <w:rFonts w:ascii="Book Antiqua" w:eastAsia="Times New Roman" w:hAnsi="Book Antiqua" w:cs="Arial"/>
          <w:color w:val="000000"/>
          <w:kern w:val="0"/>
          <w:sz w:val="19"/>
          <w:szCs w:val="19"/>
          <w:lang w:eastAsia="pt-BR"/>
          <w14:ligatures w14:val="none"/>
        </w:rPr>
        <w:t>, e o Mercado Brasileiro de Redução de Emissões (MBRE), ou outro que venha a substituí-lo.</w:t>
      </w:r>
    </w:p>
    <w:p w14:paraId="7F1AE89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5º O CGOB adquirido nos termos deste artigo poderá ser comercializado livremente até sua aposentadoria, mas somente poderá ser utilizado para fins de cumprimento da meta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uma única vez.</w:t>
      </w:r>
    </w:p>
    <w:p w14:paraId="4659E4A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6º A aposentadoria do CGOB é facultativa ao produtor e importador de gás natural e poderá ser efetuada por qualquer agente interessado na incorporação do atributo ambiental ao seu produto ou processo.</w:t>
      </w:r>
    </w:p>
    <w:p w14:paraId="01A51DC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 7º Para fins de definição da meta referida no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será considerada a média decenal de oferta de gás natural oriunda de produção nacional e de importação.</w:t>
      </w:r>
    </w:p>
    <w:p w14:paraId="3673351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3B1CB8">
        <w:rPr>
          <w:rFonts w:ascii="Book Antiqua" w:eastAsia="Times New Roman" w:hAnsi="Book Antiqua" w:cs="Arial"/>
          <w:color w:val="000000"/>
          <w:kern w:val="0"/>
          <w:sz w:val="19"/>
          <w:szCs w:val="19"/>
          <w:lang w:eastAsia="pt-BR"/>
          <w14:ligatures w14:val="none"/>
        </w:rPr>
        <w:t>Art. 18. Caberá à ANP, no exercício de suas competências:</w:t>
      </w:r>
    </w:p>
    <w:p w14:paraId="7CC904E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estabelecer</w:t>
      </w:r>
      <w:proofErr w:type="gramEnd"/>
      <w:r w:rsidRPr="003B1CB8">
        <w:rPr>
          <w:rFonts w:ascii="Book Antiqua" w:eastAsia="Times New Roman" w:hAnsi="Book Antiqua" w:cs="Arial"/>
          <w:color w:val="000000"/>
          <w:kern w:val="0"/>
          <w:sz w:val="19"/>
          <w:szCs w:val="19"/>
          <w:lang w:eastAsia="pt-BR"/>
          <w14:ligatures w14:val="none"/>
        </w:rPr>
        <w:t xml:space="preserve"> a metodologia de cálculo de verificação da redução de emissões associadas à utilização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w:t>
      </w:r>
    </w:p>
    <w:p w14:paraId="46CF05A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definir</w:t>
      </w:r>
      <w:proofErr w:type="gramEnd"/>
      <w:r w:rsidRPr="003B1CB8">
        <w:rPr>
          <w:rFonts w:ascii="Book Antiqua" w:eastAsia="Times New Roman" w:hAnsi="Book Antiqua" w:cs="Arial"/>
          <w:color w:val="000000"/>
          <w:kern w:val="0"/>
          <w:sz w:val="19"/>
          <w:szCs w:val="19"/>
          <w:lang w:eastAsia="pt-BR"/>
          <w14:ligatures w14:val="none"/>
        </w:rPr>
        <w:t xml:space="preserve"> os agentes obrigados com base no volume total de gás natural comercializado, de modo a garantir que a redução de GEE ocorra com o melhor custo-efetividade;</w:t>
      </w:r>
    </w:p>
    <w:p w14:paraId="0F181CB4"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fiscalizar o cumprimento das obrigações previstas no art. 17 desta Lei pelos produtores ou importadores de gás natural.</w:t>
      </w:r>
    </w:p>
    <w:p w14:paraId="2B11DAB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Parágrafo único. No exercício da competência prevista no inciso II do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deverão ser excluídos da obrigação os pequenos produtores e pequenos importadores de gás natural, nos termos da regulamentação da ANP.</w:t>
      </w:r>
    </w:p>
    <w:p w14:paraId="67016B1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3B1CB8">
        <w:rPr>
          <w:rFonts w:ascii="Book Antiqua" w:eastAsia="Times New Roman" w:hAnsi="Book Antiqua" w:cs="Arial"/>
          <w:color w:val="000000"/>
          <w:kern w:val="0"/>
          <w:sz w:val="19"/>
          <w:szCs w:val="19"/>
          <w:lang w:eastAsia="pt-BR"/>
          <w14:ligatures w14:val="none"/>
        </w:rPr>
        <w:t xml:space="preserve">Art. 19. O CGOB será concedido ao produtor ou ao importador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que atender individualmente aos parâmetros definidos em regulamento.</w:t>
      </w:r>
    </w:p>
    <w:p w14:paraId="3C76107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Parágrafo único. O volume de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utilizado para queima em </w:t>
      </w:r>
      <w:proofErr w:type="spellStart"/>
      <w:r w:rsidRPr="003B1CB8">
        <w:rPr>
          <w:rFonts w:ascii="Book Antiqua" w:eastAsia="Times New Roman" w:hAnsi="Book Antiqua" w:cs="Arial"/>
          <w:i/>
          <w:iCs/>
          <w:color w:val="000000"/>
          <w:kern w:val="0"/>
          <w:sz w:val="19"/>
          <w:szCs w:val="19"/>
          <w:lang w:eastAsia="pt-BR"/>
          <w14:ligatures w14:val="none"/>
        </w:rPr>
        <w:t>flares</w:t>
      </w:r>
      <w:proofErr w:type="spellEnd"/>
      <w:r w:rsidRPr="003B1CB8">
        <w:rPr>
          <w:rFonts w:ascii="Book Antiqua" w:eastAsia="Times New Roman" w:hAnsi="Book Antiqua" w:cs="Arial"/>
          <w:color w:val="000000"/>
          <w:kern w:val="0"/>
          <w:sz w:val="19"/>
          <w:szCs w:val="19"/>
          <w:lang w:eastAsia="pt-BR"/>
          <w14:ligatures w14:val="none"/>
        </w:rPr>
        <w:t> ou ventilação não fará jus ao CGOB.</w:t>
      </w:r>
    </w:p>
    <w:p w14:paraId="1861BD0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3B1CB8">
        <w:rPr>
          <w:rFonts w:ascii="Book Antiqua" w:eastAsia="Times New Roman" w:hAnsi="Book Antiqua" w:cs="Arial"/>
          <w:color w:val="000000"/>
          <w:kern w:val="0"/>
          <w:sz w:val="19"/>
          <w:szCs w:val="19"/>
          <w:lang w:eastAsia="pt-BR"/>
          <w14:ligatures w14:val="none"/>
        </w:rPr>
        <w:t>Art. 20. A regulamentação do CGOB deverá garantir rastreabilidade, transparência, credibilidade e fungibilidade com outros certificados, quando couber, garantida a não ocorrência de dupla contagem do atributo ambiental.</w:t>
      </w:r>
    </w:p>
    <w:p w14:paraId="789CB62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3B1CB8">
        <w:rPr>
          <w:rFonts w:ascii="Book Antiqua" w:eastAsia="Times New Roman" w:hAnsi="Book Antiqua" w:cs="Arial"/>
          <w:color w:val="000000"/>
          <w:kern w:val="0"/>
          <w:sz w:val="19"/>
          <w:szCs w:val="19"/>
          <w:lang w:eastAsia="pt-BR"/>
          <w14:ligatures w14:val="none"/>
        </w:rPr>
        <w:t>Art. 21. O regulamento disporá sobre a emissão, o vencimento, a intermediação, a custódia, a escrituração, a negociação, a aposentadoria e os demais aspectos relacionados ao CGOB.</w:t>
      </w:r>
    </w:p>
    <w:p w14:paraId="2F054B3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3B1CB8">
        <w:rPr>
          <w:rFonts w:ascii="Book Antiqua" w:eastAsia="Times New Roman" w:hAnsi="Book Antiqua" w:cs="Arial"/>
          <w:color w:val="000000"/>
          <w:kern w:val="0"/>
          <w:sz w:val="19"/>
          <w:szCs w:val="19"/>
          <w:lang w:eastAsia="pt-BR"/>
          <w14:ligatures w14:val="none"/>
        </w:rPr>
        <w:t>Art. 22. O CGOB, quando negociado no mercado de capitais, é valor mobiliário sujeito ao regime previsto na </w:t>
      </w:r>
      <w:hyperlink r:id="rId9" w:history="1">
        <w:r w:rsidRPr="003B1CB8">
          <w:rPr>
            <w:rFonts w:ascii="Book Antiqua" w:eastAsia="Times New Roman" w:hAnsi="Book Antiqua" w:cs="Arial"/>
            <w:color w:val="0000FF"/>
            <w:kern w:val="0"/>
            <w:sz w:val="19"/>
            <w:szCs w:val="19"/>
            <w:u w:val="single"/>
            <w:lang w:eastAsia="pt-BR"/>
            <w14:ligatures w14:val="none"/>
          </w:rPr>
          <w:t>Lei nº 6.385, de 7 de dezembro de 1976.</w:t>
        </w:r>
      </w:hyperlink>
    </w:p>
    <w:p w14:paraId="792259D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3B1CB8">
        <w:rPr>
          <w:rFonts w:ascii="Book Antiqua" w:eastAsia="Times New Roman" w:hAnsi="Book Antiqua" w:cs="Arial"/>
          <w:color w:val="000000"/>
          <w:kern w:val="0"/>
          <w:sz w:val="19"/>
          <w:szCs w:val="19"/>
          <w:lang w:eastAsia="pt-BR"/>
          <w14:ligatures w14:val="none"/>
        </w:rPr>
        <w:t>Art. 23. O ganho decorrente da alienação de CGOB será tributado pelo imposto sobre a renda de acordo com as regras aplicáveis:</w:t>
      </w:r>
    </w:p>
    <w:p w14:paraId="35DE3C9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ao</w:t>
      </w:r>
      <w:proofErr w:type="gramEnd"/>
      <w:r w:rsidRPr="003B1CB8">
        <w:rPr>
          <w:rFonts w:ascii="Book Antiqua" w:eastAsia="Times New Roman" w:hAnsi="Book Antiqua" w:cs="Arial"/>
          <w:color w:val="000000"/>
          <w:kern w:val="0"/>
          <w:sz w:val="19"/>
          <w:szCs w:val="19"/>
          <w:lang w:eastAsia="pt-BR"/>
          <w14:ligatures w14:val="none"/>
        </w:rPr>
        <w:t xml:space="preserve"> regime em que se enquadra o contribuinte, nos casos das pessoas que inicialmente emitiram tais ativos;</w:t>
      </w:r>
    </w:p>
    <w:p w14:paraId="29C6530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aos</w:t>
      </w:r>
      <w:proofErr w:type="gramEnd"/>
      <w:r w:rsidRPr="003B1CB8">
        <w:rPr>
          <w:rFonts w:ascii="Book Antiqua" w:eastAsia="Times New Roman" w:hAnsi="Book Antiqua" w:cs="Arial"/>
          <w:color w:val="000000"/>
          <w:kern w:val="0"/>
          <w:sz w:val="19"/>
          <w:szCs w:val="19"/>
          <w:lang w:eastAsia="pt-BR"/>
          <w14:ligatures w14:val="none"/>
        </w:rPr>
        <w:t xml:space="preserve"> ganhos líquidos, quando auferidos em operações realizadas em bolsas de valores, de mercadorias e de futuros e em mercados de balcão organizado; e</w:t>
      </w:r>
    </w:p>
    <w:p w14:paraId="386C10E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aos ganhos de capital, nas demais situações.</w:t>
      </w:r>
    </w:p>
    <w:p w14:paraId="24D1543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Poderão ser deduzidas da base de cálculo do Imposto sobre a Renda das Pessoas Jurídicas (IRPJ) com apuração no lucro real as despesas administrativas ou financeiras necessárias à emissão, à escrituração, ao registro e à negociação do CGOB.</w:t>
      </w:r>
    </w:p>
    <w:p w14:paraId="0D97D9A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No caso de alienante pessoa jurídica com apuração no lucro real, o ganho de que trata o inciso III do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será computado na base de cálculo do IRPJ.</w:t>
      </w:r>
    </w:p>
    <w:p w14:paraId="1586C80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No caso de alienante pessoa jurídica com apuração no lucro presumido ou lucro arbitrado enquadrado no inciso III do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o ganho de capital será computado na base de cálculo do IRPJ na forma do </w:t>
      </w:r>
      <w:hyperlink r:id="rId10" w:anchor="art25ii." w:history="1">
        <w:r w:rsidRPr="003B1CB8">
          <w:rPr>
            <w:rFonts w:ascii="Book Antiqua" w:eastAsia="Times New Roman" w:hAnsi="Book Antiqua" w:cs="Arial"/>
            <w:color w:val="0000FF"/>
            <w:kern w:val="0"/>
            <w:sz w:val="19"/>
            <w:szCs w:val="19"/>
            <w:u w:val="single"/>
            <w:lang w:eastAsia="pt-BR"/>
            <w14:ligatures w14:val="none"/>
          </w:rPr>
          <w:t>inciso II do </w:t>
        </w:r>
        <w:r w:rsidRPr="003B1CB8">
          <w:rPr>
            <w:rFonts w:ascii="Book Antiqua" w:eastAsia="Times New Roman" w:hAnsi="Book Antiqua" w:cs="Arial"/>
            <w:i/>
            <w:iCs/>
            <w:color w:val="0000FF"/>
            <w:kern w:val="0"/>
            <w:sz w:val="19"/>
            <w:szCs w:val="19"/>
            <w:u w:val="single"/>
            <w:lang w:eastAsia="pt-BR"/>
            <w14:ligatures w14:val="none"/>
          </w:rPr>
          <w:t>caput</w:t>
        </w:r>
        <w:r w:rsidRPr="003B1CB8">
          <w:rPr>
            <w:rFonts w:ascii="Book Antiqua" w:eastAsia="Times New Roman" w:hAnsi="Book Antiqua" w:cs="Arial"/>
            <w:color w:val="0000FF"/>
            <w:kern w:val="0"/>
            <w:sz w:val="19"/>
            <w:szCs w:val="19"/>
            <w:u w:val="single"/>
            <w:lang w:eastAsia="pt-BR"/>
            <w14:ligatures w14:val="none"/>
          </w:rPr>
          <w:t> do art. 25</w:t>
        </w:r>
      </w:hyperlink>
      <w:r w:rsidRPr="003B1CB8">
        <w:rPr>
          <w:rFonts w:ascii="Book Antiqua" w:eastAsia="Times New Roman" w:hAnsi="Book Antiqua" w:cs="Arial"/>
          <w:color w:val="000000"/>
          <w:kern w:val="0"/>
          <w:sz w:val="19"/>
          <w:szCs w:val="19"/>
          <w:lang w:eastAsia="pt-BR"/>
          <w14:ligatures w14:val="none"/>
        </w:rPr>
        <w:t>, do </w:t>
      </w:r>
      <w:hyperlink r:id="rId11" w:anchor="art27ii." w:history="1">
        <w:r w:rsidRPr="003B1CB8">
          <w:rPr>
            <w:rFonts w:ascii="Book Antiqua" w:eastAsia="Times New Roman" w:hAnsi="Book Antiqua" w:cs="Arial"/>
            <w:color w:val="0000FF"/>
            <w:kern w:val="0"/>
            <w:sz w:val="19"/>
            <w:szCs w:val="19"/>
            <w:u w:val="single"/>
            <w:lang w:eastAsia="pt-BR"/>
            <w14:ligatures w14:val="none"/>
          </w:rPr>
          <w:t>inciso II do </w:t>
        </w:r>
        <w:r w:rsidRPr="003B1CB8">
          <w:rPr>
            <w:rFonts w:ascii="Book Antiqua" w:eastAsia="Times New Roman" w:hAnsi="Book Antiqua" w:cs="Arial"/>
            <w:i/>
            <w:iCs/>
            <w:color w:val="0000FF"/>
            <w:kern w:val="0"/>
            <w:sz w:val="19"/>
            <w:szCs w:val="19"/>
            <w:u w:val="single"/>
            <w:lang w:eastAsia="pt-BR"/>
            <w14:ligatures w14:val="none"/>
          </w:rPr>
          <w:t>caput </w:t>
        </w:r>
        <w:r w:rsidRPr="003B1CB8">
          <w:rPr>
            <w:rFonts w:ascii="Book Antiqua" w:eastAsia="Times New Roman" w:hAnsi="Book Antiqua" w:cs="Arial"/>
            <w:color w:val="0000FF"/>
            <w:kern w:val="0"/>
            <w:sz w:val="19"/>
            <w:szCs w:val="19"/>
            <w:u w:val="single"/>
            <w:lang w:eastAsia="pt-BR"/>
            <w14:ligatures w14:val="none"/>
          </w:rPr>
          <w:t>do art. 27</w:t>
        </w:r>
      </w:hyperlink>
      <w:r w:rsidRPr="003B1CB8">
        <w:rPr>
          <w:rFonts w:ascii="Book Antiqua" w:eastAsia="Times New Roman" w:hAnsi="Book Antiqua" w:cs="Arial"/>
          <w:color w:val="000000"/>
          <w:kern w:val="0"/>
          <w:sz w:val="19"/>
          <w:szCs w:val="19"/>
          <w:lang w:eastAsia="pt-BR"/>
          <w14:ligatures w14:val="none"/>
        </w:rPr>
        <w:t> ou do </w:t>
      </w:r>
      <w:hyperlink r:id="rId12" w:anchor="art29ii." w:history="1">
        <w:r w:rsidRPr="003B1CB8">
          <w:rPr>
            <w:rFonts w:ascii="Book Antiqua" w:eastAsia="Times New Roman" w:hAnsi="Book Antiqua" w:cs="Arial"/>
            <w:color w:val="0000FF"/>
            <w:kern w:val="0"/>
            <w:sz w:val="19"/>
            <w:szCs w:val="19"/>
            <w:u w:val="single"/>
            <w:lang w:eastAsia="pt-BR"/>
            <w14:ligatures w14:val="none"/>
          </w:rPr>
          <w:t>inciso II do caput do art. 29 da Lei nº 9.430, de 27 de dezembro de 1996.</w:t>
        </w:r>
      </w:hyperlink>
    </w:p>
    <w:p w14:paraId="6EB5340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 4º O disposto neste artigo aplica-se à Contribuição Social sobre o Lucro Líquido (CSLL) no caso de pessoa jurídica com apuração no lucro real, presumido ou arbitrado.</w:t>
      </w:r>
    </w:p>
    <w:p w14:paraId="389A995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23" w:name="art24"/>
      <w:bookmarkEnd w:id="23"/>
      <w:r w:rsidRPr="003B1CB8">
        <w:rPr>
          <w:rFonts w:ascii="Book Antiqua" w:eastAsia="Times New Roman" w:hAnsi="Book Antiqua" w:cs="Arial"/>
          <w:color w:val="000000"/>
          <w:kern w:val="0"/>
          <w:sz w:val="16"/>
          <w:szCs w:val="16"/>
          <w:lang w:eastAsia="pt-BR"/>
          <w14:ligatures w14:val="none"/>
        </w:rPr>
        <w:t>Art. 24. (VETADO).</w:t>
      </w:r>
    </w:p>
    <w:p w14:paraId="1DF93E2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3B1CB8">
        <w:rPr>
          <w:rFonts w:ascii="Book Antiqua" w:eastAsia="Times New Roman" w:hAnsi="Book Antiqua" w:cs="Arial"/>
          <w:color w:val="000000"/>
          <w:kern w:val="0"/>
          <w:sz w:val="19"/>
          <w:szCs w:val="19"/>
          <w:lang w:eastAsia="pt-BR"/>
          <w14:ligatures w14:val="none"/>
        </w:rPr>
        <w:t>Art. 25. O não atendimento da meta anual de redução de GEE a que se refere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do art. 17 desta Lei sujeitará o agente que produza ou importe gás natural à multa superior ao benefício auferido com o descumprimento, sem prejuízo das demais sanções administrativas e pecuniárias previstas na </w:t>
      </w:r>
      <w:hyperlink r:id="rId13" w:history="1">
        <w:r w:rsidRPr="003B1CB8">
          <w:rPr>
            <w:rFonts w:ascii="Book Antiqua" w:eastAsia="Times New Roman" w:hAnsi="Book Antiqua" w:cs="Arial"/>
            <w:color w:val="0000FF"/>
            <w:kern w:val="0"/>
            <w:sz w:val="19"/>
            <w:szCs w:val="19"/>
            <w:u w:val="single"/>
            <w:lang w:eastAsia="pt-BR"/>
            <w14:ligatures w14:val="none"/>
          </w:rPr>
          <w:t>Lei nº 9.847, de 26 de outubro de 1999</w:t>
        </w:r>
      </w:hyperlink>
      <w:r w:rsidRPr="003B1CB8">
        <w:rPr>
          <w:rFonts w:ascii="Book Antiqua" w:eastAsia="Times New Roman" w:hAnsi="Book Antiqua" w:cs="Arial"/>
          <w:color w:val="000000"/>
          <w:kern w:val="0"/>
          <w:sz w:val="19"/>
          <w:szCs w:val="19"/>
          <w:lang w:eastAsia="pt-BR"/>
          <w14:ligatures w14:val="none"/>
        </w:rPr>
        <w:t>, e de outras de natureza civil e penal cabíveis.</w:t>
      </w:r>
    </w:p>
    <w:p w14:paraId="7DD223B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Parágrafo único. A multa a que se refere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poderá variar, nos termos do regulamento, entre R$ 100.000,00 (cem mil reais) e R$ 50.000.000,00 (cinquenta milhões de reais).</w:t>
      </w:r>
    </w:p>
    <w:p w14:paraId="01B07973"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VI</w:t>
      </w:r>
    </w:p>
    <w:p w14:paraId="6A2FE826"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DAS ATIVIDADES DA INDÚSTRIA DA CAPTURA E DA ESTOCAGEM GEOLÓGICA DE DIÓXIDO DE CARBONO</w:t>
      </w:r>
    </w:p>
    <w:p w14:paraId="4AE9DC9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3B1CB8">
        <w:rPr>
          <w:rFonts w:ascii="Book Antiqua" w:eastAsia="Times New Roman" w:hAnsi="Book Antiqua" w:cs="Arial"/>
          <w:color w:val="000000"/>
          <w:kern w:val="0"/>
          <w:sz w:val="19"/>
          <w:szCs w:val="19"/>
          <w:lang w:eastAsia="pt-BR"/>
          <w14:ligatures w14:val="none"/>
        </w:rPr>
        <w:t>Art. 26. O exercício das atividades de captura de dióxido de carbono para fins de estocagem geológica, seu transporte por meio de dutos e estocagem geológica será realizado mediante autorização da ANP.</w:t>
      </w:r>
    </w:p>
    <w:p w14:paraId="08BF5A3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Empresas ou consórcios de empresas constituídas sob leis brasileiras, com sede e administração no País, poderão requerer autorização para o exercício das atividades de que trata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que ocorrerão por conta e risco do interessado.</w:t>
      </w:r>
    </w:p>
    <w:p w14:paraId="2FF53BB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A ANP editará normas sobre a habilitação dos interessados para o exercício das atividades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e as condições para a autorização e para a eventual transferência da titularidade da autorização.</w:t>
      </w:r>
    </w:p>
    <w:p w14:paraId="6E008A6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A autorização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terá prazo de 30 (trinta) anos, prorrogável por igual período na hipótese do cumprimento das condicionantes estabelecidas no termo celebrado entre as partes, podendo o Executivo alterar esse prazo em razão de relevante interesse público.</w:t>
      </w:r>
    </w:p>
    <w:p w14:paraId="25C9C69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4º Não está sujeita ao disposto no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a atividade de injeção e armazenamento de dióxido de carbono para fins de recuperação avançada de hidrocarbonetos de reservatório geológico sob contrato para exploração e produção de hidrocarbonetos sob regime de concessão, de partilha de produção e de cessão onerosa.</w:t>
      </w:r>
    </w:p>
    <w:p w14:paraId="48D370F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5º Na hipótese de impossibilidade de desenvolvimento simultâneo da estocagem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em bloco de armazenamento e das atividades de exploração e produção de hidrocarbonetos e de mineração objeto de contrato ou autorização celebrados anteriormente, o uso prioritário será decidido pelo Ministro de Estado de Minas e Energia, ouvidas as partes interessadas.</w:t>
      </w:r>
    </w:p>
    <w:p w14:paraId="72A231E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6º O processo de autorização para a etapa de captura de que trata o § 1º deste artigo deverá garantir que, apresentados todos os elementos necessários à instrução, o solicitante seja informado do prazo máximo para análise e deliberação, nos termos do </w:t>
      </w:r>
      <w:hyperlink r:id="rId14" w:anchor="art3ix" w:history="1">
        <w:r w:rsidRPr="003B1CB8">
          <w:rPr>
            <w:rFonts w:ascii="Book Antiqua" w:eastAsia="Times New Roman" w:hAnsi="Book Antiqua" w:cs="Arial"/>
            <w:color w:val="0000FF"/>
            <w:kern w:val="0"/>
            <w:sz w:val="19"/>
            <w:szCs w:val="19"/>
            <w:u w:val="single"/>
            <w:lang w:eastAsia="pt-BR"/>
            <w14:ligatures w14:val="none"/>
          </w:rPr>
          <w:t>inciso IX do caput do art. 3º da Lei nº 13.874, de 20 de setembro de 2019.</w:t>
        </w:r>
      </w:hyperlink>
    </w:p>
    <w:p w14:paraId="5360B01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3B1CB8">
        <w:rPr>
          <w:rFonts w:ascii="Book Antiqua" w:eastAsia="Times New Roman" w:hAnsi="Book Antiqua" w:cs="Arial"/>
          <w:color w:val="000000"/>
          <w:kern w:val="0"/>
          <w:sz w:val="19"/>
          <w:szCs w:val="19"/>
          <w:lang w:eastAsia="pt-BR"/>
          <w14:ligatures w14:val="none"/>
        </w:rPr>
        <w:t>Art. 27. A execução das atividades de captura de dióxido de carbono para fins de estocagem geológica e sua</w:t>
      </w:r>
      <w:r w:rsidRPr="003B1CB8">
        <w:rPr>
          <w:rFonts w:ascii="Book Antiqua" w:eastAsia="Times New Roman" w:hAnsi="Book Antiqua" w:cs="Arial"/>
          <w:b/>
          <w:bCs/>
          <w:color w:val="000000"/>
          <w:kern w:val="0"/>
          <w:sz w:val="19"/>
          <w:szCs w:val="19"/>
          <w:lang w:eastAsia="pt-BR"/>
          <w14:ligatures w14:val="none"/>
        </w:rPr>
        <w:t> </w:t>
      </w:r>
      <w:r w:rsidRPr="003B1CB8">
        <w:rPr>
          <w:rFonts w:ascii="Book Antiqua" w:eastAsia="Times New Roman" w:hAnsi="Book Antiqua" w:cs="Arial"/>
          <w:color w:val="000000"/>
          <w:kern w:val="0"/>
          <w:sz w:val="19"/>
          <w:szCs w:val="19"/>
          <w:lang w:eastAsia="pt-BR"/>
          <w14:ligatures w14:val="none"/>
        </w:rPr>
        <w:t>estocagem deverá observar as seguintes diretrizes:</w:t>
      </w:r>
    </w:p>
    <w:p w14:paraId="3F5098C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 - eficiência e sustentabilidade econômicas;</w:t>
      </w:r>
    </w:p>
    <w:p w14:paraId="1202FBF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adoção</w:t>
      </w:r>
      <w:proofErr w:type="gramEnd"/>
      <w:r w:rsidRPr="003B1CB8">
        <w:rPr>
          <w:rFonts w:ascii="Book Antiqua" w:eastAsia="Times New Roman" w:hAnsi="Book Antiqua" w:cs="Arial"/>
          <w:color w:val="000000"/>
          <w:kern w:val="0"/>
          <w:sz w:val="19"/>
          <w:szCs w:val="19"/>
          <w:lang w:eastAsia="pt-BR"/>
          <w14:ligatures w14:val="none"/>
        </w:rPr>
        <w:t xml:space="preserve"> de métodos, de técnicas e de processos que considerem as peculiaridades locais e regionais e as melhores práticas da indústria; e</w:t>
      </w:r>
    </w:p>
    <w:p w14:paraId="1789FAF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III - integração das infraestruturas, dos serviços e das informações geológicas e geofísicas para gestão eficiente dos recursos naturais envolvidos no desenvolvimento da atividade.</w:t>
      </w:r>
    </w:p>
    <w:p w14:paraId="236EB33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3B1CB8">
        <w:rPr>
          <w:rFonts w:ascii="Book Antiqua" w:eastAsia="Times New Roman" w:hAnsi="Book Antiqua" w:cs="Arial"/>
          <w:color w:val="000000"/>
          <w:kern w:val="0"/>
          <w:sz w:val="19"/>
          <w:szCs w:val="19"/>
          <w:lang w:eastAsia="pt-BR"/>
          <w14:ligatures w14:val="none"/>
        </w:rPr>
        <w:t>Art. 28. Compete à ANP regular as atividades de captura de dióxido de carbono para fins de estocagem geológica, seu transporte por meio de dutos e sua estocagem geológica.</w:t>
      </w:r>
    </w:p>
    <w:p w14:paraId="68DD659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No caso de áreas sob contrato, a ANP ouvirá o detentor de direitos de exploração e produção antes de conceder a autorização a que se refere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do art. 26 desta Lei.</w:t>
      </w:r>
    </w:p>
    <w:p w14:paraId="108F6FA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O descumprimento das normas estabelecidas pela ANP sujeitará os infratores à cassação da autorização a que se refere 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do art. 26 desta Lei, sem prejuízo das demais sanções cabíveis, nos termos da regulação.</w:t>
      </w:r>
    </w:p>
    <w:p w14:paraId="69BB480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A ANP dará acesso aos dados técnicos públicos das bacias sedimentares brasileiras aos interessados para análise, estudos e identificação de áreas com potencial para estocagem geológica de dióxido de carbono.</w:t>
      </w:r>
    </w:p>
    <w:p w14:paraId="50C7707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3B1CB8">
        <w:rPr>
          <w:rFonts w:ascii="Book Antiqua" w:eastAsia="Times New Roman" w:hAnsi="Book Antiqua" w:cs="Arial"/>
          <w:color w:val="000000"/>
          <w:kern w:val="0"/>
          <w:sz w:val="19"/>
          <w:szCs w:val="19"/>
          <w:lang w:eastAsia="pt-BR"/>
          <w14:ligatures w14:val="none"/>
        </w:rPr>
        <w:t>Art. 29. São obrigações do operador de estocagem geológica de dióxido de carbono:</w:t>
      </w:r>
    </w:p>
    <w:p w14:paraId="0E324DF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garantir</w:t>
      </w:r>
      <w:proofErr w:type="gramEnd"/>
      <w:r w:rsidRPr="003B1CB8">
        <w:rPr>
          <w:rFonts w:ascii="Book Antiqua" w:eastAsia="Times New Roman" w:hAnsi="Book Antiqua" w:cs="Arial"/>
          <w:color w:val="000000"/>
          <w:kern w:val="0"/>
          <w:sz w:val="19"/>
          <w:szCs w:val="19"/>
          <w:lang w:eastAsia="pt-BR"/>
          <w14:ligatures w14:val="none"/>
        </w:rPr>
        <w:t xml:space="preserve"> que o armazenamento do dióxido de carbono</w:t>
      </w:r>
      <w:r w:rsidRPr="003B1CB8">
        <w:rPr>
          <w:rFonts w:ascii="Book Antiqua" w:eastAsia="Times New Roman" w:hAnsi="Book Antiqua" w:cs="Arial"/>
          <w:color w:val="000000"/>
          <w:kern w:val="0"/>
          <w:sz w:val="19"/>
          <w:szCs w:val="19"/>
          <w:vertAlign w:val="subscript"/>
          <w:lang w:eastAsia="pt-BR"/>
          <w14:ligatures w14:val="none"/>
        </w:rPr>
        <w:t> </w:t>
      </w:r>
      <w:r w:rsidRPr="003B1CB8">
        <w:rPr>
          <w:rFonts w:ascii="Book Antiqua" w:eastAsia="Times New Roman" w:hAnsi="Book Antiqua" w:cs="Arial"/>
          <w:color w:val="000000"/>
          <w:kern w:val="0"/>
          <w:sz w:val="19"/>
          <w:szCs w:val="19"/>
          <w:lang w:eastAsia="pt-BR"/>
          <w14:ligatures w14:val="none"/>
        </w:rPr>
        <w:t>ocorra de forma segura e eficaz, seguidos todos os parâmetros definidos em plano de monitoramento e em plano de contingência ou no licenciamento ambiental pertinente às operações de armazenamento;</w:t>
      </w:r>
    </w:p>
    <w:p w14:paraId="3AE6A4B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identificar, alertar</w:t>
      </w:r>
      <w:proofErr w:type="gramEnd"/>
      <w:r w:rsidRPr="003B1CB8">
        <w:rPr>
          <w:rFonts w:ascii="Book Antiqua" w:eastAsia="Times New Roman" w:hAnsi="Book Antiqua" w:cs="Arial"/>
          <w:color w:val="000000"/>
          <w:kern w:val="0"/>
          <w:sz w:val="19"/>
          <w:szCs w:val="19"/>
          <w:lang w:eastAsia="pt-BR"/>
          <w14:ligatures w14:val="none"/>
        </w:rPr>
        <w:t xml:space="preserve"> e agir de forma adequada em caso de eventos não desejáveis, incluídos quaisquer sinais de vazamento potencial, de modo a iniciar medidas preventivas e corretivas;</w:t>
      </w:r>
    </w:p>
    <w:p w14:paraId="3D492CF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manter calibrados, aferidos e em estado operacional quaisquer ferramentas e equipamentos capazes de identificar e de prevenir eventos não desejáveis;</w:t>
      </w:r>
    </w:p>
    <w:p w14:paraId="3B4DB8B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IV – </w:t>
      </w:r>
      <w:proofErr w:type="gramStart"/>
      <w:r w:rsidRPr="003B1CB8">
        <w:rPr>
          <w:rFonts w:ascii="Book Antiqua" w:eastAsia="Times New Roman" w:hAnsi="Book Antiqua" w:cs="Arial"/>
          <w:color w:val="000000"/>
          <w:kern w:val="0"/>
          <w:sz w:val="19"/>
          <w:szCs w:val="19"/>
          <w:lang w:eastAsia="pt-BR"/>
          <w14:ligatures w14:val="none"/>
        </w:rPr>
        <w:t>manter</w:t>
      </w:r>
      <w:proofErr w:type="gramEnd"/>
      <w:r w:rsidRPr="003B1CB8">
        <w:rPr>
          <w:rFonts w:ascii="Book Antiqua" w:eastAsia="Times New Roman" w:hAnsi="Book Antiqua" w:cs="Arial"/>
          <w:color w:val="000000"/>
          <w:kern w:val="0"/>
          <w:sz w:val="19"/>
          <w:szCs w:val="19"/>
          <w:lang w:eastAsia="pt-BR"/>
          <w14:ligatures w14:val="none"/>
        </w:rPr>
        <w:t xml:space="preserve"> em banco de dados, por tempo determinado pela ANP, registros devidamente validados por profissional competente de todos os relatórios emitidos relacionados à operação de armazenamento permanente de dióxido de carbono, inclusive os componentes do plano de monitoramento e do plano de contingência;</w:t>
      </w:r>
    </w:p>
    <w:p w14:paraId="2FB45A4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 – </w:t>
      </w:r>
      <w:proofErr w:type="gramStart"/>
      <w:r w:rsidRPr="003B1CB8">
        <w:rPr>
          <w:rFonts w:ascii="Book Antiqua" w:eastAsia="Times New Roman" w:hAnsi="Book Antiqua" w:cs="Arial"/>
          <w:color w:val="000000"/>
          <w:kern w:val="0"/>
          <w:sz w:val="19"/>
          <w:szCs w:val="19"/>
          <w:lang w:eastAsia="pt-BR"/>
          <w14:ligatures w14:val="none"/>
        </w:rPr>
        <w:t>realizar</w:t>
      </w:r>
      <w:proofErr w:type="gramEnd"/>
      <w:r w:rsidRPr="003B1CB8">
        <w:rPr>
          <w:rFonts w:ascii="Book Antiqua" w:eastAsia="Times New Roman" w:hAnsi="Book Antiqua" w:cs="Arial"/>
          <w:color w:val="000000"/>
          <w:kern w:val="0"/>
          <w:sz w:val="19"/>
          <w:szCs w:val="19"/>
          <w:lang w:eastAsia="pt-BR"/>
          <w14:ligatures w14:val="none"/>
        </w:rPr>
        <w:t xml:space="preserve"> inventário de armazenamento e de vazamento de dióxido de carbono, comparando</w:t>
      </w:r>
      <w:r w:rsidRPr="003B1CB8">
        <w:rPr>
          <w:rFonts w:ascii="Book Antiqua" w:eastAsia="Times New Roman" w:hAnsi="Book Antiqua" w:cs="Arial"/>
          <w:color w:val="FF0000"/>
          <w:kern w:val="0"/>
          <w:sz w:val="19"/>
          <w:szCs w:val="19"/>
          <w:lang w:eastAsia="pt-BR"/>
          <w14:ligatures w14:val="none"/>
        </w:rPr>
        <w:t> </w:t>
      </w:r>
      <w:r w:rsidRPr="003B1CB8">
        <w:rPr>
          <w:rFonts w:ascii="Book Antiqua" w:eastAsia="Times New Roman" w:hAnsi="Book Antiqua" w:cs="Arial"/>
          <w:color w:val="000000"/>
          <w:kern w:val="0"/>
          <w:sz w:val="19"/>
          <w:szCs w:val="19"/>
          <w:lang w:eastAsia="pt-BR"/>
          <w14:ligatures w14:val="none"/>
        </w:rPr>
        <w:t>as quantidades de armazenamento e de vazamento previstas e realizadas, para:</w:t>
      </w:r>
    </w:p>
    <w:p w14:paraId="34F79A0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 aferir a eficácia do projeto aprovado;</w:t>
      </w:r>
    </w:p>
    <w:p w14:paraId="19DBCDC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b) garantir o cumprimento das obrigações previstas; e</w:t>
      </w:r>
    </w:p>
    <w:p w14:paraId="2072856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 obter certificação de crédito de carbono, na hipótese de acordos internacionais e de legislação nacional que assim permitam;</w:t>
      </w:r>
    </w:p>
    <w:p w14:paraId="647514D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VI – </w:t>
      </w:r>
      <w:proofErr w:type="gramStart"/>
      <w:r w:rsidRPr="003B1CB8">
        <w:rPr>
          <w:rFonts w:ascii="Book Antiqua" w:eastAsia="Times New Roman" w:hAnsi="Book Antiqua" w:cs="Arial"/>
          <w:color w:val="000000"/>
          <w:kern w:val="0"/>
          <w:sz w:val="19"/>
          <w:szCs w:val="19"/>
          <w:lang w:eastAsia="pt-BR"/>
          <w14:ligatures w14:val="none"/>
        </w:rPr>
        <w:t>realizar</w:t>
      </w:r>
      <w:proofErr w:type="gramEnd"/>
      <w:r w:rsidRPr="003B1CB8">
        <w:rPr>
          <w:rFonts w:ascii="Book Antiqua" w:eastAsia="Times New Roman" w:hAnsi="Book Antiqua" w:cs="Arial"/>
          <w:color w:val="000000"/>
          <w:kern w:val="0"/>
          <w:sz w:val="19"/>
          <w:szCs w:val="19"/>
          <w:lang w:eastAsia="pt-BR"/>
          <w14:ligatures w14:val="none"/>
        </w:rPr>
        <w:t xml:space="preserve"> o monitoramento das atividades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do art. 26 desta Lei conforme o disposto no regulamento;</w:t>
      </w:r>
    </w:p>
    <w:p w14:paraId="7AAD541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VII – permitir e dar suporte à realização de auditorias e fiscalização de suas instalações de pesquisa, das instalações e atividades de injeção, da infraestrutura essencial para realização das atividades, dos registros de monitoramento realizados ou de outros documentos solicitados.</w:t>
      </w:r>
    </w:p>
    <w:p w14:paraId="667F19D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Parágrafo único. O certificado de crédito de carbono de que trata a alínea </w:t>
      </w:r>
      <w:r w:rsidRPr="003B1CB8">
        <w:rPr>
          <w:rFonts w:ascii="Book Antiqua" w:eastAsia="Times New Roman" w:hAnsi="Book Antiqua" w:cs="Arial"/>
          <w:i/>
          <w:iCs/>
          <w:color w:val="000000"/>
          <w:kern w:val="0"/>
          <w:sz w:val="19"/>
          <w:szCs w:val="19"/>
          <w:lang w:eastAsia="pt-BR"/>
          <w14:ligatures w14:val="none"/>
        </w:rPr>
        <w:t>c</w:t>
      </w:r>
      <w:r w:rsidRPr="003B1CB8">
        <w:rPr>
          <w:rFonts w:ascii="Book Antiqua" w:eastAsia="Times New Roman" w:hAnsi="Book Antiqua" w:cs="Arial"/>
          <w:color w:val="000000"/>
          <w:kern w:val="0"/>
          <w:sz w:val="19"/>
          <w:szCs w:val="19"/>
          <w:lang w:eastAsia="pt-BR"/>
          <w14:ligatures w14:val="none"/>
        </w:rPr>
        <w:t> do inciso V do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poderá ser objeto de contrato de longo prazo, conforme regulamento.</w:t>
      </w:r>
    </w:p>
    <w:p w14:paraId="350E5AB1"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CAPÍTULO VII</w:t>
      </w:r>
    </w:p>
    <w:p w14:paraId="02BA0422" w14:textId="77777777" w:rsidR="003B1CB8" w:rsidRPr="003B1CB8" w:rsidRDefault="003B1CB8" w:rsidP="003B1CB8">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DISPOSIÇÕES FINAIS E TRANSITÓRIAS</w:t>
      </w:r>
    </w:p>
    <w:p w14:paraId="353D38E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3B1CB8">
        <w:rPr>
          <w:rFonts w:ascii="Book Antiqua" w:eastAsia="Times New Roman" w:hAnsi="Book Antiqua" w:cs="Arial"/>
          <w:color w:val="000000"/>
          <w:kern w:val="0"/>
          <w:sz w:val="19"/>
          <w:szCs w:val="19"/>
          <w:lang w:eastAsia="pt-BR"/>
          <w14:ligatures w14:val="none"/>
        </w:rPr>
        <w:lastRenderedPageBreak/>
        <w:t>Art. 30. A </w:t>
      </w:r>
      <w:hyperlink r:id="rId15" w:history="1">
        <w:r w:rsidRPr="003B1CB8">
          <w:rPr>
            <w:rFonts w:ascii="Book Antiqua" w:eastAsia="Times New Roman" w:hAnsi="Book Antiqua" w:cs="Arial"/>
            <w:color w:val="0000FF"/>
            <w:kern w:val="0"/>
            <w:sz w:val="19"/>
            <w:szCs w:val="19"/>
            <w:u w:val="single"/>
            <w:lang w:eastAsia="pt-BR"/>
            <w14:ligatures w14:val="none"/>
          </w:rPr>
          <w:t>Lei nº 9.478, de 6 de agosto de 1997</w:t>
        </w:r>
      </w:hyperlink>
      <w:r w:rsidRPr="003B1CB8">
        <w:rPr>
          <w:rFonts w:ascii="Book Antiqua" w:eastAsia="Times New Roman" w:hAnsi="Book Antiqua" w:cs="Arial"/>
          <w:color w:val="000000"/>
          <w:kern w:val="0"/>
          <w:sz w:val="19"/>
          <w:szCs w:val="19"/>
          <w:lang w:eastAsia="pt-BR"/>
          <w14:ligatures w14:val="none"/>
        </w:rPr>
        <w:t>, passa a vigorar com as seguintes alterações, numerado o parágrafo único do art. 7º como § 1º:</w:t>
      </w:r>
    </w:p>
    <w:p w14:paraId="08BE059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1º ................................................................................</w:t>
      </w:r>
    </w:p>
    <w:p w14:paraId="7CE9376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19FEC06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 w:anchor="art1-18.0" w:history="1">
        <w:r w:rsidRPr="003B1CB8">
          <w:rPr>
            <w:rFonts w:ascii="Book Antiqua" w:eastAsia="Times New Roman" w:hAnsi="Book Antiqua" w:cs="Arial"/>
            <w:color w:val="0000FF"/>
            <w:kern w:val="0"/>
            <w:sz w:val="19"/>
            <w:szCs w:val="19"/>
            <w:u w:val="single"/>
            <w:lang w:eastAsia="pt-BR"/>
            <w14:ligatures w14:val="none"/>
          </w:rPr>
          <w:t>XVIII -</w:t>
        </w:r>
      </w:hyperlink>
      <w:r w:rsidRPr="003B1CB8">
        <w:rPr>
          <w:rFonts w:ascii="Book Antiqua" w:eastAsia="Times New Roman" w:hAnsi="Book Antiqua" w:cs="Arial"/>
          <w:color w:val="000000"/>
          <w:kern w:val="0"/>
          <w:sz w:val="19"/>
          <w:szCs w:val="19"/>
          <w:lang w:eastAsia="pt-BR"/>
          <w14:ligatures w14:val="none"/>
        </w:rPr>
        <w:t> mitigar as emissões de gases causadores de efeito estufa e de poluentes nos setores de energia e de transportes, inclusive com o uso de biocombustíveis e da captura e da estocagem geológica de dióxido de carbono;</w:t>
      </w:r>
    </w:p>
    <w:p w14:paraId="5D274D5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 (NR)</w:t>
      </w:r>
    </w:p>
    <w:p w14:paraId="47CEBEF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2º .................................................................................</w:t>
      </w:r>
    </w:p>
    <w:p w14:paraId="618225E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58F53D5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 w:anchor="art2-4" w:history="1">
        <w:r w:rsidRPr="003B1CB8">
          <w:rPr>
            <w:rFonts w:ascii="Book Antiqua" w:eastAsia="Times New Roman" w:hAnsi="Book Antiqua" w:cs="Arial"/>
            <w:color w:val="0000FF"/>
            <w:kern w:val="0"/>
            <w:sz w:val="19"/>
            <w:szCs w:val="19"/>
            <w:u w:val="single"/>
            <w:lang w:eastAsia="pt-BR"/>
            <w14:ligatures w14:val="none"/>
          </w:rPr>
          <w:t>IV –</w:t>
        </w:r>
      </w:hyperlink>
      <w:r w:rsidRPr="003B1CB8">
        <w:rPr>
          <w:rFonts w:ascii="Book Antiqua" w:eastAsia="Times New Roman" w:hAnsi="Book Antiqua" w:cs="Arial"/>
          <w:color w:val="000000"/>
          <w:kern w:val="0"/>
          <w:sz w:val="19"/>
          <w:szCs w:val="19"/>
          <w:lang w:eastAsia="pt-BR"/>
          <w14:ligatures w14:val="none"/>
        </w:rPr>
        <w:t xml:space="preserve"> estabelecer diretrizes e metas, quando aplicáveis, para programas específicos, como os de uso do gás natural, do carvão, da energia termonuclear, dos biocombustíveis, da energia solar, da energia eólica, do biogás, do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da energia proveniente de outras fontes alternativas;</w:t>
      </w:r>
    </w:p>
    <w:p w14:paraId="533F7A2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453D85C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 w:anchor="art2-12" w:history="1">
        <w:r w:rsidRPr="003B1CB8">
          <w:rPr>
            <w:rFonts w:ascii="Book Antiqua" w:eastAsia="Times New Roman" w:hAnsi="Book Antiqua" w:cs="Arial"/>
            <w:color w:val="0000FF"/>
            <w:kern w:val="0"/>
            <w:sz w:val="19"/>
            <w:szCs w:val="19"/>
            <w:u w:val="single"/>
            <w:lang w:eastAsia="pt-BR"/>
            <w14:ligatures w14:val="none"/>
          </w:rPr>
          <w:t>XII -</w:t>
        </w:r>
      </w:hyperlink>
      <w:r w:rsidRPr="003B1CB8">
        <w:rPr>
          <w:rFonts w:ascii="Book Antiqua" w:eastAsia="Times New Roman" w:hAnsi="Book Antiqua" w:cs="Arial"/>
          <w:color w:val="000000"/>
          <w:kern w:val="0"/>
          <w:sz w:val="19"/>
          <w:szCs w:val="19"/>
          <w:lang w:eastAsia="pt-BR"/>
          <w14:ligatures w14:val="none"/>
        </w:rPr>
        <w:t> estabelecer os parâmetros técnicos e econômicos das licitações de concessões de geração, transmissão e distribuição de energia elétrica de que trata o </w:t>
      </w:r>
      <w:hyperlink r:id="rId19" w:anchor="art8" w:history="1">
        <w:r w:rsidRPr="003B1CB8">
          <w:rPr>
            <w:rFonts w:ascii="Book Antiqua" w:eastAsia="Times New Roman" w:hAnsi="Book Antiqua" w:cs="Arial"/>
            <w:color w:val="0000FF"/>
            <w:kern w:val="0"/>
            <w:sz w:val="19"/>
            <w:szCs w:val="19"/>
            <w:u w:val="single"/>
            <w:lang w:eastAsia="pt-BR"/>
            <w14:ligatures w14:val="none"/>
          </w:rPr>
          <w:t>art. 8º da Lei nº 12.783, de 11 de janeiro de 2013;</w:t>
        </w:r>
      </w:hyperlink>
    </w:p>
    <w:p w14:paraId="64410C5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0" w:anchor="art2-13" w:history="1">
        <w:r w:rsidRPr="003B1CB8">
          <w:rPr>
            <w:rFonts w:ascii="Book Antiqua" w:eastAsia="Times New Roman" w:hAnsi="Book Antiqua" w:cs="Arial"/>
            <w:color w:val="0000FF"/>
            <w:kern w:val="0"/>
            <w:sz w:val="19"/>
            <w:szCs w:val="19"/>
            <w:u w:val="single"/>
            <w:lang w:eastAsia="pt-BR"/>
            <w14:ligatures w14:val="none"/>
          </w:rPr>
          <w:t>XIII -</w:t>
        </w:r>
      </w:hyperlink>
      <w:r w:rsidRPr="003B1CB8">
        <w:rPr>
          <w:rFonts w:ascii="Book Antiqua" w:eastAsia="Times New Roman" w:hAnsi="Book Antiqua" w:cs="Arial"/>
          <w:color w:val="000000"/>
          <w:kern w:val="0"/>
          <w:sz w:val="19"/>
          <w:szCs w:val="19"/>
          <w:lang w:eastAsia="pt-BR"/>
          <w14:ligatures w14:val="none"/>
        </w:rPr>
        <w:t> definir a estratégia e a política de desenvolvimento tecnológico do setor de energia elétrica;</w:t>
      </w:r>
    </w:p>
    <w:p w14:paraId="2E8232A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1" w:anchor="art2-14" w:history="1">
        <w:r w:rsidRPr="003B1CB8">
          <w:rPr>
            <w:rFonts w:ascii="Book Antiqua" w:eastAsia="Times New Roman" w:hAnsi="Book Antiqua" w:cs="Arial"/>
            <w:color w:val="0000FF"/>
            <w:kern w:val="0"/>
            <w:sz w:val="19"/>
            <w:szCs w:val="19"/>
            <w:u w:val="single"/>
            <w:lang w:eastAsia="pt-BR"/>
            <w14:ligatures w14:val="none"/>
          </w:rPr>
          <w:t>XIV -</w:t>
        </w:r>
      </w:hyperlink>
      <w:r w:rsidRPr="003B1CB8">
        <w:rPr>
          <w:rFonts w:ascii="Book Antiqua" w:eastAsia="Times New Roman" w:hAnsi="Book Antiqua" w:cs="Arial"/>
          <w:color w:val="000000"/>
          <w:kern w:val="0"/>
          <w:sz w:val="19"/>
          <w:szCs w:val="19"/>
          <w:lang w:eastAsia="pt-BR"/>
          <w14:ligatures w14:val="none"/>
        </w:rPr>
        <w:t> estabelecer diretrizes para o suprimento de gás natural nas situações caracterizadas como de contingência, nos termos previstos em lei;</w:t>
      </w:r>
    </w:p>
    <w:p w14:paraId="53DEF9F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XV - </w:t>
      </w:r>
      <w:proofErr w:type="gramStart"/>
      <w:r w:rsidRPr="003B1CB8">
        <w:rPr>
          <w:rFonts w:ascii="Book Antiqua" w:eastAsia="Times New Roman" w:hAnsi="Book Antiqua" w:cs="Arial"/>
          <w:color w:val="000000"/>
          <w:kern w:val="0"/>
          <w:sz w:val="19"/>
          <w:szCs w:val="19"/>
          <w:lang w:eastAsia="pt-BR"/>
          <w14:ligatures w14:val="none"/>
        </w:rPr>
        <w:t>estabelecer</w:t>
      </w:r>
      <w:proofErr w:type="gramEnd"/>
      <w:r w:rsidRPr="003B1CB8">
        <w:rPr>
          <w:rFonts w:ascii="Book Antiqua" w:eastAsia="Times New Roman" w:hAnsi="Book Antiqua" w:cs="Arial"/>
          <w:color w:val="000000"/>
          <w:kern w:val="0"/>
          <w:sz w:val="19"/>
          <w:szCs w:val="19"/>
          <w:lang w:eastAsia="pt-BR"/>
          <w14:ligatures w14:val="none"/>
        </w:rPr>
        <w:t xml:space="preserve"> diretrizes para a regulação e a fiscalização da captura e da estocagem geológica de dióxido de carbono; e;</w:t>
      </w:r>
    </w:p>
    <w:p w14:paraId="2C28D19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B1CB8">
        <w:rPr>
          <w:rFonts w:ascii="Book Antiqua" w:eastAsia="Times New Roman" w:hAnsi="Book Antiqua" w:cs="Arial"/>
          <w:color w:val="000000"/>
          <w:kern w:val="0"/>
          <w:sz w:val="16"/>
          <w:szCs w:val="16"/>
          <w:lang w:eastAsia="pt-BR"/>
          <w14:ligatures w14:val="none"/>
        </w:rPr>
        <w:t>XVI – (VETADO).</w:t>
      </w:r>
    </w:p>
    <w:p w14:paraId="34FCC18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5F98482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2" w:anchor="art2%C2%A72a" w:history="1">
        <w:r w:rsidRPr="003B1CB8">
          <w:rPr>
            <w:rFonts w:ascii="Book Antiqua" w:eastAsia="Times New Roman" w:hAnsi="Book Antiqua" w:cs="Arial"/>
            <w:color w:val="0000FF"/>
            <w:kern w:val="0"/>
            <w:sz w:val="19"/>
            <w:szCs w:val="19"/>
            <w:u w:val="single"/>
            <w:lang w:eastAsia="pt-BR"/>
            <w14:ligatures w14:val="none"/>
          </w:rPr>
          <w:t>§ 2º-A</w:t>
        </w:r>
      </w:hyperlink>
      <w:r w:rsidRPr="003B1CB8">
        <w:rPr>
          <w:rFonts w:ascii="Book Antiqua" w:eastAsia="Times New Roman" w:hAnsi="Book Antiqua" w:cs="Arial"/>
          <w:color w:val="000000"/>
          <w:kern w:val="0"/>
          <w:sz w:val="19"/>
          <w:szCs w:val="19"/>
          <w:lang w:eastAsia="pt-BR"/>
          <w14:ligatures w14:val="none"/>
        </w:rPr>
        <w:t> Com vistas ao cumprimento dos objetivos de que tratam os incisos III, IV e XVIII do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do art. 1º deste artigo, o CNPE poderá estender a aplicação do sistema de rastreabilidade de que trata o </w:t>
      </w:r>
      <w:hyperlink r:id="rId23" w:anchor="art1%C2%A73" w:history="1">
        <w:r w:rsidRPr="003B1CB8">
          <w:rPr>
            <w:rFonts w:ascii="Book Antiqua" w:eastAsia="Times New Roman" w:hAnsi="Book Antiqua" w:cs="Arial"/>
            <w:color w:val="0000FF"/>
            <w:kern w:val="0"/>
            <w:sz w:val="19"/>
            <w:szCs w:val="19"/>
            <w:u w:val="single"/>
            <w:lang w:eastAsia="pt-BR"/>
            <w14:ligatures w14:val="none"/>
          </w:rPr>
          <w:t>§ 3º do art. 1º da Lei nº 13.033, de 24 de setembro de 2014</w:t>
        </w:r>
      </w:hyperlink>
      <w:r w:rsidRPr="003B1CB8">
        <w:rPr>
          <w:rFonts w:ascii="Book Antiqua" w:eastAsia="Times New Roman" w:hAnsi="Book Antiqua" w:cs="Arial"/>
          <w:color w:val="000000"/>
          <w:kern w:val="0"/>
          <w:sz w:val="19"/>
          <w:szCs w:val="19"/>
          <w:lang w:eastAsia="pt-BR"/>
          <w14:ligatures w14:val="none"/>
        </w:rPr>
        <w:t>, para as demais fontes de energia de que trata esta Lei.</w:t>
      </w:r>
    </w:p>
    <w:p w14:paraId="7015F02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 (NR)</w:t>
      </w:r>
    </w:p>
    <w:p w14:paraId="14AA705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6º.................................................................................</w:t>
      </w:r>
    </w:p>
    <w:p w14:paraId="69A49CB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6B1DBE0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4" w:anchor="art6-24" w:history="1">
        <w:r w:rsidRPr="003B1CB8">
          <w:rPr>
            <w:rFonts w:ascii="Book Antiqua" w:eastAsia="Times New Roman" w:hAnsi="Book Antiqua" w:cs="Arial"/>
            <w:color w:val="0000FF"/>
            <w:kern w:val="0"/>
            <w:sz w:val="19"/>
            <w:szCs w:val="19"/>
            <w:u w:val="single"/>
            <w:lang w:eastAsia="pt-BR"/>
            <w14:ligatures w14:val="none"/>
          </w:rPr>
          <w:t>XXIV –</w:t>
        </w:r>
      </w:hyperlink>
      <w:r w:rsidRPr="003B1CB8">
        <w:rPr>
          <w:rFonts w:ascii="Book Antiqua" w:eastAsia="Times New Roman" w:hAnsi="Book Antiqua" w:cs="Arial"/>
          <w:color w:val="000000"/>
          <w:kern w:val="0"/>
          <w:sz w:val="19"/>
          <w:szCs w:val="19"/>
          <w:lang w:eastAsia="pt-BR"/>
          <w14:ligatures w14:val="none"/>
        </w:rPr>
        <w:t xml:space="preserve"> Biocombustível: substância derivada de biomassa renovável, tal como biodiesel, etanol,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xml:space="preserve"> e outras substâncias estabelecidas em regulamento da ANP, que pode ser empregada diretamente ou mediante alterações em motores a combustão interna ou para outro tipo de geração de energia, podendo substituir parcial ou totalmente combustíveis de origem fóssil;</w:t>
      </w:r>
    </w:p>
    <w:p w14:paraId="6F10C5D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7182060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5" w:anchor="art6-30" w:history="1">
        <w:r w:rsidRPr="003B1CB8">
          <w:rPr>
            <w:rFonts w:ascii="Book Antiqua" w:eastAsia="Times New Roman" w:hAnsi="Book Antiqua" w:cs="Arial"/>
            <w:color w:val="0000FF"/>
            <w:kern w:val="0"/>
            <w:sz w:val="19"/>
            <w:szCs w:val="19"/>
            <w:u w:val="single"/>
            <w:lang w:eastAsia="pt-BR"/>
            <w14:ligatures w14:val="none"/>
          </w:rPr>
          <w:t>XXX -</w:t>
        </w:r>
      </w:hyperlink>
      <w:r w:rsidRPr="003B1CB8">
        <w:rPr>
          <w:rFonts w:ascii="Book Antiqua" w:eastAsia="Times New Roman" w:hAnsi="Book Antiqua" w:cs="Arial"/>
          <w:color w:val="000000"/>
          <w:kern w:val="0"/>
          <w:sz w:val="19"/>
          <w:szCs w:val="19"/>
          <w:lang w:eastAsia="pt-BR"/>
          <w14:ligatures w14:val="none"/>
        </w:rPr>
        <w:t> Etanol: biocombustível líquido derivado de biomassa renovável, que tem como principal componente o álcool etílico, que pode ser utilizado, diretamente ou mediante alterações, em motores a combustão interna com ignição por centelha, em outras formas de geração de energia ou em indústria petroquímica, podendo ser obtido por rotas tecnológicas distintas, conforme especificado em regulamento;</w:t>
      </w:r>
    </w:p>
    <w:p w14:paraId="242EBE7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6" w:anchor="art6-31" w:history="1">
        <w:r w:rsidRPr="003B1CB8">
          <w:rPr>
            <w:rFonts w:ascii="Book Antiqua" w:eastAsia="Times New Roman" w:hAnsi="Book Antiqua" w:cs="Arial"/>
            <w:color w:val="0000FF"/>
            <w:kern w:val="0"/>
            <w:sz w:val="19"/>
            <w:szCs w:val="19"/>
            <w:u w:val="single"/>
            <w:lang w:eastAsia="pt-BR"/>
            <w14:ligatures w14:val="none"/>
          </w:rPr>
          <w:t>XXXI </w:t>
        </w:r>
      </w:hyperlink>
      <w:r w:rsidRPr="003B1CB8">
        <w:rPr>
          <w:rFonts w:ascii="Book Antiqua" w:eastAsia="Times New Roman" w:hAnsi="Book Antiqua" w:cs="Arial"/>
          <w:color w:val="000000"/>
          <w:kern w:val="0"/>
          <w:sz w:val="19"/>
          <w:szCs w:val="19"/>
          <w:lang w:eastAsia="pt-BR"/>
          <w14:ligatures w14:val="none"/>
        </w:rPr>
        <w:t>- Combustível Sustentável de Aviação (</w:t>
      </w:r>
      <w:proofErr w:type="spellStart"/>
      <w:r w:rsidRPr="003B1CB8">
        <w:rPr>
          <w:rFonts w:ascii="Book Antiqua" w:eastAsia="Times New Roman" w:hAnsi="Book Antiqua" w:cs="Arial"/>
          <w:i/>
          <w:iCs/>
          <w:color w:val="000000"/>
          <w:kern w:val="0"/>
          <w:sz w:val="19"/>
          <w:szCs w:val="19"/>
          <w:lang w:eastAsia="pt-BR"/>
          <w14:ligatures w14:val="none"/>
        </w:rPr>
        <w:t>Sustainable</w:t>
      </w:r>
      <w:proofErr w:type="spellEnd"/>
      <w:r w:rsidRPr="003B1CB8">
        <w:rPr>
          <w:rFonts w:ascii="Book Antiqua" w:eastAsia="Times New Roman" w:hAnsi="Book Antiqua" w:cs="Arial"/>
          <w:i/>
          <w:iCs/>
          <w:color w:val="000000"/>
          <w:kern w:val="0"/>
          <w:sz w:val="19"/>
          <w:szCs w:val="19"/>
          <w:lang w:eastAsia="pt-BR"/>
          <w14:ligatures w14:val="none"/>
        </w:rPr>
        <w:t xml:space="preserve"> </w:t>
      </w:r>
      <w:proofErr w:type="spellStart"/>
      <w:r w:rsidRPr="003B1CB8">
        <w:rPr>
          <w:rFonts w:ascii="Book Antiqua" w:eastAsia="Times New Roman" w:hAnsi="Book Antiqua" w:cs="Arial"/>
          <w:i/>
          <w:iCs/>
          <w:color w:val="000000"/>
          <w:kern w:val="0"/>
          <w:sz w:val="19"/>
          <w:szCs w:val="19"/>
          <w:lang w:eastAsia="pt-BR"/>
          <w14:ligatures w14:val="none"/>
        </w:rPr>
        <w:t>Aviation</w:t>
      </w:r>
      <w:proofErr w:type="spellEnd"/>
      <w:r w:rsidRPr="003B1CB8">
        <w:rPr>
          <w:rFonts w:ascii="Book Antiqua" w:eastAsia="Times New Roman" w:hAnsi="Book Antiqua" w:cs="Arial"/>
          <w:i/>
          <w:iCs/>
          <w:color w:val="000000"/>
          <w:kern w:val="0"/>
          <w:sz w:val="19"/>
          <w:szCs w:val="19"/>
          <w:lang w:eastAsia="pt-BR"/>
          <w14:ligatures w14:val="none"/>
        </w:rPr>
        <w:t xml:space="preserve"> </w:t>
      </w:r>
      <w:proofErr w:type="spellStart"/>
      <w:r w:rsidRPr="003B1CB8">
        <w:rPr>
          <w:rFonts w:ascii="Book Antiqua" w:eastAsia="Times New Roman" w:hAnsi="Book Antiqua" w:cs="Arial"/>
          <w:i/>
          <w:iCs/>
          <w:color w:val="000000"/>
          <w:kern w:val="0"/>
          <w:sz w:val="19"/>
          <w:szCs w:val="19"/>
          <w:lang w:eastAsia="pt-BR"/>
          <w14:ligatures w14:val="none"/>
        </w:rPr>
        <w:t>Fuel</w:t>
      </w:r>
      <w:proofErr w:type="spellEnd"/>
      <w:r w:rsidRPr="003B1CB8">
        <w:rPr>
          <w:rFonts w:ascii="Book Antiqua" w:eastAsia="Times New Roman" w:hAnsi="Book Antiqua" w:cs="Arial"/>
          <w:color w:val="000000"/>
          <w:kern w:val="0"/>
          <w:sz w:val="19"/>
          <w:szCs w:val="19"/>
          <w:lang w:eastAsia="pt-BR"/>
          <w14:ligatures w14:val="none"/>
        </w:rPr>
        <w:t> - SAF): combustível alternativo ao combustível aeronáutico de origem fóssil, produzido a partir de quaisquer matérias-primas e processos que atendam a padrões de sustentabilidade, conforme definição da Organização de Aviação Civil Internacional (</w:t>
      </w:r>
      <w:proofErr w:type="spellStart"/>
      <w:r w:rsidRPr="003B1CB8">
        <w:rPr>
          <w:rFonts w:ascii="Book Antiqua" w:eastAsia="Times New Roman" w:hAnsi="Book Antiqua" w:cs="Arial"/>
          <w:i/>
          <w:iCs/>
          <w:color w:val="000000"/>
          <w:kern w:val="0"/>
          <w:sz w:val="19"/>
          <w:szCs w:val="19"/>
          <w:lang w:eastAsia="pt-BR"/>
          <w14:ligatures w14:val="none"/>
        </w:rPr>
        <w:t>International</w:t>
      </w:r>
      <w:proofErr w:type="spellEnd"/>
      <w:r w:rsidRPr="003B1CB8">
        <w:rPr>
          <w:rFonts w:ascii="Book Antiqua" w:eastAsia="Times New Roman" w:hAnsi="Book Antiqua" w:cs="Arial"/>
          <w:i/>
          <w:iCs/>
          <w:color w:val="000000"/>
          <w:kern w:val="0"/>
          <w:sz w:val="19"/>
          <w:szCs w:val="19"/>
          <w:lang w:eastAsia="pt-BR"/>
          <w14:ligatures w14:val="none"/>
        </w:rPr>
        <w:t xml:space="preserve"> Civil </w:t>
      </w:r>
      <w:proofErr w:type="spellStart"/>
      <w:r w:rsidRPr="003B1CB8">
        <w:rPr>
          <w:rFonts w:ascii="Book Antiqua" w:eastAsia="Times New Roman" w:hAnsi="Book Antiqua" w:cs="Arial"/>
          <w:i/>
          <w:iCs/>
          <w:color w:val="000000"/>
          <w:kern w:val="0"/>
          <w:sz w:val="19"/>
          <w:szCs w:val="19"/>
          <w:lang w:eastAsia="pt-BR"/>
          <w14:ligatures w14:val="none"/>
        </w:rPr>
        <w:t>Aviation</w:t>
      </w:r>
      <w:proofErr w:type="spellEnd"/>
      <w:r w:rsidRPr="003B1CB8">
        <w:rPr>
          <w:rFonts w:ascii="Book Antiqua" w:eastAsia="Times New Roman" w:hAnsi="Book Antiqua" w:cs="Arial"/>
          <w:i/>
          <w:iCs/>
          <w:color w:val="000000"/>
          <w:kern w:val="0"/>
          <w:sz w:val="19"/>
          <w:szCs w:val="19"/>
          <w:lang w:eastAsia="pt-BR"/>
          <w14:ligatures w14:val="none"/>
        </w:rPr>
        <w:t xml:space="preserve"> </w:t>
      </w:r>
      <w:proofErr w:type="spellStart"/>
      <w:r w:rsidRPr="003B1CB8">
        <w:rPr>
          <w:rFonts w:ascii="Book Antiqua" w:eastAsia="Times New Roman" w:hAnsi="Book Antiqua" w:cs="Arial"/>
          <w:i/>
          <w:iCs/>
          <w:color w:val="000000"/>
          <w:kern w:val="0"/>
          <w:sz w:val="19"/>
          <w:szCs w:val="19"/>
          <w:lang w:eastAsia="pt-BR"/>
          <w14:ligatures w14:val="none"/>
        </w:rPr>
        <w:t>Organization</w:t>
      </w:r>
      <w:proofErr w:type="spellEnd"/>
      <w:r w:rsidRPr="003B1CB8">
        <w:rPr>
          <w:rFonts w:ascii="Book Antiqua" w:eastAsia="Times New Roman" w:hAnsi="Book Antiqua" w:cs="Arial"/>
          <w:color w:val="000000"/>
          <w:kern w:val="0"/>
          <w:sz w:val="19"/>
          <w:szCs w:val="19"/>
          <w:lang w:eastAsia="pt-BR"/>
          <w14:ligatures w14:val="none"/>
        </w:rPr>
        <w:t> - ICAO), que possa ser utilizado puro ou em mistura com o combustível de origem fóssil, conforme as especificações técnicas das normas aplicáveis, e que promova benefícios ambientais quando considerado o seu ciclo de vida completo;</w:t>
      </w:r>
    </w:p>
    <w:p w14:paraId="304DDFC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XXXII - Biogás: gás bruto que na sua composição contém metano obtido de matéria-prima renovável ou de resíduos orgânicos;</w:t>
      </w:r>
    </w:p>
    <w:p w14:paraId="368EBB7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XXXIII - </w:t>
      </w:r>
      <w:proofErr w:type="spellStart"/>
      <w:r w:rsidRPr="003B1CB8">
        <w:rPr>
          <w:rFonts w:ascii="Book Antiqua" w:eastAsia="Times New Roman" w:hAnsi="Book Antiqua" w:cs="Arial"/>
          <w:color w:val="000000"/>
          <w:kern w:val="0"/>
          <w:sz w:val="19"/>
          <w:szCs w:val="19"/>
          <w:lang w:eastAsia="pt-BR"/>
          <w14:ligatures w14:val="none"/>
        </w:rPr>
        <w:t>Biometano</w:t>
      </w:r>
      <w:proofErr w:type="spellEnd"/>
      <w:r w:rsidRPr="003B1CB8">
        <w:rPr>
          <w:rFonts w:ascii="Book Antiqua" w:eastAsia="Times New Roman" w:hAnsi="Book Antiqua" w:cs="Arial"/>
          <w:color w:val="000000"/>
          <w:kern w:val="0"/>
          <w:sz w:val="19"/>
          <w:szCs w:val="19"/>
          <w:lang w:eastAsia="pt-BR"/>
          <w14:ligatures w14:val="none"/>
        </w:rPr>
        <w:t>: biocombustível gasoso constituído essencialmente de metano, derivado da purificação do biogás;</w:t>
      </w:r>
    </w:p>
    <w:p w14:paraId="1CBBC7B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XXXIV - Combustível Sintético: combustível sintetizado a partir de rotas tecnológicas a exemplo de processos termoquímicos e catalíticos e que possa substituir parcial ou totalmente combustíveis de origem fóssil;</w:t>
      </w:r>
    </w:p>
    <w:p w14:paraId="6AE8688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XXXV - Área Não Contratada: área que não é objeto de contrato de concessão, de contrato de cessão onerosa ou de contrato de partilha de produção; e</w:t>
      </w:r>
    </w:p>
    <w:p w14:paraId="70FEE8B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XXXVI - Área sob Contrato: bloco ou campo objeto de um contrato de concessão, de contrato de cessão onerosa ou de contrato de partilha de produção</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7E32C76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7º ...............................................................................</w:t>
      </w:r>
    </w:p>
    <w:p w14:paraId="7D190EF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7" w:anchor="art7%C2%A71" w:history="1">
        <w:r w:rsidRPr="003B1CB8">
          <w:rPr>
            <w:rFonts w:ascii="Book Antiqua" w:eastAsia="Times New Roman" w:hAnsi="Book Antiqua" w:cs="Arial"/>
            <w:color w:val="0000FF"/>
            <w:kern w:val="0"/>
            <w:sz w:val="19"/>
            <w:szCs w:val="19"/>
            <w:u w:val="single"/>
            <w:lang w:eastAsia="pt-BR"/>
            <w14:ligatures w14:val="none"/>
          </w:rPr>
          <w:t>§ 1º</w:t>
        </w:r>
      </w:hyperlink>
      <w:r w:rsidRPr="003B1CB8">
        <w:rPr>
          <w:rFonts w:ascii="Book Antiqua" w:eastAsia="Times New Roman" w:hAnsi="Book Antiqua" w:cs="Arial"/>
          <w:color w:val="000000"/>
          <w:kern w:val="0"/>
          <w:sz w:val="19"/>
          <w:szCs w:val="19"/>
          <w:lang w:eastAsia="pt-BR"/>
          <w14:ligatures w14:val="none"/>
        </w:rPr>
        <w:t> A ANP tem sede e foro no Distrito Federal e escritórios centrais na cidade do Rio de Janeiro, podendo instalar unidades administrativas regionais.</w:t>
      </w:r>
    </w:p>
    <w:p w14:paraId="4560E5E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8" w:anchor="art7%C2%A72" w:history="1">
        <w:r w:rsidRPr="003B1CB8">
          <w:rPr>
            <w:rFonts w:ascii="Book Antiqua" w:eastAsia="Times New Roman" w:hAnsi="Book Antiqua" w:cs="Arial"/>
            <w:color w:val="0000FF"/>
            <w:kern w:val="0"/>
            <w:sz w:val="19"/>
            <w:szCs w:val="19"/>
            <w:u w:val="single"/>
            <w:lang w:eastAsia="pt-BR"/>
            <w14:ligatures w14:val="none"/>
          </w:rPr>
          <w:t>§ 2º</w:t>
        </w:r>
      </w:hyperlink>
      <w:r w:rsidRPr="003B1CB8">
        <w:rPr>
          <w:rFonts w:ascii="Book Antiqua" w:eastAsia="Times New Roman" w:hAnsi="Book Antiqua" w:cs="Arial"/>
          <w:color w:val="000000"/>
          <w:kern w:val="0"/>
          <w:sz w:val="19"/>
          <w:szCs w:val="19"/>
          <w:lang w:eastAsia="pt-BR"/>
          <w14:ligatures w14:val="none"/>
        </w:rPr>
        <w:t> A ANP atuará ainda como órgão regulador da indústria dos combustíveis sintéticos e da captura e da estocagem geológica de dióxido de carbono</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3160178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29" w:anchor="art8.1" w:history="1">
        <w:r w:rsidRPr="003B1CB8">
          <w:rPr>
            <w:rFonts w:ascii="Book Antiqua" w:eastAsia="Times New Roman" w:hAnsi="Book Antiqua" w:cs="Arial"/>
            <w:color w:val="0000FF"/>
            <w:kern w:val="0"/>
            <w:sz w:val="19"/>
            <w:szCs w:val="19"/>
            <w:u w:val="single"/>
            <w:lang w:eastAsia="pt-BR"/>
            <w14:ligatures w14:val="none"/>
          </w:rPr>
          <w:t>“Art. 8º</w:t>
        </w:r>
      </w:hyperlink>
      <w:r w:rsidRPr="003B1CB8">
        <w:rPr>
          <w:rFonts w:ascii="Book Antiqua" w:eastAsia="Times New Roman" w:hAnsi="Book Antiqua" w:cs="Arial"/>
          <w:color w:val="000000"/>
          <w:kern w:val="0"/>
          <w:sz w:val="19"/>
          <w:szCs w:val="19"/>
          <w:lang w:eastAsia="pt-BR"/>
          <w14:ligatures w14:val="none"/>
        </w:rPr>
        <w:t> A ANP tem como finalidade promover a regulação, a contratação e a fiscalização das atividades econômicas integrantes da indústria do petróleo, do gás natural, dos combustíveis sintéticos, dos biocombustíveis e da captura e da estocagem geológica de dióxido de carbono e lhe cabe:</w:t>
      </w:r>
    </w:p>
    <w:p w14:paraId="4E7426C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0" w:anchor="art8-1" w:history="1">
        <w:r w:rsidRPr="003B1CB8">
          <w:rPr>
            <w:rFonts w:ascii="Book Antiqua" w:eastAsia="Times New Roman" w:hAnsi="Book Antiqua" w:cs="Arial"/>
            <w:color w:val="0000FF"/>
            <w:kern w:val="0"/>
            <w:sz w:val="19"/>
            <w:szCs w:val="19"/>
            <w:u w:val="single"/>
            <w:lang w:eastAsia="pt-BR"/>
            <w14:ligatures w14:val="none"/>
          </w:rPr>
          <w:t>I -</w:t>
        </w:r>
      </w:hyperlink>
      <w:r w:rsidRPr="003B1CB8">
        <w:rPr>
          <w:rFonts w:ascii="Book Antiqua" w:eastAsia="Times New Roman" w:hAnsi="Book Antiqua" w:cs="Arial"/>
          <w:color w:val="000000"/>
          <w:kern w:val="0"/>
          <w:sz w:val="19"/>
          <w:szCs w:val="19"/>
          <w:lang w:eastAsia="pt-BR"/>
          <w14:ligatures w14:val="none"/>
        </w:rPr>
        <w:t> implementar, em sua esfera de atribuições, a política nacional de petróleo, de gás natural, de combustíveis e de biocombustíveis, contida na política energética nacional, nos termos do Capítulo I desta Lei, com ênfase na garantia do suprimento de derivados de petróleo, de gás natural e seus derivados, de combustíveis sintéticos e de biocombustíveis, em todo o território nacional, e na proteção dos interesses dos consumidores quanto a preço, a qualidade e a oferta dos produtos;</w:t>
      </w:r>
    </w:p>
    <w:p w14:paraId="5900A71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0916EE6E"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1" w:anchor="art8-7" w:history="1">
        <w:r w:rsidRPr="003B1CB8">
          <w:rPr>
            <w:rFonts w:ascii="Book Antiqua" w:eastAsia="Times New Roman" w:hAnsi="Book Antiqua" w:cs="Arial"/>
            <w:color w:val="0000FF"/>
            <w:kern w:val="0"/>
            <w:sz w:val="19"/>
            <w:szCs w:val="19"/>
            <w:u w:val="single"/>
            <w:lang w:eastAsia="pt-BR"/>
            <w14:ligatures w14:val="none"/>
          </w:rPr>
          <w:t>VII -</w:t>
        </w:r>
      </w:hyperlink>
      <w:r w:rsidRPr="003B1CB8">
        <w:rPr>
          <w:rFonts w:ascii="Book Antiqua" w:eastAsia="Times New Roman" w:hAnsi="Book Antiqua" w:cs="Arial"/>
          <w:color w:val="000000"/>
          <w:kern w:val="0"/>
          <w:sz w:val="19"/>
          <w:szCs w:val="19"/>
          <w:lang w:eastAsia="pt-BR"/>
          <w14:ligatures w14:val="none"/>
        </w:rPr>
        <w:t> fiscalizar diretamente e de forma concorrente, nos termos da </w:t>
      </w:r>
      <w:hyperlink r:id="rId32" w:history="1">
        <w:r w:rsidRPr="003B1CB8">
          <w:rPr>
            <w:rFonts w:ascii="Book Antiqua" w:eastAsia="Times New Roman" w:hAnsi="Book Antiqua" w:cs="Arial"/>
            <w:color w:val="0000FF"/>
            <w:kern w:val="0"/>
            <w:sz w:val="19"/>
            <w:szCs w:val="19"/>
            <w:u w:val="single"/>
            <w:lang w:eastAsia="pt-BR"/>
            <w14:ligatures w14:val="none"/>
          </w:rPr>
          <w:t>Lei nº 8.078, de 11 de setembro de 1990</w:t>
        </w:r>
      </w:hyperlink>
      <w:r w:rsidRPr="003B1CB8">
        <w:rPr>
          <w:rFonts w:ascii="Book Antiqua" w:eastAsia="Times New Roman" w:hAnsi="Book Antiqua" w:cs="Arial"/>
          <w:color w:val="000000"/>
          <w:kern w:val="0"/>
          <w:sz w:val="19"/>
          <w:szCs w:val="19"/>
          <w:lang w:eastAsia="pt-BR"/>
          <w14:ligatures w14:val="none"/>
        </w:rPr>
        <w:t> (Código de Defesa do Consumidor), ou mediante convênios com órgãos dos Estados e do Distrito Federal, as atividades integrantes da indústria do petróleo, do gás natural, dos combustíveis sintéticos, dos biocombustíveis e da captura e da estocagem geológica de dióxido de carbono e aplicar as sanções administrativas e pecuniárias previstas em lei, regulamento ou contrato;</w:t>
      </w:r>
    </w:p>
    <w:p w14:paraId="4FC5B9F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6F7C27E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3" w:anchor="art8-9" w:history="1">
        <w:r w:rsidRPr="003B1CB8">
          <w:rPr>
            <w:rFonts w:ascii="Book Antiqua" w:eastAsia="Times New Roman" w:hAnsi="Book Antiqua" w:cs="Arial"/>
            <w:color w:val="0000FF"/>
            <w:kern w:val="0"/>
            <w:sz w:val="19"/>
            <w:szCs w:val="19"/>
            <w:u w:val="single"/>
            <w:lang w:eastAsia="pt-BR"/>
            <w14:ligatures w14:val="none"/>
          </w:rPr>
          <w:t>IX -</w:t>
        </w:r>
      </w:hyperlink>
      <w:r w:rsidRPr="003B1CB8">
        <w:rPr>
          <w:rFonts w:ascii="Book Antiqua" w:eastAsia="Times New Roman" w:hAnsi="Book Antiqua" w:cs="Arial"/>
          <w:color w:val="000000"/>
          <w:kern w:val="0"/>
          <w:sz w:val="19"/>
          <w:szCs w:val="19"/>
          <w:lang w:eastAsia="pt-BR"/>
          <w14:ligatures w14:val="none"/>
        </w:rPr>
        <w:t> fazer cumprir as boas práticas de conservação e de uso racional do petróleo, do gás natural, dos seus derivados, dos combustíveis sintéticos e dos biocombustíveis e de preservação do meio ambiente;</w:t>
      </w:r>
    </w:p>
    <w:p w14:paraId="091477D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7146CE6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4" w:anchor="art8-11" w:history="1">
        <w:r w:rsidRPr="003B1CB8">
          <w:rPr>
            <w:rFonts w:ascii="Book Antiqua" w:eastAsia="Times New Roman" w:hAnsi="Book Antiqua" w:cs="Arial"/>
            <w:color w:val="0000FF"/>
            <w:kern w:val="0"/>
            <w:sz w:val="19"/>
            <w:szCs w:val="19"/>
            <w:u w:val="single"/>
            <w:lang w:eastAsia="pt-BR"/>
            <w14:ligatures w14:val="none"/>
          </w:rPr>
          <w:t>XI -</w:t>
        </w:r>
      </w:hyperlink>
      <w:r w:rsidRPr="003B1CB8">
        <w:rPr>
          <w:rFonts w:ascii="Book Antiqua" w:eastAsia="Times New Roman" w:hAnsi="Book Antiqua" w:cs="Arial"/>
          <w:color w:val="000000"/>
          <w:kern w:val="0"/>
          <w:sz w:val="19"/>
          <w:szCs w:val="19"/>
          <w:lang w:eastAsia="pt-BR"/>
          <w14:ligatures w14:val="none"/>
        </w:rPr>
        <w:t> organizar e manter o acervo das informações e dos dados técnicos relativos às atividades reguladas da indústria do petróleo, do gás natural, dos combustíveis sintéticos, dos biocombustíveis e da captura e da estocagem geológica de dióxido de carbono;</w:t>
      </w:r>
    </w:p>
    <w:p w14:paraId="4469D21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2AAE641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5" w:anchor="art8-18.0" w:history="1">
        <w:r w:rsidRPr="003B1CB8">
          <w:rPr>
            <w:rFonts w:ascii="Book Antiqua" w:eastAsia="Times New Roman" w:hAnsi="Book Antiqua" w:cs="Arial"/>
            <w:color w:val="0000FF"/>
            <w:kern w:val="0"/>
            <w:sz w:val="19"/>
            <w:szCs w:val="19"/>
            <w:u w:val="single"/>
            <w:lang w:eastAsia="pt-BR"/>
            <w14:ligatures w14:val="none"/>
          </w:rPr>
          <w:t>XVIII -</w:t>
        </w:r>
      </w:hyperlink>
      <w:r w:rsidRPr="003B1CB8">
        <w:rPr>
          <w:rFonts w:ascii="Book Antiqua" w:eastAsia="Times New Roman" w:hAnsi="Book Antiqua" w:cs="Arial"/>
          <w:color w:val="000000"/>
          <w:kern w:val="0"/>
          <w:sz w:val="19"/>
          <w:szCs w:val="19"/>
          <w:lang w:eastAsia="pt-BR"/>
          <w14:ligatures w14:val="none"/>
        </w:rPr>
        <w:t> especificar a qualidade dos derivados de petróleo, do gás natural e seus derivados, dos combustíveis sintéticos e dos biocombustíveis;</w:t>
      </w:r>
    </w:p>
    <w:p w14:paraId="7F42EA7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45290FA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6" w:anchor="art8-35" w:history="1">
        <w:r w:rsidRPr="003B1CB8">
          <w:rPr>
            <w:rFonts w:ascii="Book Antiqua" w:eastAsia="Times New Roman" w:hAnsi="Book Antiqua" w:cs="Arial"/>
            <w:color w:val="0000FF"/>
            <w:kern w:val="0"/>
            <w:sz w:val="19"/>
            <w:szCs w:val="19"/>
            <w:u w:val="single"/>
            <w:lang w:eastAsia="pt-BR"/>
            <w14:ligatures w14:val="none"/>
          </w:rPr>
          <w:t>XXXV -</w:t>
        </w:r>
      </w:hyperlink>
      <w:r w:rsidRPr="003B1CB8">
        <w:rPr>
          <w:rFonts w:ascii="Book Antiqua" w:eastAsia="Times New Roman" w:hAnsi="Book Antiqua" w:cs="Arial"/>
          <w:color w:val="000000"/>
          <w:kern w:val="0"/>
          <w:sz w:val="19"/>
          <w:szCs w:val="19"/>
          <w:lang w:eastAsia="pt-BR"/>
          <w14:ligatures w14:val="none"/>
        </w:rPr>
        <w:t> estabelecer princípios básicos para a elaboração dos códigos de condutas e práticas de acesso aos terminais de Gás Natural Liquefeito (GNL) e às infraestruturas de escoamento, de tratamento e de processamento de gás natural; e</w:t>
      </w:r>
    </w:p>
    <w:p w14:paraId="534B27D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B1CB8">
        <w:rPr>
          <w:rFonts w:ascii="Book Antiqua" w:eastAsia="Times New Roman" w:hAnsi="Book Antiqua" w:cs="Arial"/>
          <w:color w:val="000000"/>
          <w:kern w:val="0"/>
          <w:sz w:val="16"/>
          <w:szCs w:val="16"/>
          <w:lang w:eastAsia="pt-BR"/>
          <w14:ligatures w14:val="none"/>
        </w:rPr>
        <w:t>XXXVI – (VETADO);</w:t>
      </w:r>
    </w:p>
    <w:p w14:paraId="0544C56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(NR)</w:t>
      </w:r>
    </w:p>
    <w:p w14:paraId="3A55561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7" w:anchor="art61a" w:history="1">
        <w:r w:rsidRPr="003B1CB8">
          <w:rPr>
            <w:rFonts w:ascii="Book Antiqua" w:eastAsia="Times New Roman" w:hAnsi="Book Antiqua" w:cs="Arial"/>
            <w:color w:val="0000FF"/>
            <w:kern w:val="0"/>
            <w:sz w:val="19"/>
            <w:szCs w:val="19"/>
            <w:u w:val="single"/>
            <w:lang w:eastAsia="pt-BR"/>
            <w14:ligatures w14:val="none"/>
          </w:rPr>
          <w:t>“Art. 61-A.</w:t>
        </w:r>
      </w:hyperlink>
      <w:r w:rsidRPr="003B1CB8">
        <w:rPr>
          <w:rFonts w:ascii="Book Antiqua" w:eastAsia="Times New Roman" w:hAnsi="Book Antiqua" w:cs="Arial"/>
          <w:color w:val="000000"/>
          <w:kern w:val="0"/>
          <w:sz w:val="19"/>
          <w:szCs w:val="19"/>
          <w:lang w:eastAsia="pt-BR"/>
          <w14:ligatures w14:val="none"/>
        </w:rPr>
        <w:t> Fica a Petrobras autorizada a incluir no seu objeto social as atividades vinculadas à energia, bem como as atividades relacionadas à movimentação e à estocagem de dióxido de carbono, à transição energética e à economia de baixo carbono.”</w:t>
      </w:r>
    </w:p>
    <w:p w14:paraId="76D44BC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1"/>
      <w:bookmarkEnd w:id="30"/>
      <w:r w:rsidRPr="003B1CB8">
        <w:rPr>
          <w:rFonts w:ascii="Book Antiqua" w:eastAsia="Times New Roman" w:hAnsi="Book Antiqua" w:cs="Arial"/>
          <w:color w:val="000000"/>
          <w:kern w:val="0"/>
          <w:sz w:val="19"/>
          <w:szCs w:val="19"/>
          <w:lang w:eastAsia="pt-BR"/>
          <w14:ligatures w14:val="none"/>
        </w:rPr>
        <w:t>Art. 31. A </w:t>
      </w:r>
      <w:hyperlink r:id="rId38" w:history="1">
        <w:r w:rsidRPr="003B1CB8">
          <w:rPr>
            <w:rFonts w:ascii="Book Antiqua" w:eastAsia="Times New Roman" w:hAnsi="Book Antiqua" w:cs="Arial"/>
            <w:color w:val="0000FF"/>
            <w:kern w:val="0"/>
            <w:sz w:val="19"/>
            <w:szCs w:val="19"/>
            <w:u w:val="single"/>
            <w:lang w:eastAsia="pt-BR"/>
            <w14:ligatures w14:val="none"/>
          </w:rPr>
          <w:t>Lei nº 9.847, de 26 de outubro de 1999</w:t>
        </w:r>
      </w:hyperlink>
      <w:r w:rsidRPr="003B1CB8">
        <w:rPr>
          <w:rFonts w:ascii="Book Antiqua" w:eastAsia="Times New Roman" w:hAnsi="Book Antiqua" w:cs="Arial"/>
          <w:color w:val="000000"/>
          <w:kern w:val="0"/>
          <w:sz w:val="19"/>
          <w:szCs w:val="19"/>
          <w:lang w:eastAsia="pt-BR"/>
          <w14:ligatures w14:val="none"/>
        </w:rPr>
        <w:t>, passa a vigorar com as seguintes alterações:</w:t>
      </w:r>
    </w:p>
    <w:p w14:paraId="496BFD9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 w:anchor="art1.2" w:history="1">
        <w:r w:rsidRPr="003B1CB8">
          <w:rPr>
            <w:rFonts w:ascii="Book Antiqua" w:eastAsia="Times New Roman" w:hAnsi="Book Antiqua" w:cs="Arial"/>
            <w:color w:val="0000FF"/>
            <w:kern w:val="0"/>
            <w:sz w:val="19"/>
            <w:szCs w:val="19"/>
            <w:u w:val="single"/>
            <w:lang w:eastAsia="pt-BR"/>
            <w14:ligatures w14:val="none"/>
          </w:rPr>
          <w:t>“Art. 1º</w:t>
        </w:r>
      </w:hyperlink>
      <w:r w:rsidRPr="003B1CB8">
        <w:rPr>
          <w:rFonts w:ascii="Book Antiqua" w:eastAsia="Times New Roman" w:hAnsi="Book Antiqua" w:cs="Arial"/>
          <w:color w:val="000000"/>
          <w:kern w:val="0"/>
          <w:sz w:val="19"/>
          <w:szCs w:val="19"/>
          <w:lang w:eastAsia="pt-BR"/>
          <w14:ligatures w14:val="none"/>
        </w:rPr>
        <w:t> Será realizada pela Agência Nacional do Petróleo, Gás Natural e Biocombustíveis (ANP) a fiscalização:</w:t>
      </w:r>
    </w:p>
    <w:p w14:paraId="4EEB6949"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das</w:t>
      </w:r>
      <w:proofErr w:type="gramEnd"/>
      <w:r w:rsidRPr="003B1CB8">
        <w:rPr>
          <w:rFonts w:ascii="Book Antiqua" w:eastAsia="Times New Roman" w:hAnsi="Book Antiqua" w:cs="Arial"/>
          <w:color w:val="000000"/>
          <w:kern w:val="0"/>
          <w:sz w:val="19"/>
          <w:szCs w:val="19"/>
          <w:lang w:eastAsia="pt-BR"/>
          <w14:ligatures w14:val="none"/>
        </w:rPr>
        <w:t xml:space="preserve"> atividades relativas às indústrias:</w:t>
      </w:r>
    </w:p>
    <w:p w14:paraId="3832E58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 do petróleo, do gás natural e dos seus derivados;</w:t>
      </w:r>
    </w:p>
    <w:p w14:paraId="139CDF0A"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b) dos combustíveis sintéticos;</w:t>
      </w:r>
    </w:p>
    <w:p w14:paraId="0425386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c) dos biocombustíveis; e</w:t>
      </w:r>
    </w:p>
    <w:p w14:paraId="22F2BDD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d) da captura e da estocagem geológica de dióxido de carbono;</w:t>
      </w:r>
    </w:p>
    <w:p w14:paraId="5569877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do</w:t>
      </w:r>
      <w:proofErr w:type="gramEnd"/>
      <w:r w:rsidRPr="003B1CB8">
        <w:rPr>
          <w:rFonts w:ascii="Book Antiqua" w:eastAsia="Times New Roman" w:hAnsi="Book Antiqua" w:cs="Arial"/>
          <w:color w:val="000000"/>
          <w:kern w:val="0"/>
          <w:sz w:val="19"/>
          <w:szCs w:val="19"/>
          <w:lang w:eastAsia="pt-BR"/>
          <w14:ligatures w14:val="none"/>
        </w:rPr>
        <w:t xml:space="preserve"> abastecimento nacional de combustíveis; e</w:t>
      </w:r>
    </w:p>
    <w:p w14:paraId="4C7EE06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do adequado funcionamento do Sistema Nacional de Estoques de Combustíveis e do cumprimento do Plano Anual de Estoques Estratégicos de Combustíveis, de que trata o </w:t>
      </w:r>
      <w:hyperlink r:id="rId40" w:anchor="art4" w:history="1">
        <w:r w:rsidRPr="003B1CB8">
          <w:rPr>
            <w:rFonts w:ascii="Book Antiqua" w:eastAsia="Times New Roman" w:hAnsi="Book Antiqua" w:cs="Arial"/>
            <w:color w:val="0000FF"/>
            <w:kern w:val="0"/>
            <w:sz w:val="19"/>
            <w:szCs w:val="19"/>
            <w:u w:val="single"/>
            <w:lang w:eastAsia="pt-BR"/>
            <w14:ligatures w14:val="none"/>
          </w:rPr>
          <w:t>art. 4º da Lei nº 8.176, de 8 de fevereiro de 1991.</w:t>
        </w:r>
      </w:hyperlink>
    </w:p>
    <w:p w14:paraId="3A74D3F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2EF5B70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 w:anchor="art1%C2%A75" w:history="1">
        <w:r w:rsidRPr="003B1CB8">
          <w:rPr>
            <w:rFonts w:ascii="Book Antiqua" w:eastAsia="Times New Roman" w:hAnsi="Book Antiqua" w:cs="Arial"/>
            <w:color w:val="0000FF"/>
            <w:kern w:val="0"/>
            <w:sz w:val="19"/>
            <w:szCs w:val="19"/>
            <w:u w:val="single"/>
            <w:lang w:eastAsia="pt-BR"/>
            <w14:ligatures w14:val="none"/>
          </w:rPr>
          <w:t>§ 5º</w:t>
        </w:r>
      </w:hyperlink>
      <w:r w:rsidRPr="003B1CB8">
        <w:rPr>
          <w:rFonts w:ascii="Book Antiqua" w:eastAsia="Times New Roman" w:hAnsi="Book Antiqua" w:cs="Arial"/>
          <w:color w:val="000000"/>
          <w:kern w:val="0"/>
          <w:sz w:val="19"/>
          <w:szCs w:val="19"/>
          <w:lang w:eastAsia="pt-BR"/>
          <w14:ligatures w14:val="none"/>
        </w:rPr>
        <w:t> A fiscalização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também poderá ser realizada por órgãos da administração pública direta e indireta da União, dos Estados, do Distrito Federal e dos Municípios, mediante celebração de convênio pela ANP</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237B55C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3º .............................................................................</w:t>
      </w:r>
    </w:p>
    <w:p w14:paraId="4D96325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 w:anchor="art2-1" w:history="1">
        <w:r w:rsidRPr="003B1CB8">
          <w:rPr>
            <w:rFonts w:ascii="Book Antiqua" w:eastAsia="Times New Roman" w:hAnsi="Book Antiqua" w:cs="Arial"/>
            <w:color w:val="0000FF"/>
            <w:kern w:val="0"/>
            <w:sz w:val="19"/>
            <w:szCs w:val="19"/>
            <w:u w:val="single"/>
            <w:lang w:eastAsia="pt-BR"/>
            <w14:ligatures w14:val="none"/>
          </w:rPr>
          <w:t>I -</w:t>
        </w:r>
      </w:hyperlink>
      <w:r w:rsidRPr="003B1CB8">
        <w:rPr>
          <w:rFonts w:ascii="Book Antiqua" w:eastAsia="Times New Roman" w:hAnsi="Book Antiqua" w:cs="Arial"/>
          <w:color w:val="000000"/>
          <w:kern w:val="0"/>
          <w:sz w:val="19"/>
          <w:szCs w:val="19"/>
          <w:lang w:eastAsia="pt-BR"/>
          <w14:ligatures w14:val="none"/>
        </w:rPr>
        <w:t> exercer atividade relativa à indústria do petróleo, dos combustíveis sintéticos, dos biocombustíveis e da captura e da estocagem geológica de dióxido de carbono, ao abastecimento nacional de combustíveis, ao Sistema Nacional de Estoques de Combustíveis e ao Plano Anual de Estoques Estratégicos de Combustíveis, sem prévio registro ou autorização exigidos na legislação aplicável:</w:t>
      </w:r>
    </w:p>
    <w:p w14:paraId="16153FC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483C231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 w:anchor="art3-6" w:history="1">
        <w:r w:rsidRPr="003B1CB8">
          <w:rPr>
            <w:rFonts w:ascii="Book Antiqua" w:eastAsia="Times New Roman" w:hAnsi="Book Antiqua" w:cs="Arial"/>
            <w:color w:val="0000FF"/>
            <w:kern w:val="0"/>
            <w:sz w:val="19"/>
            <w:szCs w:val="19"/>
            <w:u w:val="single"/>
            <w:lang w:eastAsia="pt-BR"/>
            <w14:ligatures w14:val="none"/>
          </w:rPr>
          <w:t>VI -</w:t>
        </w:r>
      </w:hyperlink>
      <w:r w:rsidRPr="003B1CB8">
        <w:rPr>
          <w:rFonts w:ascii="Book Antiqua" w:eastAsia="Times New Roman" w:hAnsi="Book Antiqua" w:cs="Arial"/>
          <w:color w:val="000000"/>
          <w:kern w:val="0"/>
          <w:sz w:val="19"/>
          <w:szCs w:val="19"/>
          <w:lang w:eastAsia="pt-BR"/>
          <w14:ligatures w14:val="none"/>
        </w:rPr>
        <w:t> não apresentar, na forma e no prazo estabelecidos na legislação aplicável ou, na sua ausência, no prazo de 48 (quarenta e oito) horas, os documentos comprobatórios da captura e da estocagem geológica de dióxido de carbono e os documentos de produção, importação, exportação, refino, beneficiamento, tratamento, processamento, transporte, transferência, armazenagem, estocagem, distribuição, revenda, destinação e comercialização de petróleo, de gás natural, de seus derivados, de combustíveis sintéticos e de biocombustíveis:</w:t>
      </w:r>
    </w:p>
    <w:p w14:paraId="461AD78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 w:anchor="art3-8" w:history="1">
        <w:r w:rsidRPr="003B1CB8">
          <w:rPr>
            <w:rFonts w:ascii="Book Antiqua" w:eastAsia="Times New Roman" w:hAnsi="Book Antiqua" w:cs="Arial"/>
            <w:color w:val="0000FF"/>
            <w:kern w:val="0"/>
            <w:sz w:val="19"/>
            <w:szCs w:val="19"/>
            <w:u w:val="single"/>
            <w:lang w:eastAsia="pt-BR"/>
            <w14:ligatures w14:val="none"/>
          </w:rPr>
          <w:t>VIII -</w:t>
        </w:r>
      </w:hyperlink>
      <w:r w:rsidRPr="003B1CB8">
        <w:rPr>
          <w:rFonts w:ascii="Book Antiqua" w:eastAsia="Times New Roman" w:hAnsi="Book Antiqua" w:cs="Arial"/>
          <w:color w:val="000000"/>
          <w:kern w:val="0"/>
          <w:sz w:val="19"/>
          <w:szCs w:val="19"/>
          <w:lang w:eastAsia="pt-BR"/>
          <w14:ligatures w14:val="none"/>
        </w:rPr>
        <w:t> deixar de atender às normas de segurança previstas para o comércio ou a estocagem de combustíveis e para a captura e a estocagem geológica de dióxido de carbono, colocando em perigo direto e iminente a vida, a integridade física ou a saúde, o patrimônio público ou privado, a ordem pública ou o regular abastecimento nacional de combustíveis:</w:t>
      </w:r>
    </w:p>
    <w:p w14:paraId="0ECA923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0C58D2E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 w:anchor="art3-18" w:history="1">
        <w:r w:rsidRPr="003B1CB8">
          <w:rPr>
            <w:rFonts w:ascii="Book Antiqua" w:eastAsia="Times New Roman" w:hAnsi="Book Antiqua" w:cs="Arial"/>
            <w:color w:val="0000FF"/>
            <w:kern w:val="0"/>
            <w:sz w:val="19"/>
            <w:szCs w:val="19"/>
            <w:u w:val="single"/>
            <w:lang w:eastAsia="pt-BR"/>
            <w14:ligatures w14:val="none"/>
          </w:rPr>
          <w:t>XVIII -</w:t>
        </w:r>
      </w:hyperlink>
      <w:r w:rsidRPr="003B1CB8">
        <w:rPr>
          <w:rFonts w:ascii="Book Antiqua" w:eastAsia="Times New Roman" w:hAnsi="Book Antiqua" w:cs="Arial"/>
          <w:color w:val="000000"/>
          <w:kern w:val="0"/>
          <w:sz w:val="19"/>
          <w:szCs w:val="19"/>
          <w:lang w:eastAsia="pt-BR"/>
          <w14:ligatures w14:val="none"/>
        </w:rPr>
        <w:t> não dispor de equipamentos necessários à verificação da qualidade e da quantidade estocada e comercializada dos produtos derivados de petróleo, do gás natural e dos seus derivados, dos combustíveis sintéticos e dos biocombustíveis;</w:t>
      </w:r>
    </w:p>
    <w:p w14:paraId="469EB55D"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(NR)</w:t>
      </w:r>
    </w:p>
    <w:p w14:paraId="51A0906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3B1CB8">
        <w:rPr>
          <w:rFonts w:ascii="Book Antiqua" w:eastAsia="Times New Roman" w:hAnsi="Book Antiqua" w:cs="Arial"/>
          <w:color w:val="000000"/>
          <w:kern w:val="0"/>
          <w:sz w:val="19"/>
          <w:szCs w:val="19"/>
          <w:lang w:eastAsia="pt-BR"/>
          <w14:ligatures w14:val="none"/>
        </w:rPr>
        <w:t>Art. 32. A </w:t>
      </w:r>
      <w:hyperlink r:id="rId46" w:history="1">
        <w:r w:rsidRPr="003B1CB8">
          <w:rPr>
            <w:rFonts w:ascii="Book Antiqua" w:eastAsia="Times New Roman" w:hAnsi="Book Antiqua" w:cs="Arial"/>
            <w:color w:val="0000FF"/>
            <w:kern w:val="0"/>
            <w:sz w:val="19"/>
            <w:szCs w:val="19"/>
            <w:u w:val="single"/>
            <w:lang w:eastAsia="pt-BR"/>
            <w14:ligatures w14:val="none"/>
          </w:rPr>
          <w:t>Lei nº 8.723, de 28 de outubro de 1993</w:t>
        </w:r>
      </w:hyperlink>
      <w:r w:rsidRPr="003B1CB8">
        <w:rPr>
          <w:rFonts w:ascii="Book Antiqua" w:eastAsia="Times New Roman" w:hAnsi="Book Antiqua" w:cs="Arial"/>
          <w:color w:val="000000"/>
          <w:kern w:val="0"/>
          <w:sz w:val="19"/>
          <w:szCs w:val="19"/>
          <w:lang w:eastAsia="pt-BR"/>
          <w14:ligatures w14:val="none"/>
        </w:rPr>
        <w:t>, passa a vigorar com as seguintes alterações:</w:t>
      </w:r>
    </w:p>
    <w:p w14:paraId="17D043D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 w:anchor="art9.1" w:history="1">
        <w:r w:rsidRPr="003B1CB8">
          <w:rPr>
            <w:rFonts w:ascii="Book Antiqua" w:eastAsia="Times New Roman" w:hAnsi="Book Antiqua" w:cs="Arial"/>
            <w:color w:val="0000FF"/>
            <w:kern w:val="0"/>
            <w:sz w:val="19"/>
            <w:szCs w:val="19"/>
            <w:u w:val="single"/>
            <w:lang w:eastAsia="pt-BR"/>
            <w14:ligatures w14:val="none"/>
          </w:rPr>
          <w:t>“Art. 9º</w:t>
        </w:r>
      </w:hyperlink>
      <w:r w:rsidRPr="003B1CB8">
        <w:rPr>
          <w:rFonts w:ascii="Book Antiqua" w:eastAsia="Times New Roman" w:hAnsi="Book Antiqua" w:cs="Arial"/>
          <w:color w:val="000000"/>
          <w:kern w:val="0"/>
          <w:sz w:val="19"/>
          <w:szCs w:val="19"/>
          <w:lang w:eastAsia="pt-BR"/>
          <w14:ligatures w14:val="none"/>
        </w:rPr>
        <w:t> É fixado em 27% (vinte e sete por cento) o percentual obrigatório de adição de álcool etílico anidro combustível, em volume, à gasolina em todo o território nacional.</w:t>
      </w:r>
    </w:p>
    <w:p w14:paraId="2BC75E1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 w:anchor="art9%C2%A71.0" w:history="1">
        <w:r w:rsidRPr="003B1CB8">
          <w:rPr>
            <w:rFonts w:ascii="Book Antiqua" w:eastAsia="Times New Roman" w:hAnsi="Book Antiqua" w:cs="Arial"/>
            <w:color w:val="0000FF"/>
            <w:kern w:val="0"/>
            <w:sz w:val="19"/>
            <w:szCs w:val="19"/>
            <w:u w:val="single"/>
            <w:lang w:eastAsia="pt-BR"/>
            <w14:ligatures w14:val="none"/>
          </w:rPr>
          <w:t>§ 1º</w:t>
        </w:r>
      </w:hyperlink>
      <w:r w:rsidRPr="003B1CB8">
        <w:rPr>
          <w:rFonts w:ascii="Book Antiqua" w:eastAsia="Times New Roman" w:hAnsi="Book Antiqua" w:cs="Arial"/>
          <w:color w:val="000000"/>
          <w:kern w:val="0"/>
          <w:sz w:val="19"/>
          <w:szCs w:val="19"/>
          <w:lang w:eastAsia="pt-BR"/>
          <w14:ligatures w14:val="none"/>
        </w:rPr>
        <w:t> O Poder Executivo poderá elevar o percentual referido no </w:t>
      </w:r>
      <w:r w:rsidRPr="003B1CB8">
        <w:rPr>
          <w:rFonts w:ascii="Book Antiqua" w:eastAsia="Times New Roman" w:hAnsi="Book Antiqua" w:cs="Arial"/>
          <w:i/>
          <w:iCs/>
          <w:color w:val="000000"/>
          <w:kern w:val="0"/>
          <w:sz w:val="19"/>
          <w:szCs w:val="19"/>
          <w:lang w:eastAsia="pt-BR"/>
          <w14:ligatures w14:val="none"/>
        </w:rPr>
        <w:t>caput </w:t>
      </w:r>
      <w:r w:rsidRPr="003B1CB8">
        <w:rPr>
          <w:rFonts w:ascii="Book Antiqua" w:eastAsia="Times New Roman" w:hAnsi="Book Antiqua" w:cs="Arial"/>
          <w:color w:val="000000"/>
          <w:kern w:val="0"/>
          <w:sz w:val="19"/>
          <w:szCs w:val="19"/>
          <w:lang w:eastAsia="pt-BR"/>
          <w14:ligatures w14:val="none"/>
        </w:rPr>
        <w:t>deste artigo até o limite de 35% (trinta e cinco por cento), desde que constatada a sua viabilidade técnica, ou reduzi-lo a 22% (vinte e dois por cento).</w:t>
      </w:r>
    </w:p>
    <w:p w14:paraId="1A71105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w:t>
      </w:r>
    </w:p>
    <w:p w14:paraId="7E8CA2B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9" w:anchor="art9%C2%A73" w:history="1">
        <w:r w:rsidRPr="003B1CB8">
          <w:rPr>
            <w:rFonts w:ascii="Book Antiqua" w:eastAsia="Times New Roman" w:hAnsi="Book Antiqua" w:cs="Arial"/>
            <w:color w:val="0000FF"/>
            <w:kern w:val="0"/>
            <w:sz w:val="19"/>
            <w:szCs w:val="19"/>
            <w:u w:val="single"/>
            <w:lang w:eastAsia="pt-BR"/>
            <w14:ligatures w14:val="none"/>
          </w:rPr>
          <w:t>§ 3º</w:t>
        </w:r>
      </w:hyperlink>
      <w:r w:rsidRPr="003B1CB8">
        <w:rPr>
          <w:rFonts w:ascii="Book Antiqua" w:eastAsia="Times New Roman" w:hAnsi="Book Antiqua" w:cs="Arial"/>
          <w:color w:val="000000"/>
          <w:kern w:val="0"/>
          <w:sz w:val="19"/>
          <w:szCs w:val="19"/>
          <w:lang w:eastAsia="pt-BR"/>
          <w14:ligatures w14:val="none"/>
        </w:rPr>
        <w:t> O Poder Executivo estabelecerá critérios para consideração do percentual de adição de álcool etílico anidro à gasolina vigente no cálculo de informações de desempenho energético divulgadas pelo Programa Brasileiro de Etiquetagem Veicular (PBEV)</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744BEAEC"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“Art. 11. ..............................................................................</w:t>
      </w:r>
    </w:p>
    <w:p w14:paraId="1F805DD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 w:anchor="art11p" w:history="1">
        <w:r w:rsidRPr="003B1CB8">
          <w:rPr>
            <w:rFonts w:ascii="Book Antiqua" w:eastAsia="Times New Roman" w:hAnsi="Book Antiqua" w:cs="Arial"/>
            <w:color w:val="0000FF"/>
            <w:kern w:val="0"/>
            <w:sz w:val="19"/>
            <w:szCs w:val="19"/>
            <w:u w:val="single"/>
            <w:lang w:eastAsia="pt-BR"/>
            <w14:ligatures w14:val="none"/>
          </w:rPr>
          <w:t>Parágrafo único.</w:t>
        </w:r>
      </w:hyperlink>
      <w:r w:rsidRPr="003B1CB8">
        <w:rPr>
          <w:rFonts w:ascii="Book Antiqua" w:eastAsia="Times New Roman" w:hAnsi="Book Antiqua" w:cs="Arial"/>
          <w:color w:val="000000"/>
          <w:kern w:val="0"/>
          <w:sz w:val="19"/>
          <w:szCs w:val="19"/>
          <w:lang w:eastAsia="pt-BR"/>
          <w14:ligatures w14:val="none"/>
        </w:rPr>
        <w:t> Os limites de emissões veiculares estabelecidos pelo Proconve deverão reconhecer e incorporar em sua metodologia de cálculo os efeitos ambientais do uso de biocombustíveis no conceito do poço à roda, devendo estar harmonizados com a política de ampliação do uso desses combustíveis e seu consequente impacto nas emissões</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1A9CCF8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3B1CB8">
        <w:rPr>
          <w:rFonts w:ascii="Book Antiqua" w:eastAsia="Times New Roman" w:hAnsi="Book Antiqua" w:cs="Arial"/>
          <w:color w:val="000000"/>
          <w:kern w:val="0"/>
          <w:sz w:val="19"/>
          <w:szCs w:val="19"/>
          <w:lang w:eastAsia="pt-BR"/>
          <w14:ligatures w14:val="none"/>
        </w:rPr>
        <w:t xml:space="preserve">Art. 33. Os </w:t>
      </w:r>
      <w:proofErr w:type="spellStart"/>
      <w:r w:rsidRPr="003B1CB8">
        <w:rPr>
          <w:rFonts w:ascii="Book Antiqua" w:eastAsia="Times New Roman" w:hAnsi="Book Antiqua" w:cs="Arial"/>
          <w:color w:val="000000"/>
          <w:kern w:val="0"/>
          <w:sz w:val="19"/>
          <w:szCs w:val="19"/>
          <w:lang w:eastAsia="pt-BR"/>
          <w14:ligatures w14:val="none"/>
        </w:rPr>
        <w:t>arts</w:t>
      </w:r>
      <w:proofErr w:type="spellEnd"/>
      <w:r w:rsidRPr="003B1CB8">
        <w:rPr>
          <w:rFonts w:ascii="Book Antiqua" w:eastAsia="Times New Roman" w:hAnsi="Book Antiqua" w:cs="Arial"/>
          <w:color w:val="000000"/>
          <w:kern w:val="0"/>
          <w:sz w:val="19"/>
          <w:szCs w:val="19"/>
          <w:lang w:eastAsia="pt-BR"/>
          <w14:ligatures w14:val="none"/>
        </w:rPr>
        <w:t>. 1º e 1º-C da </w:t>
      </w:r>
      <w:hyperlink r:id="rId51" w:history="1">
        <w:r w:rsidRPr="003B1CB8">
          <w:rPr>
            <w:rFonts w:ascii="Book Antiqua" w:eastAsia="Times New Roman" w:hAnsi="Book Antiqua" w:cs="Arial"/>
            <w:color w:val="0000FF"/>
            <w:kern w:val="0"/>
            <w:sz w:val="19"/>
            <w:szCs w:val="19"/>
            <w:u w:val="single"/>
            <w:lang w:eastAsia="pt-BR"/>
            <w14:ligatures w14:val="none"/>
          </w:rPr>
          <w:t>Lei nº 13.033, de 24 de setembro de 2014</w:t>
        </w:r>
      </w:hyperlink>
      <w:r w:rsidRPr="003B1CB8">
        <w:rPr>
          <w:rFonts w:ascii="Book Antiqua" w:eastAsia="Times New Roman" w:hAnsi="Book Antiqua" w:cs="Arial"/>
          <w:color w:val="000000"/>
          <w:kern w:val="0"/>
          <w:sz w:val="19"/>
          <w:szCs w:val="19"/>
          <w:lang w:eastAsia="pt-BR"/>
          <w14:ligatures w14:val="none"/>
        </w:rPr>
        <w:t>, passam a vigorar com as seguintes alterações, numerado o parágrafo único do art. 1º como § 1º:</w:t>
      </w:r>
    </w:p>
    <w:p w14:paraId="0CD35B3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2" w:anchor="art1.0" w:history="1">
        <w:r w:rsidRPr="003B1CB8">
          <w:rPr>
            <w:rFonts w:ascii="Book Antiqua" w:eastAsia="Times New Roman" w:hAnsi="Book Antiqua" w:cs="Arial"/>
            <w:color w:val="0000FF"/>
            <w:kern w:val="0"/>
            <w:sz w:val="19"/>
            <w:szCs w:val="19"/>
            <w:u w:val="single"/>
            <w:lang w:eastAsia="pt-BR"/>
            <w14:ligatures w14:val="none"/>
          </w:rPr>
          <w:t>“Art. 1º</w:t>
        </w:r>
      </w:hyperlink>
      <w:r w:rsidRPr="003B1CB8">
        <w:rPr>
          <w:rFonts w:ascii="Book Antiqua" w:eastAsia="Times New Roman" w:hAnsi="Book Antiqua" w:cs="Arial"/>
          <w:color w:val="000000"/>
          <w:kern w:val="0"/>
          <w:sz w:val="19"/>
          <w:szCs w:val="19"/>
          <w:lang w:eastAsia="pt-BR"/>
          <w14:ligatures w14:val="none"/>
        </w:rPr>
        <w:t> São estabelecidas as seguintes metas de percentuais de adição obrigatória, em volume, de biodiesel produzido por meio de processos exclusivamente dedicados para tal fim ao óleo diesel vendido ao consumidor final, em qualquer parte do território nacional:</w:t>
      </w:r>
    </w:p>
    <w:p w14:paraId="23603F8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 – 15% (quinze por cento), a partir de 1º de março de 2025;</w:t>
      </w:r>
    </w:p>
    <w:p w14:paraId="3E70F38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lastRenderedPageBreak/>
        <w:t>II – 16% (dezesseis por cento), a partir de 1º de março de 2026;</w:t>
      </w:r>
    </w:p>
    <w:p w14:paraId="0E3A8C2F"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III – 17% (dezessete por cento), a partir de 1º de março de 2027;</w:t>
      </w:r>
    </w:p>
    <w:p w14:paraId="7720A543"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IV – 18% (dezoito por cento), a partir de 1º de março de 2028;</w:t>
      </w:r>
    </w:p>
    <w:p w14:paraId="3A70F26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 – 19% (dezenove por cento), a partir de 1º de março de 2029;</w:t>
      </w:r>
    </w:p>
    <w:p w14:paraId="1A102506"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VI – 20% (vinte por cento), a partir de 1º de março de 2030.</w:t>
      </w:r>
    </w:p>
    <w:p w14:paraId="78691538"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1º O Conselho Nacional de Política Energética (CNPE) avaliará a viabilidade das metas de que trata o </w:t>
      </w:r>
      <w:r w:rsidRPr="003B1CB8">
        <w:rPr>
          <w:rFonts w:ascii="Book Antiqua" w:eastAsia="Times New Roman" w:hAnsi="Book Antiqua" w:cs="Arial"/>
          <w:i/>
          <w:iCs/>
          <w:color w:val="000000"/>
          <w:kern w:val="0"/>
          <w:sz w:val="19"/>
          <w:szCs w:val="19"/>
          <w:lang w:eastAsia="pt-BR"/>
          <w14:ligatures w14:val="none"/>
        </w:rPr>
        <w:t>caput</w:t>
      </w:r>
      <w:r w:rsidRPr="003B1CB8">
        <w:rPr>
          <w:rFonts w:ascii="Book Antiqua" w:eastAsia="Times New Roman" w:hAnsi="Book Antiqua" w:cs="Arial"/>
          <w:color w:val="000000"/>
          <w:kern w:val="0"/>
          <w:sz w:val="19"/>
          <w:szCs w:val="19"/>
          <w:lang w:eastAsia="pt-BR"/>
          <w14:ligatures w14:val="none"/>
        </w:rPr>
        <w:t> deste artigo e fixará o percentual obrigatório de adição de biodiesel, em volume, ao óleo diesel comercializado em todo o território nacional entre os limites de 13% (treze por cento) e 25% (vinte e cinco por cento).</w:t>
      </w:r>
    </w:p>
    <w:p w14:paraId="725FEE77"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2º Poderá ser estabelecido percentual obrigatório de adição de biodiesel superior a 15% (quinze por cento) desde que constatada sua viabilidade técnica.</w:t>
      </w:r>
    </w:p>
    <w:p w14:paraId="654C457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3º Fica instituído o sistema de rastreabilidade para os combustíveis do ciclo diesel com registro de todas as transações da cadeia produtiva com a finalidade de assegurar a qualidade desses combustíveis, conforme regulamentação</w:t>
      </w:r>
      <w:proofErr w:type="gramStart"/>
      <w:r w:rsidRPr="003B1CB8">
        <w:rPr>
          <w:rFonts w:ascii="Book Antiqua" w:eastAsia="Times New Roman" w:hAnsi="Book Antiqua" w:cs="Arial"/>
          <w:color w:val="000000"/>
          <w:kern w:val="0"/>
          <w:sz w:val="19"/>
          <w:szCs w:val="19"/>
          <w:lang w:eastAsia="pt-BR"/>
          <w14:ligatures w14:val="none"/>
        </w:rPr>
        <w:t>.”(</w:t>
      </w:r>
      <w:proofErr w:type="gramEnd"/>
      <w:r w:rsidRPr="003B1CB8">
        <w:rPr>
          <w:rFonts w:ascii="Book Antiqua" w:eastAsia="Times New Roman" w:hAnsi="Book Antiqua" w:cs="Arial"/>
          <w:color w:val="000000"/>
          <w:kern w:val="0"/>
          <w:sz w:val="19"/>
          <w:szCs w:val="19"/>
          <w:lang w:eastAsia="pt-BR"/>
          <w14:ligatures w14:val="none"/>
        </w:rPr>
        <w:t>NR)</w:t>
      </w:r>
    </w:p>
    <w:p w14:paraId="3A10BD6B"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3" w:anchor="art1c.0" w:history="1">
        <w:r w:rsidRPr="003B1CB8">
          <w:rPr>
            <w:rFonts w:ascii="Book Antiqua" w:eastAsia="Times New Roman" w:hAnsi="Book Antiqua" w:cs="Arial"/>
            <w:color w:val="0000FF"/>
            <w:kern w:val="0"/>
            <w:sz w:val="19"/>
            <w:szCs w:val="19"/>
            <w:u w:val="single"/>
            <w:lang w:eastAsia="pt-BR"/>
            <w14:ligatures w14:val="none"/>
          </w:rPr>
          <w:t>“Art. 1º-C</w:t>
        </w:r>
      </w:hyperlink>
      <w:r w:rsidRPr="003B1CB8">
        <w:rPr>
          <w:rFonts w:ascii="Book Antiqua" w:eastAsia="Times New Roman" w:hAnsi="Book Antiqua" w:cs="Arial"/>
          <w:color w:val="000000"/>
          <w:kern w:val="0"/>
          <w:sz w:val="19"/>
          <w:szCs w:val="19"/>
          <w:lang w:eastAsia="pt-BR"/>
          <w14:ligatures w14:val="none"/>
        </w:rPr>
        <w:t> São facultados a adição voluntária de biodiesel ao óleo diesel em quantidade superior ao percentual obrigatório e o uso voluntário da mistura no transporte público, no transporte ferroviário, na navegação interior e marítima, em frotas cativas, em equipamentos e veículos destinados à extração mineral e à geração de energia elétrica, em tratores e nos demais aparelhos automotores destinados a puxar ou arrastar maquinaria agrícola ou a executar trabalhos agrícolas, devendo o interessado comunicar sua utilização à Agência Nacional do Petróleo, Gás Natural e Biocombustíveis (ANP).”(NR)</w:t>
      </w:r>
    </w:p>
    <w:p w14:paraId="2F3F82A5"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3B1CB8">
        <w:rPr>
          <w:rFonts w:ascii="Book Antiqua" w:eastAsia="Times New Roman" w:hAnsi="Book Antiqua" w:cs="Arial"/>
          <w:color w:val="000000"/>
          <w:kern w:val="0"/>
          <w:sz w:val="19"/>
          <w:szCs w:val="19"/>
          <w:lang w:eastAsia="pt-BR"/>
          <w14:ligatures w14:val="none"/>
        </w:rPr>
        <w:t>Art. 34. O Poder Executivo poderá estabelecer mecanismos para incentivar a participação de matérias-primas produzidas pela agricultura familiar na produção dos biocombustíveis de que trata esta Lei.</w:t>
      </w:r>
    </w:p>
    <w:p w14:paraId="3283C67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3B1CB8">
        <w:rPr>
          <w:rFonts w:ascii="Book Antiqua" w:eastAsia="Times New Roman" w:hAnsi="Book Antiqua" w:cs="Arial"/>
          <w:color w:val="000000"/>
          <w:kern w:val="0"/>
          <w:sz w:val="19"/>
          <w:szCs w:val="19"/>
          <w:lang w:eastAsia="pt-BR"/>
          <w14:ligatures w14:val="none"/>
        </w:rPr>
        <w:t>Art. 35. Ficam revogados:</w:t>
      </w:r>
    </w:p>
    <w:p w14:paraId="04609002"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 – </w:t>
      </w:r>
      <w:proofErr w:type="gramStart"/>
      <w:r w:rsidRPr="003B1CB8">
        <w:rPr>
          <w:rFonts w:ascii="Book Antiqua" w:eastAsia="Times New Roman" w:hAnsi="Book Antiqua" w:cs="Arial"/>
          <w:color w:val="000000"/>
          <w:kern w:val="0"/>
          <w:sz w:val="19"/>
          <w:szCs w:val="19"/>
          <w:lang w:eastAsia="pt-BR"/>
          <w14:ligatures w14:val="none"/>
        </w:rPr>
        <w:t>os</w:t>
      </w:r>
      <w:proofErr w:type="gramEnd"/>
      <w:r w:rsidRPr="003B1CB8">
        <w:rPr>
          <w:rFonts w:ascii="Book Antiqua" w:eastAsia="Times New Roman" w:hAnsi="Book Antiqua" w:cs="Arial"/>
          <w:color w:val="000000"/>
          <w:kern w:val="0"/>
          <w:sz w:val="19"/>
          <w:szCs w:val="19"/>
          <w:lang w:eastAsia="pt-BR"/>
          <w14:ligatures w14:val="none"/>
        </w:rPr>
        <w:t> </w:t>
      </w:r>
      <w:proofErr w:type="spellStart"/>
      <w:r w:rsidRPr="003B1CB8">
        <w:rPr>
          <w:rFonts w:ascii="Book Antiqua" w:eastAsia="Times New Roman" w:hAnsi="Book Antiqua" w:cs="Arial"/>
          <w:color w:val="000000"/>
          <w:kern w:val="0"/>
          <w:sz w:val="19"/>
          <w:szCs w:val="19"/>
          <w:lang w:eastAsia="pt-BR"/>
          <w14:ligatures w14:val="none"/>
        </w:rPr>
        <w:fldChar w:fldCharType="begin"/>
      </w:r>
      <w:r w:rsidRPr="003B1CB8">
        <w:rPr>
          <w:rFonts w:ascii="Book Antiqua" w:eastAsia="Times New Roman" w:hAnsi="Book Antiqua" w:cs="Arial"/>
          <w:color w:val="000000"/>
          <w:kern w:val="0"/>
          <w:sz w:val="19"/>
          <w:szCs w:val="19"/>
          <w:lang w:eastAsia="pt-BR"/>
          <w14:ligatures w14:val="none"/>
        </w:rPr>
        <w:instrText>HYPERLINK "https://www.planalto.gov.br/ccivil_03/_Ato2011-2014/2014/Lei/L13033.htm" \l "art1a"</w:instrText>
      </w:r>
      <w:r w:rsidRPr="003B1CB8">
        <w:rPr>
          <w:rFonts w:ascii="Book Antiqua" w:eastAsia="Times New Roman" w:hAnsi="Book Antiqua" w:cs="Arial"/>
          <w:color w:val="000000"/>
          <w:kern w:val="0"/>
          <w:sz w:val="19"/>
          <w:szCs w:val="19"/>
          <w:lang w:eastAsia="pt-BR"/>
          <w14:ligatures w14:val="none"/>
        </w:rPr>
      </w:r>
      <w:r w:rsidRPr="003B1CB8">
        <w:rPr>
          <w:rFonts w:ascii="Book Antiqua" w:eastAsia="Times New Roman" w:hAnsi="Book Antiqua" w:cs="Arial"/>
          <w:color w:val="000000"/>
          <w:kern w:val="0"/>
          <w:sz w:val="19"/>
          <w:szCs w:val="19"/>
          <w:lang w:eastAsia="pt-BR"/>
          <w14:ligatures w14:val="none"/>
        </w:rPr>
        <w:fldChar w:fldCharType="separate"/>
      </w:r>
      <w:r w:rsidRPr="003B1CB8">
        <w:rPr>
          <w:rFonts w:ascii="Book Antiqua" w:eastAsia="Times New Roman" w:hAnsi="Book Antiqua" w:cs="Arial"/>
          <w:color w:val="0000FF"/>
          <w:kern w:val="0"/>
          <w:sz w:val="19"/>
          <w:szCs w:val="19"/>
          <w:u w:val="single"/>
          <w:lang w:eastAsia="pt-BR"/>
          <w14:ligatures w14:val="none"/>
        </w:rPr>
        <w:t>arts</w:t>
      </w:r>
      <w:proofErr w:type="spellEnd"/>
      <w:r w:rsidRPr="003B1CB8">
        <w:rPr>
          <w:rFonts w:ascii="Book Antiqua" w:eastAsia="Times New Roman" w:hAnsi="Book Antiqua" w:cs="Arial"/>
          <w:color w:val="0000FF"/>
          <w:kern w:val="0"/>
          <w:sz w:val="19"/>
          <w:szCs w:val="19"/>
          <w:u w:val="single"/>
          <w:lang w:eastAsia="pt-BR"/>
          <w14:ligatures w14:val="none"/>
        </w:rPr>
        <w:t>. 1º-A</w:t>
      </w:r>
      <w:r w:rsidRPr="003B1CB8">
        <w:rPr>
          <w:rFonts w:ascii="Book Antiqua" w:eastAsia="Times New Roman" w:hAnsi="Book Antiqua" w:cs="Arial"/>
          <w:color w:val="000000"/>
          <w:kern w:val="0"/>
          <w:sz w:val="19"/>
          <w:szCs w:val="19"/>
          <w:lang w:eastAsia="pt-BR"/>
          <w14:ligatures w14:val="none"/>
        </w:rPr>
        <w:fldChar w:fldCharType="end"/>
      </w:r>
      <w:r w:rsidRPr="003B1CB8">
        <w:rPr>
          <w:rFonts w:ascii="Book Antiqua" w:eastAsia="Times New Roman" w:hAnsi="Book Antiqua" w:cs="Arial"/>
          <w:color w:val="000000"/>
          <w:kern w:val="0"/>
          <w:sz w:val="19"/>
          <w:szCs w:val="19"/>
          <w:lang w:eastAsia="pt-BR"/>
          <w14:ligatures w14:val="none"/>
        </w:rPr>
        <w:t> e </w:t>
      </w:r>
      <w:hyperlink r:id="rId54" w:anchor="art1b" w:history="1">
        <w:r w:rsidRPr="003B1CB8">
          <w:rPr>
            <w:rFonts w:ascii="Book Antiqua" w:eastAsia="Times New Roman" w:hAnsi="Book Antiqua" w:cs="Arial"/>
            <w:color w:val="0000FF"/>
            <w:kern w:val="0"/>
            <w:sz w:val="19"/>
            <w:szCs w:val="19"/>
            <w:u w:val="single"/>
            <w:lang w:eastAsia="pt-BR"/>
            <w14:ligatures w14:val="none"/>
          </w:rPr>
          <w:t>1º-B da Lei nº 13.033, de 24 de setembro de 2014</w:t>
        </w:r>
      </w:hyperlink>
      <w:r w:rsidRPr="003B1CB8">
        <w:rPr>
          <w:rFonts w:ascii="Book Antiqua" w:eastAsia="Times New Roman" w:hAnsi="Book Antiqua" w:cs="Arial"/>
          <w:color w:val="000000"/>
          <w:kern w:val="0"/>
          <w:sz w:val="19"/>
          <w:szCs w:val="19"/>
          <w:lang w:eastAsia="pt-BR"/>
          <w14:ligatures w14:val="none"/>
        </w:rPr>
        <w:t>; e</w:t>
      </w:r>
    </w:p>
    <w:p w14:paraId="07813DA0"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 xml:space="preserve">II – </w:t>
      </w:r>
      <w:proofErr w:type="gramStart"/>
      <w:r w:rsidRPr="003B1CB8">
        <w:rPr>
          <w:rFonts w:ascii="Book Antiqua" w:eastAsia="Times New Roman" w:hAnsi="Book Antiqua" w:cs="Arial"/>
          <w:color w:val="000000"/>
          <w:kern w:val="0"/>
          <w:sz w:val="19"/>
          <w:szCs w:val="19"/>
          <w:lang w:eastAsia="pt-BR"/>
          <w14:ligatures w14:val="none"/>
        </w:rPr>
        <w:t>o</w:t>
      </w:r>
      <w:proofErr w:type="gramEnd"/>
      <w:r w:rsidRPr="003B1CB8">
        <w:rPr>
          <w:rFonts w:ascii="Book Antiqua" w:eastAsia="Times New Roman" w:hAnsi="Book Antiqua" w:cs="Arial"/>
          <w:color w:val="000000"/>
          <w:kern w:val="0"/>
          <w:sz w:val="19"/>
          <w:szCs w:val="19"/>
          <w:lang w:eastAsia="pt-BR"/>
          <w14:ligatures w14:val="none"/>
        </w:rPr>
        <w:t> </w:t>
      </w:r>
      <w:hyperlink r:id="rId55" w:anchor="art26" w:history="1">
        <w:r w:rsidRPr="003B1CB8">
          <w:rPr>
            <w:rFonts w:ascii="Book Antiqua" w:eastAsia="Times New Roman" w:hAnsi="Book Antiqua" w:cs="Arial"/>
            <w:color w:val="0000FF"/>
            <w:kern w:val="0"/>
            <w:sz w:val="19"/>
            <w:szCs w:val="19"/>
            <w:u w:val="single"/>
            <w:lang w:eastAsia="pt-BR"/>
            <w14:ligatures w14:val="none"/>
          </w:rPr>
          <w:t>art. 26 da Lei nº 10.438, de 26 de abril de 2002.</w:t>
        </w:r>
      </w:hyperlink>
    </w:p>
    <w:p w14:paraId="0425CCA4"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3B1CB8">
        <w:rPr>
          <w:rFonts w:ascii="Book Antiqua" w:eastAsia="Times New Roman" w:hAnsi="Book Antiqua" w:cs="Arial"/>
          <w:color w:val="000000"/>
          <w:kern w:val="0"/>
          <w:sz w:val="19"/>
          <w:szCs w:val="19"/>
          <w:lang w:eastAsia="pt-BR"/>
          <w14:ligatures w14:val="none"/>
        </w:rPr>
        <w:t>Art. 36. Esta Lei entra em vigor na data de sua publicação.</w:t>
      </w:r>
    </w:p>
    <w:p w14:paraId="392854D1" w14:textId="77777777" w:rsidR="003B1CB8" w:rsidRPr="003B1CB8" w:rsidRDefault="003B1CB8" w:rsidP="003B1CB8">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Brasília, 8 de outubro de 2024; 203º da Independência e 136º da República.</w:t>
      </w:r>
    </w:p>
    <w:p w14:paraId="5B4ABA54"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000000"/>
          <w:kern w:val="0"/>
          <w:sz w:val="19"/>
          <w:szCs w:val="19"/>
          <w:lang w:eastAsia="pt-BR"/>
          <w14:ligatures w14:val="none"/>
        </w:rPr>
        <w:t>LUIZ INÁCIO LULA DA SILVA</w:t>
      </w:r>
    </w:p>
    <w:p w14:paraId="5CDB11A3"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i/>
          <w:iCs/>
          <w:color w:val="000000"/>
          <w:kern w:val="0"/>
          <w:sz w:val="19"/>
          <w:szCs w:val="19"/>
          <w:lang w:eastAsia="pt-BR"/>
          <w14:ligatures w14:val="none"/>
        </w:rPr>
        <w:t>Carlos Henrique Baqueta Fávaro</w:t>
      </w:r>
    </w:p>
    <w:p w14:paraId="5B409459"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i/>
          <w:iCs/>
          <w:color w:val="000000"/>
          <w:kern w:val="0"/>
          <w:sz w:val="19"/>
          <w:szCs w:val="19"/>
          <w:lang w:eastAsia="pt-BR"/>
          <w14:ligatures w14:val="none"/>
        </w:rPr>
        <w:t>Fernando Haddad</w:t>
      </w:r>
    </w:p>
    <w:p w14:paraId="5787F704"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i/>
          <w:iCs/>
          <w:color w:val="000000"/>
          <w:kern w:val="0"/>
          <w:sz w:val="19"/>
          <w:szCs w:val="19"/>
          <w:lang w:eastAsia="pt-BR"/>
          <w14:ligatures w14:val="none"/>
        </w:rPr>
        <w:t>Geraldo José Rodrigues Alckmin Filho</w:t>
      </w:r>
    </w:p>
    <w:p w14:paraId="161C48BF"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i/>
          <w:iCs/>
          <w:color w:val="000000"/>
          <w:kern w:val="0"/>
          <w:sz w:val="19"/>
          <w:szCs w:val="19"/>
          <w:lang w:eastAsia="pt-BR"/>
          <w14:ligatures w14:val="none"/>
        </w:rPr>
        <w:t>Alexandre Silveira de Oliveira</w:t>
      </w:r>
    </w:p>
    <w:p w14:paraId="561F7744"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i/>
          <w:iCs/>
          <w:color w:val="000000"/>
          <w:kern w:val="0"/>
          <w:sz w:val="19"/>
          <w:szCs w:val="19"/>
          <w:lang w:eastAsia="pt-BR"/>
          <w14:ligatures w14:val="none"/>
        </w:rPr>
        <w:t>Silvio Serafim Costa Filho</w:t>
      </w:r>
    </w:p>
    <w:p w14:paraId="102F482B" w14:textId="77777777" w:rsidR="003B1CB8" w:rsidRPr="003B1CB8" w:rsidRDefault="003B1CB8" w:rsidP="003B1CB8">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FF0000"/>
          <w:kern w:val="0"/>
          <w:sz w:val="19"/>
          <w:szCs w:val="19"/>
          <w:lang w:eastAsia="pt-BR"/>
          <w14:ligatures w14:val="none"/>
        </w:rPr>
        <w:t>Este texto não substitui o publicado no DOU de 9.10.2024</w:t>
      </w:r>
    </w:p>
    <w:p w14:paraId="00F052A5" w14:textId="77777777" w:rsidR="003B1CB8" w:rsidRPr="003B1CB8" w:rsidRDefault="003B1CB8" w:rsidP="003B1CB8">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Arial"/>
          <w:color w:val="FF0000"/>
          <w:kern w:val="0"/>
          <w:sz w:val="19"/>
          <w:szCs w:val="19"/>
          <w:lang w:eastAsia="pt-BR"/>
          <w14:ligatures w14:val="none"/>
        </w:rPr>
        <w:lastRenderedPageBreak/>
        <w:t>*</w:t>
      </w:r>
    </w:p>
    <w:p w14:paraId="1E9F4030" w14:textId="77777777" w:rsidR="003B1CB8" w:rsidRPr="003B1CB8" w:rsidRDefault="003B1CB8" w:rsidP="003B1CB8">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3B1CB8">
        <w:rPr>
          <w:rFonts w:ascii="Book Antiqua" w:eastAsia="Times New Roman" w:hAnsi="Book Antiqua" w:cs="Times New Roman"/>
          <w:color w:val="000000"/>
          <w:kern w:val="0"/>
          <w:sz w:val="19"/>
          <w:szCs w:val="19"/>
          <w:lang w:eastAsia="pt-BR"/>
          <w14:ligatures w14:val="none"/>
        </w:rPr>
        <w:t> </w:t>
      </w:r>
    </w:p>
    <w:p w14:paraId="773F716F" w14:textId="77777777" w:rsidR="00BB7FE6" w:rsidRPr="003B1CB8" w:rsidRDefault="00BB7FE6" w:rsidP="003B1CB8">
      <w:pPr>
        <w:spacing w:before="100" w:beforeAutospacing="1" w:after="100" w:afterAutospacing="1" w:line="240" w:lineRule="auto"/>
        <w:jc w:val="both"/>
        <w:rPr>
          <w:rFonts w:ascii="Book Antiqua" w:hAnsi="Book Antiqua"/>
          <w:sz w:val="19"/>
          <w:szCs w:val="19"/>
        </w:rPr>
      </w:pPr>
    </w:p>
    <w:sectPr w:rsidR="00BB7FE6" w:rsidRPr="003B1CB8" w:rsidSect="003B1CB8">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E2"/>
    <w:rsid w:val="003B1CB8"/>
    <w:rsid w:val="00BB7FE6"/>
    <w:rsid w:val="00D346F6"/>
    <w:rsid w:val="00EE1EE2"/>
    <w:rsid w:val="00F66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123B"/>
  <w15:chartTrackingRefBased/>
  <w15:docId w15:val="{EBAFCF36-2DC4-4FE9-86A6-CCA5EF10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6756686">
      <w:bodyDiv w:val="1"/>
      <w:marLeft w:val="0"/>
      <w:marRight w:val="0"/>
      <w:marTop w:val="0"/>
      <w:marBottom w:val="0"/>
      <w:divBdr>
        <w:top w:val="none" w:sz="0" w:space="0" w:color="auto"/>
        <w:left w:val="none" w:sz="0" w:space="0" w:color="auto"/>
        <w:bottom w:val="none" w:sz="0" w:space="0" w:color="auto"/>
        <w:right w:val="none" w:sz="0" w:space="0" w:color="auto"/>
      </w:divBdr>
      <w:divsChild>
        <w:div w:id="11741484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7229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570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29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574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84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968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694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LEIS/L9847.htm" TargetMode="External"/><Relationship Id="rId18" Type="http://schemas.openxmlformats.org/officeDocument/2006/relationships/hyperlink" Target="https://www.planalto.gov.br/ccivil_03/LEIS/L9478.htm" TargetMode="External"/><Relationship Id="rId26" Type="http://schemas.openxmlformats.org/officeDocument/2006/relationships/hyperlink" Target="https://www.planalto.gov.br/ccivil_03/LEIS/L9478.htm" TargetMode="External"/><Relationship Id="rId39" Type="http://schemas.openxmlformats.org/officeDocument/2006/relationships/hyperlink" Target="https://www.planalto.gov.br/ccivil_03/LEIS/L9847.htm" TargetMode="External"/><Relationship Id="rId21" Type="http://schemas.openxmlformats.org/officeDocument/2006/relationships/hyperlink" Target="https://www.planalto.gov.br/ccivil_03/LEIS/L9478.htm" TargetMode="External"/><Relationship Id="rId34" Type="http://schemas.openxmlformats.org/officeDocument/2006/relationships/hyperlink" Target="https://www.planalto.gov.br/ccivil_03/LEIS/L9478.htm" TargetMode="External"/><Relationship Id="rId42" Type="http://schemas.openxmlformats.org/officeDocument/2006/relationships/hyperlink" Target="https://www.planalto.gov.br/ccivil_03/LEIS/L9847.htm" TargetMode="External"/><Relationship Id="rId47" Type="http://schemas.openxmlformats.org/officeDocument/2006/relationships/hyperlink" Target="https://www.planalto.gov.br/ccivil_03/LEIS/L8723.htm" TargetMode="External"/><Relationship Id="rId50" Type="http://schemas.openxmlformats.org/officeDocument/2006/relationships/hyperlink" Target="https://www.planalto.gov.br/ccivil_03/LEIS/L8723.htm" TargetMode="External"/><Relationship Id="rId55" Type="http://schemas.openxmlformats.org/officeDocument/2006/relationships/hyperlink" Target="https://www.planalto.gov.br/ccivil_03/LEIS/2002/L10438.htm" TargetMode="External"/><Relationship Id="rId7" Type="http://schemas.openxmlformats.org/officeDocument/2006/relationships/hyperlink" Target="https://www.planalto.gov.br/ccivil_03/_Ato2019-2022/2019/Lei/L13874.htm" TargetMode="External"/><Relationship Id="rId2" Type="http://schemas.openxmlformats.org/officeDocument/2006/relationships/settings" Target="settings.xml"/><Relationship Id="rId16" Type="http://schemas.openxmlformats.org/officeDocument/2006/relationships/hyperlink" Target="https://www.planalto.gov.br/ccivil_03/LEIS/L9478.htm" TargetMode="External"/><Relationship Id="rId29" Type="http://schemas.openxmlformats.org/officeDocument/2006/relationships/hyperlink" Target="https://www.planalto.gov.br/ccivil_03/LEIS/L9478.htm" TargetMode="External"/><Relationship Id="rId11" Type="http://schemas.openxmlformats.org/officeDocument/2006/relationships/hyperlink" Target="https://www.planalto.gov.br/ccivil_03/LEIS/L9430.htm" TargetMode="External"/><Relationship Id="rId24" Type="http://schemas.openxmlformats.org/officeDocument/2006/relationships/hyperlink" Target="https://www.planalto.gov.br/ccivil_03/LEIS/L9478.htm" TargetMode="External"/><Relationship Id="rId32" Type="http://schemas.openxmlformats.org/officeDocument/2006/relationships/hyperlink" Target="https://www.planalto.gov.br/ccivil_03/LEIS/L8078.htm" TargetMode="External"/><Relationship Id="rId37" Type="http://schemas.openxmlformats.org/officeDocument/2006/relationships/hyperlink" Target="https://www.planalto.gov.br/ccivil_03/LEIS/L9478.htm" TargetMode="External"/><Relationship Id="rId40" Type="http://schemas.openxmlformats.org/officeDocument/2006/relationships/hyperlink" Target="https://www.planalto.gov.br/ccivil_03/LEIS/L8176.htm" TargetMode="External"/><Relationship Id="rId45" Type="http://schemas.openxmlformats.org/officeDocument/2006/relationships/hyperlink" Target="https://www.planalto.gov.br/ccivil_03/LEIS/L9847.htm" TargetMode="External"/><Relationship Id="rId53" Type="http://schemas.openxmlformats.org/officeDocument/2006/relationships/hyperlink" Target="https://www.planalto.gov.br/ccivil_03/_Ato2011-2014/2014/Lei/L13033.htm" TargetMode="External"/><Relationship Id="rId5" Type="http://schemas.openxmlformats.org/officeDocument/2006/relationships/hyperlink" Target="https://www.planalto.gov.br/ccivil_03/LEIS/L9478.htm" TargetMode="External"/><Relationship Id="rId19" Type="http://schemas.openxmlformats.org/officeDocument/2006/relationships/hyperlink" Target="https://www.planalto.gov.br/ccivil_03/_Ato2011-2014/2013/Lei/L12783.htm" TargetMode="External"/><Relationship Id="rId4" Type="http://schemas.openxmlformats.org/officeDocument/2006/relationships/hyperlink" Target="http://legislacao.planalto.gov.br/legisla/legislacao.nsf/Viw_Identificacao/lei%2014.993-2024?OpenDocument" TargetMode="External"/><Relationship Id="rId9" Type="http://schemas.openxmlformats.org/officeDocument/2006/relationships/hyperlink" Target="https://www.planalto.gov.br/ccivil_03/LEIS/L6385.htm" TargetMode="External"/><Relationship Id="rId14" Type="http://schemas.openxmlformats.org/officeDocument/2006/relationships/hyperlink" Target="https://www.planalto.gov.br/ccivil_03/_Ato2019-2022/2019/Lei/L13874.htm" TargetMode="External"/><Relationship Id="rId22" Type="http://schemas.openxmlformats.org/officeDocument/2006/relationships/hyperlink" Target="https://www.planalto.gov.br/ccivil_03/LEIS/L9478.htm" TargetMode="External"/><Relationship Id="rId27" Type="http://schemas.openxmlformats.org/officeDocument/2006/relationships/hyperlink" Target="https://www.planalto.gov.br/ccivil_03/LEIS/L9478.htm" TargetMode="External"/><Relationship Id="rId30" Type="http://schemas.openxmlformats.org/officeDocument/2006/relationships/hyperlink" Target="https://www.planalto.gov.br/ccivil_03/LEIS/L9478.htm" TargetMode="External"/><Relationship Id="rId35" Type="http://schemas.openxmlformats.org/officeDocument/2006/relationships/hyperlink" Target="https://www.planalto.gov.br/ccivil_03/LEIS/L9478.htm" TargetMode="External"/><Relationship Id="rId43" Type="http://schemas.openxmlformats.org/officeDocument/2006/relationships/hyperlink" Target="https://www.planalto.gov.br/ccivil_03/LEIS/L9847.htm" TargetMode="External"/><Relationship Id="rId48" Type="http://schemas.openxmlformats.org/officeDocument/2006/relationships/hyperlink" Target="https://www.planalto.gov.br/ccivil_03/LEIS/L8723.htm" TargetMode="External"/><Relationship Id="rId56" Type="http://schemas.openxmlformats.org/officeDocument/2006/relationships/fontTable" Target="fontTable.xml"/><Relationship Id="rId8" Type="http://schemas.openxmlformats.org/officeDocument/2006/relationships/hyperlink" Target="https://www.planalto.gov.br/ccivil_03/_Ato2007-2010/2009/Lei/L12187.htm" TargetMode="External"/><Relationship Id="rId51" Type="http://schemas.openxmlformats.org/officeDocument/2006/relationships/hyperlink" Target="https://www.planalto.gov.br/ccivil_03/_Ato2011-2014/2014/Lei/L13033.htm" TargetMode="External"/><Relationship Id="rId3" Type="http://schemas.openxmlformats.org/officeDocument/2006/relationships/webSettings" Target="webSettings.xml"/><Relationship Id="rId12" Type="http://schemas.openxmlformats.org/officeDocument/2006/relationships/hyperlink" Target="https://www.planalto.gov.br/ccivil_03/LEIS/L9430.htm" TargetMode="External"/><Relationship Id="rId17" Type="http://schemas.openxmlformats.org/officeDocument/2006/relationships/hyperlink" Target="https://www.planalto.gov.br/ccivil_03/LEIS/L9478.htm" TargetMode="External"/><Relationship Id="rId25" Type="http://schemas.openxmlformats.org/officeDocument/2006/relationships/hyperlink" Target="https://www.planalto.gov.br/ccivil_03/LEIS/L9478.htm" TargetMode="External"/><Relationship Id="rId33" Type="http://schemas.openxmlformats.org/officeDocument/2006/relationships/hyperlink" Target="https://www.planalto.gov.br/ccivil_03/LEIS/L9478.htm" TargetMode="External"/><Relationship Id="rId38" Type="http://schemas.openxmlformats.org/officeDocument/2006/relationships/hyperlink" Target="https://www.planalto.gov.br/ccivil_03/LEIS/L9847.htm" TargetMode="External"/><Relationship Id="rId46" Type="http://schemas.openxmlformats.org/officeDocument/2006/relationships/hyperlink" Target="https://www.planalto.gov.br/ccivil_03/LEIS/L8723.htm" TargetMode="External"/><Relationship Id="rId20" Type="http://schemas.openxmlformats.org/officeDocument/2006/relationships/hyperlink" Target="https://www.planalto.gov.br/ccivil_03/LEIS/L9478.htm" TargetMode="External"/><Relationship Id="rId41" Type="http://schemas.openxmlformats.org/officeDocument/2006/relationships/hyperlink" Target="https://www.planalto.gov.br/ccivil_03/LEIS/L9847.htm" TargetMode="External"/><Relationship Id="rId54" Type="http://schemas.openxmlformats.org/officeDocument/2006/relationships/hyperlink" Target="https://www.planalto.gov.br/ccivil_03/_Ato2011-2014/2014/Lei/L13033.htm" TargetMode="External"/><Relationship Id="rId1" Type="http://schemas.openxmlformats.org/officeDocument/2006/relationships/styles" Target="styles.xml"/><Relationship Id="rId6" Type="http://schemas.openxmlformats.org/officeDocument/2006/relationships/hyperlink" Target="https://www.planalto.gov.br/ccivil_03/_Ato2004-2006/2005/Lei/L11182.htm" TargetMode="External"/><Relationship Id="rId15" Type="http://schemas.openxmlformats.org/officeDocument/2006/relationships/hyperlink" Target="https://www.planalto.gov.br/ccivil_03/LEIS/L9478.htm" TargetMode="External"/><Relationship Id="rId23" Type="http://schemas.openxmlformats.org/officeDocument/2006/relationships/hyperlink" Target="https://www.planalto.gov.br/ccivil_03/_Ato2011-2014/2014/Lei/L13033.htm" TargetMode="External"/><Relationship Id="rId28" Type="http://schemas.openxmlformats.org/officeDocument/2006/relationships/hyperlink" Target="https://www.planalto.gov.br/ccivil_03/LEIS/L9478.htm" TargetMode="External"/><Relationship Id="rId36" Type="http://schemas.openxmlformats.org/officeDocument/2006/relationships/hyperlink" Target="https://www.planalto.gov.br/ccivil_03/LEIS/L9478.htm" TargetMode="External"/><Relationship Id="rId49" Type="http://schemas.openxmlformats.org/officeDocument/2006/relationships/hyperlink" Target="https://www.planalto.gov.br/ccivil_03/LEIS/L8723.htm" TargetMode="External"/><Relationship Id="rId57" Type="http://schemas.openxmlformats.org/officeDocument/2006/relationships/theme" Target="theme/theme1.xml"/><Relationship Id="rId10" Type="http://schemas.openxmlformats.org/officeDocument/2006/relationships/hyperlink" Target="https://www.planalto.gov.br/ccivil_03/LEIS/L9430.htm" TargetMode="External"/><Relationship Id="rId31" Type="http://schemas.openxmlformats.org/officeDocument/2006/relationships/hyperlink" Target="https://www.planalto.gov.br/ccivil_03/LEIS/L9478.htm" TargetMode="External"/><Relationship Id="rId44" Type="http://schemas.openxmlformats.org/officeDocument/2006/relationships/hyperlink" Target="https://www.planalto.gov.br/ccivil_03/LEIS/L9847.htm" TargetMode="External"/><Relationship Id="rId52" Type="http://schemas.openxmlformats.org/officeDocument/2006/relationships/hyperlink" Target="https://www.planalto.gov.br/ccivil_03/_Ato2011-2014/2014/Lei/L1303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7736</Words>
  <Characters>41777</Characters>
  <Application>Microsoft Office Word</Application>
  <DocSecurity>0</DocSecurity>
  <Lines>348</Lines>
  <Paragraphs>98</Paragraphs>
  <ScaleCrop>false</ScaleCrop>
  <Company/>
  <LinksUpToDate>false</LinksUpToDate>
  <CharactersWithSpaces>49415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2025-01-05T16:56:00Z</dcterms:created>
  <dcterms:modified xsi:type="dcterms:W3CDTF">2025-01-05T17:01:00Z</dcterms:modified>
</cp:coreProperties>
</file>