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69955" w14:textId="54219421" w:rsidR="00C56688" w:rsidRPr="00C56688" w:rsidRDefault="00C56688" w:rsidP="00054E98">
      <w:pPr>
        <w:spacing w:before="100" w:beforeAutospacing="1" w:after="100" w:afterAutospacing="1" w:line="240" w:lineRule="auto"/>
        <w:jc w:val="center"/>
        <w:rPr>
          <w:rFonts w:ascii="Book Antiqua" w:hAnsi="Book Antiqua"/>
          <w:b/>
          <w:bCs/>
          <w:color w:val="FF0000"/>
          <w:sz w:val="19"/>
          <w:szCs w:val="19"/>
        </w:rPr>
      </w:pPr>
      <w:r w:rsidRPr="00C56688">
        <w:rPr>
          <w:rFonts w:ascii="Book Antiqua" w:hAnsi="Book Antiqua"/>
          <w:b/>
          <w:bCs/>
          <w:color w:val="FF0000"/>
          <w:sz w:val="19"/>
          <w:szCs w:val="19"/>
        </w:rPr>
        <w:t>(Atualização em 02/09/2021: questões de concurso)</w:t>
      </w:r>
    </w:p>
    <w:p w14:paraId="00C5C260" w14:textId="0DDCAE47" w:rsidR="00054E98" w:rsidRPr="00054E98" w:rsidRDefault="00054E98" w:rsidP="00054E98">
      <w:pPr>
        <w:spacing w:before="100" w:beforeAutospacing="1" w:after="100" w:afterAutospacing="1" w:line="240" w:lineRule="auto"/>
        <w:jc w:val="center"/>
        <w:rPr>
          <w:rFonts w:ascii="Book Antiqua" w:hAnsi="Book Antiqua"/>
          <w:b/>
          <w:bCs/>
          <w:sz w:val="19"/>
          <w:szCs w:val="19"/>
        </w:rPr>
      </w:pPr>
      <w:r w:rsidRPr="00054E98">
        <w:rPr>
          <w:rFonts w:ascii="Book Antiqua" w:hAnsi="Book Antiqua"/>
          <w:b/>
          <w:bCs/>
          <w:sz w:val="19"/>
          <w:szCs w:val="19"/>
        </w:rPr>
        <w:t>DIÁRIO OFICIAL DA UNIÃO</w:t>
      </w:r>
    </w:p>
    <w:p w14:paraId="3DBE8E1A" w14:textId="43AAD08A" w:rsidR="00054E98" w:rsidRPr="00054E98" w:rsidRDefault="00054E98" w:rsidP="00054E98">
      <w:pPr>
        <w:spacing w:before="100" w:beforeAutospacing="1" w:after="100" w:afterAutospacing="1" w:line="240" w:lineRule="auto"/>
        <w:jc w:val="center"/>
        <w:rPr>
          <w:rFonts w:ascii="Book Antiqua" w:hAnsi="Book Antiqua"/>
          <w:sz w:val="19"/>
          <w:szCs w:val="19"/>
        </w:rPr>
      </w:pPr>
      <w:r w:rsidRPr="00054E98">
        <w:rPr>
          <w:rFonts w:ascii="Book Antiqua" w:hAnsi="Book Antiqua"/>
          <w:sz w:val="19"/>
          <w:szCs w:val="19"/>
        </w:rPr>
        <w:t>Publicado em: 12/08/2020 | Edição: 154 | Seção: 1 |</w:t>
      </w:r>
    </w:p>
    <w:p w14:paraId="525E623F" w14:textId="77777777" w:rsidR="00054E98" w:rsidRPr="00054E98" w:rsidRDefault="00054E98" w:rsidP="00180A27">
      <w:pPr>
        <w:spacing w:before="100" w:beforeAutospacing="1" w:after="100" w:afterAutospacing="1" w:line="240" w:lineRule="auto"/>
        <w:jc w:val="center"/>
        <w:rPr>
          <w:rFonts w:ascii="Book Antiqua" w:hAnsi="Book Antiqua"/>
          <w:sz w:val="19"/>
          <w:szCs w:val="19"/>
        </w:rPr>
      </w:pPr>
      <w:r w:rsidRPr="00054E98">
        <w:rPr>
          <w:rFonts w:ascii="Book Antiqua" w:hAnsi="Book Antiqua"/>
          <w:b/>
          <w:bCs/>
          <w:sz w:val="19"/>
          <w:szCs w:val="19"/>
        </w:rPr>
        <w:t>Órgão: Atos do Congresso Nacional</w:t>
      </w:r>
    </w:p>
    <w:p w14:paraId="09EBF849" w14:textId="77777777"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Faço saber que o Congresso Nacional aprovou, e eu, Davi Alcolumbre, Presidente do Senado Federal, nos termos do parágrafo único do art. 52 do Regimento Comum e do inciso XXVIII do art. 48 do Regimento Interno do Senado Federal, promulgo o seguinte</w:t>
      </w:r>
    </w:p>
    <w:p w14:paraId="3CA0C37D" w14:textId="77777777" w:rsidR="00054E98" w:rsidRPr="00054E98" w:rsidRDefault="00054E98" w:rsidP="00054E98">
      <w:pPr>
        <w:spacing w:before="100" w:beforeAutospacing="1" w:after="100" w:afterAutospacing="1" w:line="240" w:lineRule="auto"/>
        <w:jc w:val="center"/>
        <w:rPr>
          <w:rFonts w:ascii="Book Antiqua" w:hAnsi="Book Antiqua"/>
          <w:b/>
          <w:bCs/>
          <w:sz w:val="19"/>
          <w:szCs w:val="19"/>
        </w:rPr>
      </w:pPr>
      <w:r w:rsidRPr="00054E98">
        <w:rPr>
          <w:rFonts w:ascii="Book Antiqua" w:hAnsi="Book Antiqua"/>
          <w:b/>
          <w:bCs/>
          <w:sz w:val="19"/>
          <w:szCs w:val="19"/>
        </w:rPr>
        <w:t>DECRETO LEGISLATIVO</w:t>
      </w:r>
    </w:p>
    <w:p w14:paraId="7E786A5F" w14:textId="77777777" w:rsidR="00054E98" w:rsidRPr="00054E98" w:rsidRDefault="00054E98" w:rsidP="00054E98">
      <w:pPr>
        <w:spacing w:before="100" w:beforeAutospacing="1" w:after="100" w:afterAutospacing="1" w:line="240" w:lineRule="auto"/>
        <w:jc w:val="center"/>
        <w:rPr>
          <w:rFonts w:ascii="Book Antiqua" w:hAnsi="Book Antiqua"/>
          <w:b/>
          <w:bCs/>
          <w:sz w:val="19"/>
          <w:szCs w:val="19"/>
        </w:rPr>
      </w:pPr>
      <w:r w:rsidRPr="00054E98">
        <w:rPr>
          <w:rFonts w:ascii="Book Antiqua" w:hAnsi="Book Antiqua"/>
          <w:b/>
          <w:bCs/>
          <w:sz w:val="19"/>
          <w:szCs w:val="19"/>
        </w:rPr>
        <w:t>Nº 136, DE 2020 (*)</w:t>
      </w:r>
    </w:p>
    <w:p w14:paraId="6C95C827" w14:textId="77777777"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Aprova o texto do Protocolo de Nagoia sobre Acesso a Recursos Genéticos e Repartição Justa e Equitativa dos Benefícios Derivados de sua Utilização à Convenção sobre Diversidade Biológica, concluído durante a 10ª Reunião da Conferência das Partes na Convenção, realizada em outubro de 2010 (COP-10), e assinado pelo Brasil no dia 2 de fevereiro de 2011, em Nova York.</w:t>
      </w:r>
    </w:p>
    <w:p w14:paraId="492C73EF" w14:textId="77777777"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O Congresso Nacional decreta:</w:t>
      </w:r>
    </w:p>
    <w:p w14:paraId="496863BA" w14:textId="3FB4BCED" w:rsidR="00054E98" w:rsidRDefault="00054E98" w:rsidP="00054E98">
      <w:pPr>
        <w:spacing w:before="100" w:beforeAutospacing="1" w:after="100" w:afterAutospacing="1" w:line="240" w:lineRule="auto"/>
        <w:ind w:firstLine="567"/>
        <w:jc w:val="both"/>
        <w:rPr>
          <w:rFonts w:ascii="Book Antiqua" w:hAnsi="Book Antiqua"/>
          <w:sz w:val="19"/>
          <w:szCs w:val="19"/>
        </w:rPr>
      </w:pPr>
      <w:r w:rsidRPr="00C56688">
        <w:rPr>
          <w:rFonts w:ascii="Book Antiqua" w:hAnsi="Book Antiqua"/>
          <w:b/>
          <w:bCs/>
          <w:sz w:val="19"/>
          <w:szCs w:val="19"/>
          <w:highlight w:val="magenta"/>
        </w:rPr>
        <w:t>Art. 1º</w:t>
      </w:r>
      <w:r w:rsidRPr="00054E98">
        <w:rPr>
          <w:rFonts w:ascii="Book Antiqua" w:hAnsi="Book Antiqua"/>
          <w:sz w:val="19"/>
          <w:szCs w:val="19"/>
        </w:rPr>
        <w:t xml:space="preserve"> Fica aprovado o texto do Protocolo de Nagoia sobre Acesso a Recursos Genéticos e Repartição Justa e Equitativa dos Benefícios Derivados de sua Utilização à Convenção sobre Diversidade Biológica, concluído durante a 10ª Reunião da Conferência das Partes na Convenção, realizada em outubro de 2010 (COP-10), e assinado pelo Brasil no dia 2 de fevereiro de 2011, em Nova York.</w:t>
      </w:r>
    </w:p>
    <w:tbl>
      <w:tblPr>
        <w:tblStyle w:val="Tabelacomgrade"/>
        <w:tblW w:w="0" w:type="auto"/>
        <w:tblLook w:val="04A0" w:firstRow="1" w:lastRow="0" w:firstColumn="1" w:lastColumn="0" w:noHBand="0" w:noVBand="1"/>
      </w:tblPr>
      <w:tblGrid>
        <w:gridCol w:w="8494"/>
      </w:tblGrid>
      <w:tr w:rsidR="00C56688" w14:paraId="6CA946BE" w14:textId="77777777" w:rsidTr="00C56688">
        <w:tc>
          <w:tcPr>
            <w:tcW w:w="8494" w:type="dxa"/>
            <w:shd w:val="clear" w:color="auto" w:fill="CCFFFF"/>
          </w:tcPr>
          <w:p w14:paraId="7510F38A" w14:textId="77777777" w:rsidR="00C56688" w:rsidRDefault="00C56688" w:rsidP="00C56688">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C56688">
              <w:rPr>
                <w:rFonts w:ascii="Book Antiqua" w:hAnsi="Book Antiqua"/>
                <w:b/>
                <w:bCs/>
                <w:sz w:val="19"/>
                <w:szCs w:val="19"/>
                <w:highlight w:val="yellow"/>
              </w:rPr>
              <w:t>TRF5-2017-CESPE</w:t>
            </w:r>
            <w:r>
              <w:rPr>
                <w:rFonts w:ascii="Book Antiqua" w:hAnsi="Book Antiqua"/>
                <w:b/>
                <w:bCs/>
                <w:sz w:val="19"/>
                <w:szCs w:val="19"/>
              </w:rPr>
              <w:t>)</w:t>
            </w:r>
            <w:r>
              <w:rPr>
                <w:rFonts w:ascii="Book Antiqua" w:hAnsi="Book Antiqua"/>
                <w:sz w:val="19"/>
                <w:szCs w:val="19"/>
              </w:rPr>
              <w:t xml:space="preserve">: </w:t>
            </w:r>
            <w:r w:rsidRPr="00C56688">
              <w:rPr>
                <w:rFonts w:ascii="Book Antiqua" w:hAnsi="Book Antiqua"/>
                <w:sz w:val="19"/>
                <w:szCs w:val="19"/>
              </w:rPr>
              <w:t>Assinale a opção que apresenta o instrumento de cooperação internacional para a consecução dos princípios e objetivos da Convenção da Diversidade Biológica e que abrange o tema da repartição dos benefícios advindos da utilização dos conhecimentos tradicionais associados à biodiversidade</w:t>
            </w:r>
            <w:r>
              <w:rPr>
                <w:rFonts w:ascii="Book Antiqua" w:hAnsi="Book Antiqua"/>
                <w:sz w:val="19"/>
                <w:szCs w:val="19"/>
              </w:rPr>
              <w:t xml:space="preserve">: </w:t>
            </w:r>
            <w:r w:rsidRPr="00C56688">
              <w:rPr>
                <w:rFonts w:ascii="Book Antiqua" w:hAnsi="Book Antiqua"/>
                <w:sz w:val="19"/>
                <w:szCs w:val="19"/>
              </w:rPr>
              <w:t>Protocolo de Nagoya</w:t>
            </w:r>
            <w:r>
              <w:rPr>
                <w:rFonts w:ascii="Book Antiqua" w:hAnsi="Book Antiqua"/>
                <w:sz w:val="19"/>
                <w:szCs w:val="19"/>
              </w:rPr>
              <w:t>.</w:t>
            </w:r>
          </w:p>
          <w:p w14:paraId="4EDCA335" w14:textId="6BA6F6B7" w:rsidR="003C2710" w:rsidRDefault="003C2710" w:rsidP="00C56688">
            <w:pPr>
              <w:spacing w:before="100" w:beforeAutospacing="1" w:after="100" w:afterAutospacing="1"/>
              <w:jc w:val="both"/>
              <w:rPr>
                <w:rFonts w:ascii="Book Antiqua" w:hAnsi="Book Antiqua"/>
                <w:sz w:val="19"/>
                <w:szCs w:val="19"/>
              </w:rPr>
            </w:pPr>
            <w:r w:rsidRPr="003C2710">
              <w:rPr>
                <w:rFonts w:ascii="Book Antiqua" w:hAnsi="Book Antiqua"/>
                <w:b/>
                <w:bCs/>
                <w:i/>
                <w:iCs/>
                <w:color w:val="FF0000"/>
                <w:sz w:val="19"/>
                <w:szCs w:val="19"/>
              </w:rPr>
              <w:t>##</w:t>
            </w:r>
            <w:r w:rsidRPr="003C2710">
              <w:rPr>
                <w:rFonts w:ascii="Book Antiqua" w:hAnsi="Book Antiqua"/>
                <w:b/>
                <w:bCs/>
                <w:i/>
                <w:iCs/>
                <w:color w:val="FF0000"/>
                <w:sz w:val="19"/>
                <w:szCs w:val="19"/>
                <w:highlight w:val="green"/>
              </w:rPr>
              <w:t>Atenção</w:t>
            </w:r>
            <w:r w:rsidRPr="003C2710">
              <w:rPr>
                <w:rFonts w:ascii="Book Antiqua" w:hAnsi="Book Antiqua"/>
                <w:b/>
                <w:bCs/>
                <w:i/>
                <w:iCs/>
                <w:color w:val="FF0000"/>
                <w:sz w:val="19"/>
                <w:szCs w:val="19"/>
              </w:rPr>
              <w:t>: ##</w:t>
            </w:r>
            <w:r w:rsidRPr="003C2710">
              <w:rPr>
                <w:rFonts w:ascii="Book Antiqua" w:hAnsi="Book Antiqua"/>
                <w:b/>
                <w:bCs/>
                <w:i/>
                <w:iCs/>
                <w:color w:val="FF0000"/>
                <w:sz w:val="19"/>
                <w:szCs w:val="19"/>
                <w:highlight w:val="green"/>
              </w:rPr>
              <w:t>TRF5-2015</w:t>
            </w:r>
            <w:r w:rsidRPr="003C2710">
              <w:rPr>
                <w:rFonts w:ascii="Book Antiqua" w:hAnsi="Book Antiqua"/>
                <w:b/>
                <w:bCs/>
                <w:i/>
                <w:iCs/>
                <w:color w:val="FF0000"/>
                <w:sz w:val="19"/>
                <w:szCs w:val="19"/>
              </w:rPr>
              <w:t>: ##</w:t>
            </w:r>
            <w:r w:rsidRPr="003C2710">
              <w:rPr>
                <w:rFonts w:ascii="Book Antiqua" w:hAnsi="Book Antiqua"/>
                <w:b/>
                <w:bCs/>
                <w:i/>
                <w:iCs/>
                <w:color w:val="FF0000"/>
                <w:sz w:val="19"/>
                <w:szCs w:val="19"/>
                <w:highlight w:val="green"/>
              </w:rPr>
              <w:t>CESPE</w:t>
            </w:r>
            <w:r>
              <w:rPr>
                <w:rFonts w:ascii="Book Antiqua" w:hAnsi="Book Antiqua"/>
                <w:sz w:val="19"/>
                <w:szCs w:val="19"/>
              </w:rPr>
              <w:t xml:space="preserve">: </w:t>
            </w:r>
            <w:r w:rsidRPr="003C2710">
              <w:rPr>
                <w:rFonts w:ascii="Book Antiqua" w:hAnsi="Book Antiqua"/>
                <w:sz w:val="19"/>
                <w:szCs w:val="19"/>
              </w:rPr>
              <w:t xml:space="preserve">"Entrou em vigor neste domingo, 12 de outubro (2014), o Protocolo de Nagoya, o acordo internacional que regulamenta o acesso aos recursos genéticos e o compartilhamento de benefícios da biodiversidade. Foi uma vitória e tanto para a Convenção da Biodiversidade Biológica – CDB das Nações Unidas, que está reunida em Pyeongchang, na Coreia do Sul. O anúncio foi bastante comemorado, pois é uma sinalização clara de que os países começam a dar valor à sua biodiversidade." Fonte: </w:t>
            </w:r>
            <w:hyperlink r:id="rId4" w:history="1">
              <w:r w:rsidRPr="00376DA7">
                <w:rPr>
                  <w:rStyle w:val="Hyperlink"/>
                  <w:rFonts w:ascii="Book Antiqua" w:hAnsi="Book Antiqua"/>
                  <w:sz w:val="19"/>
                  <w:szCs w:val="19"/>
                </w:rPr>
                <w:t>http://www.wwf.org.br/?41762</w:t>
              </w:r>
            </w:hyperlink>
            <w:r w:rsidRPr="003C2710">
              <w:rPr>
                <w:rFonts w:ascii="Book Antiqua" w:hAnsi="Book Antiqua"/>
                <w:sz w:val="19"/>
                <w:szCs w:val="19"/>
              </w:rPr>
              <w:t>.</w:t>
            </w:r>
          </w:p>
          <w:p w14:paraId="47B498DA" w14:textId="77777777" w:rsidR="003C2710" w:rsidRDefault="003C2710" w:rsidP="00C56688">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3C2710">
              <w:rPr>
                <w:rFonts w:ascii="Book Antiqua" w:hAnsi="Book Antiqua"/>
                <w:b/>
                <w:bCs/>
                <w:sz w:val="19"/>
                <w:szCs w:val="19"/>
                <w:highlight w:val="yellow"/>
              </w:rPr>
              <w:t>TRF1-2013-CESPE</w:t>
            </w:r>
            <w:r>
              <w:rPr>
                <w:rFonts w:ascii="Book Antiqua" w:hAnsi="Book Antiqua"/>
                <w:b/>
                <w:bCs/>
                <w:sz w:val="19"/>
                <w:szCs w:val="19"/>
              </w:rPr>
              <w:t>)</w:t>
            </w:r>
            <w:r>
              <w:rPr>
                <w:rFonts w:ascii="Book Antiqua" w:hAnsi="Book Antiqua"/>
                <w:sz w:val="19"/>
                <w:szCs w:val="19"/>
              </w:rPr>
              <w:t xml:space="preserve">: </w:t>
            </w:r>
            <w:r w:rsidRPr="003C2710">
              <w:rPr>
                <w:rFonts w:ascii="Book Antiqua" w:hAnsi="Book Antiqua"/>
                <w:sz w:val="19"/>
                <w:szCs w:val="19"/>
              </w:rPr>
              <w:t>A respeito de biodiversidade e dos conhecimentos tradicionais associados, assinale a opção correta</w:t>
            </w:r>
            <w:r>
              <w:rPr>
                <w:rFonts w:ascii="Book Antiqua" w:hAnsi="Book Antiqua"/>
                <w:sz w:val="19"/>
                <w:szCs w:val="19"/>
              </w:rPr>
              <w:t xml:space="preserve">: </w:t>
            </w:r>
            <w:r w:rsidRPr="003C2710">
              <w:rPr>
                <w:rFonts w:ascii="Book Antiqua" w:hAnsi="Book Antiqua"/>
                <w:sz w:val="19"/>
                <w:szCs w:val="19"/>
              </w:rPr>
              <w:t>A Convenção da Diversidade Biológica é uma convenção- quadro que, para a concretização de seus objetivos, vem sendo complementada por protocolos mais específicos, como o de Nagoya.</w:t>
            </w:r>
          </w:p>
          <w:p w14:paraId="0F1D288C" w14:textId="6A2E5009" w:rsidR="003C2710" w:rsidRPr="003C2710" w:rsidRDefault="003C2710" w:rsidP="003C2710">
            <w:pPr>
              <w:spacing w:before="100" w:beforeAutospacing="1" w:after="100" w:afterAutospacing="1"/>
              <w:jc w:val="both"/>
              <w:rPr>
                <w:rFonts w:ascii="Book Antiqua" w:hAnsi="Book Antiqua"/>
                <w:sz w:val="19"/>
                <w:szCs w:val="19"/>
              </w:rPr>
            </w:pPr>
            <w:r w:rsidRPr="003C2710">
              <w:rPr>
                <w:rFonts w:ascii="Book Antiqua" w:hAnsi="Book Antiqua"/>
                <w:b/>
                <w:bCs/>
                <w:i/>
                <w:iCs/>
                <w:color w:val="FF0000"/>
                <w:sz w:val="19"/>
                <w:szCs w:val="19"/>
              </w:rPr>
              <w:t>##</w:t>
            </w:r>
            <w:r w:rsidRPr="003C2710">
              <w:rPr>
                <w:rFonts w:ascii="Book Antiqua" w:hAnsi="Book Antiqua"/>
                <w:b/>
                <w:bCs/>
                <w:i/>
                <w:iCs/>
                <w:color w:val="FF0000"/>
                <w:sz w:val="19"/>
                <w:szCs w:val="19"/>
                <w:highlight w:val="green"/>
              </w:rPr>
              <w:t>Atenção</w:t>
            </w:r>
            <w:r w:rsidRPr="003C2710">
              <w:rPr>
                <w:rFonts w:ascii="Book Antiqua" w:hAnsi="Book Antiqua"/>
                <w:b/>
                <w:bCs/>
                <w:i/>
                <w:iCs/>
                <w:color w:val="FF0000"/>
                <w:sz w:val="19"/>
                <w:szCs w:val="19"/>
              </w:rPr>
              <w:t>: ##</w:t>
            </w:r>
            <w:r w:rsidRPr="003C2710">
              <w:rPr>
                <w:rFonts w:ascii="Book Antiqua" w:hAnsi="Book Antiqua"/>
                <w:b/>
                <w:bCs/>
                <w:i/>
                <w:iCs/>
                <w:color w:val="FF0000"/>
                <w:sz w:val="19"/>
                <w:szCs w:val="19"/>
                <w:highlight w:val="green"/>
              </w:rPr>
              <w:t>TRF</w:t>
            </w:r>
            <w:r>
              <w:rPr>
                <w:rFonts w:ascii="Book Antiqua" w:hAnsi="Book Antiqua"/>
                <w:b/>
                <w:bCs/>
                <w:i/>
                <w:iCs/>
                <w:color w:val="FF0000"/>
                <w:sz w:val="19"/>
                <w:szCs w:val="19"/>
                <w:highlight w:val="green"/>
              </w:rPr>
              <w:t>1</w:t>
            </w:r>
            <w:r w:rsidRPr="003C2710">
              <w:rPr>
                <w:rFonts w:ascii="Book Antiqua" w:hAnsi="Book Antiqua"/>
                <w:b/>
                <w:bCs/>
                <w:i/>
                <w:iCs/>
                <w:color w:val="FF0000"/>
                <w:sz w:val="19"/>
                <w:szCs w:val="19"/>
                <w:highlight w:val="green"/>
              </w:rPr>
              <w:t>-201</w:t>
            </w:r>
            <w:r w:rsidRPr="003C2710">
              <w:rPr>
                <w:rFonts w:ascii="Book Antiqua" w:hAnsi="Book Antiqua"/>
                <w:b/>
                <w:bCs/>
                <w:i/>
                <w:iCs/>
                <w:color w:val="FF0000"/>
                <w:sz w:val="19"/>
                <w:szCs w:val="19"/>
                <w:highlight w:val="green"/>
              </w:rPr>
              <w:t>3</w:t>
            </w:r>
            <w:r w:rsidRPr="003C2710">
              <w:rPr>
                <w:rFonts w:ascii="Book Antiqua" w:hAnsi="Book Antiqua"/>
                <w:b/>
                <w:bCs/>
                <w:i/>
                <w:iCs/>
                <w:color w:val="FF0000"/>
                <w:sz w:val="19"/>
                <w:szCs w:val="19"/>
              </w:rPr>
              <w:t>: ##</w:t>
            </w:r>
            <w:r w:rsidRPr="003C2710">
              <w:rPr>
                <w:rFonts w:ascii="Book Antiqua" w:hAnsi="Book Antiqua"/>
                <w:b/>
                <w:bCs/>
                <w:i/>
                <w:iCs/>
                <w:color w:val="FF0000"/>
                <w:sz w:val="19"/>
                <w:szCs w:val="19"/>
                <w:highlight w:val="green"/>
              </w:rPr>
              <w:t>CESPE</w:t>
            </w:r>
            <w:r>
              <w:rPr>
                <w:rFonts w:ascii="Book Antiqua" w:hAnsi="Book Antiqua"/>
                <w:sz w:val="19"/>
                <w:szCs w:val="19"/>
              </w:rPr>
              <w:t>:</w:t>
            </w:r>
            <w:r>
              <w:rPr>
                <w:rFonts w:ascii="Book Antiqua" w:hAnsi="Book Antiqua"/>
                <w:sz w:val="19"/>
                <w:szCs w:val="19"/>
              </w:rPr>
              <w:t xml:space="preserve"> </w:t>
            </w:r>
            <w:r w:rsidRPr="003C2710">
              <w:rPr>
                <w:rFonts w:ascii="Book Antiqua" w:hAnsi="Book Antiqua"/>
                <w:sz w:val="19"/>
                <w:szCs w:val="19"/>
              </w:rPr>
              <w:t>A Convenção está estruturada sobre três bases principais – a conservação da diversidade biológica, o uso sustentável da biodiversidade e a repartição justa e equitativa dos benefícios provenientes da utilização dos recursos genéticos – e se refere à biodiversidade em três níveis: ecossistemas, espécies e recursos genéticos.</w:t>
            </w:r>
            <w:r>
              <w:rPr>
                <w:rFonts w:ascii="Book Antiqua" w:hAnsi="Book Antiqua"/>
                <w:sz w:val="19"/>
                <w:szCs w:val="19"/>
              </w:rPr>
              <w:t xml:space="preserve"> </w:t>
            </w:r>
            <w:r w:rsidRPr="003C2710">
              <w:rPr>
                <w:rFonts w:ascii="Book Antiqua" w:hAnsi="Book Antiqua"/>
                <w:sz w:val="19"/>
                <w:szCs w:val="19"/>
              </w:rPr>
              <w:t>A Convenção abarca tudo o que se refere direta ou indiretamente à biodiversidade – e ela funciona, assim, como uma espécie de arcabouço legal e político para diversas outras convenções e acordos ambientais mais específicos.</w:t>
            </w:r>
            <w:r>
              <w:rPr>
                <w:rFonts w:ascii="Book Antiqua" w:hAnsi="Book Antiqua"/>
                <w:sz w:val="19"/>
                <w:szCs w:val="19"/>
              </w:rPr>
              <w:t xml:space="preserve"> (</w:t>
            </w:r>
            <w:r w:rsidRPr="003C2710">
              <w:rPr>
                <w:rFonts w:ascii="Book Antiqua" w:hAnsi="Book Antiqua"/>
                <w:sz w:val="19"/>
                <w:szCs w:val="19"/>
              </w:rPr>
              <w:t>Fonte:</w:t>
            </w:r>
            <w:r>
              <w:rPr>
                <w:rFonts w:ascii="Book Antiqua" w:hAnsi="Book Antiqua"/>
                <w:sz w:val="19"/>
                <w:szCs w:val="19"/>
              </w:rPr>
              <w:t xml:space="preserve"> </w:t>
            </w:r>
            <w:hyperlink r:id="rId5" w:history="1">
              <w:r w:rsidRPr="00376DA7">
                <w:rPr>
                  <w:rStyle w:val="Hyperlink"/>
                  <w:rFonts w:ascii="Book Antiqua" w:hAnsi="Book Antiqua"/>
                  <w:sz w:val="19"/>
                  <w:szCs w:val="19"/>
                </w:rPr>
                <w:t>http://www.mma.gov.br/biodiversidade/convencao-da-diversidade-biologica</w:t>
              </w:r>
            </w:hyperlink>
            <w:r>
              <w:rPr>
                <w:rFonts w:ascii="Book Antiqua" w:hAnsi="Book Antiqua"/>
                <w:sz w:val="19"/>
                <w:szCs w:val="19"/>
              </w:rPr>
              <w:t xml:space="preserve">). </w:t>
            </w:r>
            <w:r w:rsidRPr="003C2710">
              <w:rPr>
                <w:rFonts w:ascii="Book Antiqua" w:hAnsi="Book Antiqua"/>
                <w:sz w:val="19"/>
                <w:szCs w:val="19"/>
              </w:rPr>
              <w:t>O Protocolo de Nagoya sobre ABS foi adotado em 29 de outubro de 2010 em Nagoya, Japão, e passará a vigorar 90 dias após o quinquagésimo instrumento de ratificação. Seu objetivo é a repartição justa e equitativa de benefícios advindos da utilização de recursos genéticos, contribuindo, dessa forma, para a conservação e uso sustentável da biodiversidade.</w:t>
            </w:r>
            <w:r>
              <w:rPr>
                <w:rFonts w:ascii="Book Antiqua" w:hAnsi="Book Antiqua"/>
                <w:sz w:val="19"/>
                <w:szCs w:val="19"/>
              </w:rPr>
              <w:t xml:space="preserve"> (</w:t>
            </w:r>
            <w:r w:rsidRPr="003C2710">
              <w:rPr>
                <w:rFonts w:ascii="Book Antiqua" w:hAnsi="Book Antiqua"/>
                <w:sz w:val="19"/>
                <w:szCs w:val="19"/>
              </w:rPr>
              <w:t>Fonte:</w:t>
            </w:r>
            <w:r>
              <w:rPr>
                <w:rFonts w:ascii="Book Antiqua" w:hAnsi="Book Antiqua"/>
                <w:sz w:val="19"/>
                <w:szCs w:val="19"/>
              </w:rPr>
              <w:t xml:space="preserve"> </w:t>
            </w:r>
            <w:r w:rsidRPr="003C2710">
              <w:rPr>
                <w:rFonts w:ascii="Book Antiqua" w:hAnsi="Book Antiqua"/>
                <w:sz w:val="19"/>
                <w:szCs w:val="19"/>
              </w:rPr>
              <w:t>http://www.rbma.org.br/anuariomataatlantica/protocolo_nagoya.php VQV!! =</w:t>
            </w:r>
            <w:r>
              <w:rPr>
                <w:rFonts w:ascii="Book Antiqua" w:hAnsi="Book Antiqua"/>
                <w:sz w:val="19"/>
                <w:szCs w:val="19"/>
              </w:rPr>
              <w:t xml:space="preserve">). </w:t>
            </w:r>
          </w:p>
        </w:tc>
      </w:tr>
    </w:tbl>
    <w:p w14:paraId="44C6B07C" w14:textId="254CE381"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lastRenderedPageBreak/>
        <w:t>Parágrafo único. A aprovação a que se refere o</w:t>
      </w:r>
      <w:r w:rsidR="00A45C24">
        <w:rPr>
          <w:rFonts w:ascii="Book Antiqua" w:hAnsi="Book Antiqua"/>
          <w:sz w:val="19"/>
          <w:szCs w:val="19"/>
        </w:rPr>
        <w:t xml:space="preserve"> </w:t>
      </w:r>
      <w:r w:rsidRPr="00054E98">
        <w:rPr>
          <w:rFonts w:ascii="Book Antiqua" w:hAnsi="Book Antiqua"/>
          <w:b/>
          <w:bCs/>
          <w:sz w:val="19"/>
          <w:szCs w:val="19"/>
        </w:rPr>
        <w:t>caput</w:t>
      </w:r>
      <w:r w:rsidR="00A45C24">
        <w:rPr>
          <w:rFonts w:ascii="Book Antiqua" w:hAnsi="Book Antiqua"/>
          <w:b/>
          <w:bCs/>
          <w:sz w:val="19"/>
          <w:szCs w:val="19"/>
        </w:rPr>
        <w:t xml:space="preserve"> </w:t>
      </w:r>
      <w:r w:rsidRPr="00054E98">
        <w:rPr>
          <w:rFonts w:ascii="Book Antiqua" w:hAnsi="Book Antiqua"/>
          <w:sz w:val="19"/>
          <w:szCs w:val="19"/>
        </w:rPr>
        <w:t>deste artigo está condicionada à formulação, por ocasião da ratificação do Protocolo, de declarações das quais constem os seguintes entendimentos:</w:t>
      </w:r>
    </w:p>
    <w:p w14:paraId="156D5DB1" w14:textId="77777777"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I - em conformidade com o disposto no art. 28 da Convenção de Viena sobre o Direito dos Tratados, quanto à aplicação do disposto no parágrafo 2 do art. 33 do Protocolo, as disposições do Protocolo de Nagoia, para fins de sua implementação, não terão efeitos retroativos;</w:t>
      </w:r>
    </w:p>
    <w:p w14:paraId="1FAFFE35" w14:textId="77777777"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II - em conformidade com o disposto na alínea "c" do art. 8 do Protocolo, a exploração econômica para fins de atividades agrícolas, de acordo com a definição constante da Lei nº 13.123, de 20 de maio de 2015, decorrente de material reprodutivo de espécies introduzidas no país pela ação humana até a entrada em vigor do Protocolo não estará sujeita à repartição de benefícios nele prevista;</w:t>
      </w:r>
    </w:p>
    <w:p w14:paraId="3DB805DB" w14:textId="11C0882F"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III - em conformidade com o disposto no art. 2 combinado com o parágrafo 3 do art. 15, ambos da Convenção sobre Diversidade Biológica, e tendo em vista a aplicação do disposto nos arts. 5 e 6 do Protocolo, consideram-se como encontradas em condições</w:t>
      </w:r>
      <w:r w:rsidR="00A45C24">
        <w:rPr>
          <w:rFonts w:ascii="Book Antiqua" w:hAnsi="Book Antiqua"/>
          <w:sz w:val="19"/>
          <w:szCs w:val="19"/>
        </w:rPr>
        <w:t xml:space="preserve"> </w:t>
      </w:r>
      <w:r w:rsidRPr="00054E98">
        <w:rPr>
          <w:rFonts w:ascii="Book Antiqua" w:hAnsi="Book Antiqua"/>
          <w:b/>
          <w:bCs/>
          <w:sz w:val="19"/>
          <w:szCs w:val="19"/>
        </w:rPr>
        <w:t>in situ</w:t>
      </w:r>
      <w:r w:rsidRPr="00054E98">
        <w:rPr>
          <w:rFonts w:ascii="Book Antiqua" w:hAnsi="Book Antiqua"/>
          <w:sz w:val="19"/>
          <w:szCs w:val="19"/>
        </w:rPr>
        <w:t>as espécies ou variedades que formem populações espontâneas que tenham adquirido características distintivas próprias no país e a variedade tradicional local ou crioula ou a raça localmente adaptada ou crioula, conforme conceituadas na legislação interna, nomeadamente no art. 2º da Lei nº 13.123, de 20 de maio de 2015, com enquadramento desse país no conceito de "país de origem" desses recursos genéticos;</w:t>
      </w:r>
    </w:p>
    <w:p w14:paraId="57C56ACA" w14:textId="77777777"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IV - considera-se a Lei nº 13.123, de 20 de maio de 2015, como a lei doméstica para a implementação do Protocolo de Nagoia.</w:t>
      </w:r>
    </w:p>
    <w:p w14:paraId="4B9EA51E" w14:textId="77777777"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Art. 2º Nos termos do inciso I docaputdo art. 49 da Constituição Federal, ficam sujeitos à aprovação do Congresso Nacional quaisquer atos que possam resultar em revisão do referido Protocolo, bem como quaisquer ajustes complementares que acarretem encargos ou compromissos gravosos ao patrimônio nacional.</w:t>
      </w:r>
    </w:p>
    <w:p w14:paraId="203152A8" w14:textId="77777777" w:rsidR="00054E98" w:rsidRPr="00054E98" w:rsidRDefault="00054E98" w:rsidP="00054E98">
      <w:pPr>
        <w:spacing w:before="100" w:beforeAutospacing="1" w:after="100" w:afterAutospacing="1" w:line="240" w:lineRule="auto"/>
        <w:ind w:firstLine="567"/>
        <w:jc w:val="both"/>
        <w:rPr>
          <w:rFonts w:ascii="Book Antiqua" w:hAnsi="Book Antiqua"/>
          <w:sz w:val="19"/>
          <w:szCs w:val="19"/>
        </w:rPr>
      </w:pPr>
      <w:r w:rsidRPr="00054E98">
        <w:rPr>
          <w:rFonts w:ascii="Book Antiqua" w:hAnsi="Book Antiqua"/>
          <w:sz w:val="19"/>
          <w:szCs w:val="19"/>
        </w:rPr>
        <w:t>Art. 3º Este Decreto Legislativo entra em vigor na data de sua publicação.</w:t>
      </w:r>
    </w:p>
    <w:p w14:paraId="1F3CB9F2" w14:textId="77777777" w:rsidR="00054E98" w:rsidRPr="00054E98" w:rsidRDefault="00054E98" w:rsidP="00054E98">
      <w:pPr>
        <w:spacing w:before="100" w:beforeAutospacing="1" w:after="100" w:afterAutospacing="1" w:line="240" w:lineRule="auto"/>
        <w:ind w:firstLine="567"/>
        <w:rPr>
          <w:rFonts w:ascii="Book Antiqua" w:hAnsi="Book Antiqua"/>
          <w:sz w:val="19"/>
          <w:szCs w:val="19"/>
        </w:rPr>
      </w:pPr>
      <w:r w:rsidRPr="00054E98">
        <w:rPr>
          <w:rFonts w:ascii="Book Antiqua" w:hAnsi="Book Antiqua"/>
          <w:sz w:val="19"/>
          <w:szCs w:val="19"/>
        </w:rPr>
        <w:t>Senado Federal, em 11 de agosto de 2020</w:t>
      </w:r>
    </w:p>
    <w:p w14:paraId="77B63441" w14:textId="77777777" w:rsidR="00054E98" w:rsidRPr="00054E98" w:rsidRDefault="00054E98" w:rsidP="00054E98">
      <w:pPr>
        <w:spacing w:before="100" w:beforeAutospacing="1" w:after="100" w:afterAutospacing="1" w:line="240" w:lineRule="auto"/>
        <w:jc w:val="center"/>
        <w:rPr>
          <w:rFonts w:ascii="Book Antiqua" w:hAnsi="Book Antiqua"/>
          <w:b/>
          <w:bCs/>
          <w:sz w:val="19"/>
          <w:szCs w:val="19"/>
        </w:rPr>
      </w:pPr>
      <w:r w:rsidRPr="00054E98">
        <w:rPr>
          <w:rFonts w:ascii="Book Antiqua" w:hAnsi="Book Antiqua"/>
          <w:b/>
          <w:bCs/>
          <w:sz w:val="19"/>
          <w:szCs w:val="19"/>
        </w:rPr>
        <w:t>SENADOR DAVI ALCOLUMBRE</w:t>
      </w:r>
    </w:p>
    <w:p w14:paraId="23FF9C6C" w14:textId="77777777" w:rsidR="00054E98" w:rsidRPr="00054E98" w:rsidRDefault="00054E98" w:rsidP="00054E98">
      <w:pPr>
        <w:spacing w:before="100" w:beforeAutospacing="1" w:after="100" w:afterAutospacing="1" w:line="240" w:lineRule="auto"/>
        <w:jc w:val="center"/>
        <w:rPr>
          <w:rFonts w:ascii="Book Antiqua" w:hAnsi="Book Antiqua"/>
          <w:sz w:val="19"/>
          <w:szCs w:val="19"/>
        </w:rPr>
      </w:pPr>
      <w:r w:rsidRPr="00054E98">
        <w:rPr>
          <w:rFonts w:ascii="Book Antiqua" w:hAnsi="Book Antiqua"/>
          <w:sz w:val="19"/>
          <w:szCs w:val="19"/>
        </w:rPr>
        <w:t>Presidente do Senado Federal</w:t>
      </w:r>
    </w:p>
    <w:p w14:paraId="378126AE" w14:textId="77777777" w:rsidR="00B40546" w:rsidRPr="00054E98" w:rsidRDefault="00B40546" w:rsidP="00054E98">
      <w:pPr>
        <w:spacing w:before="100" w:beforeAutospacing="1" w:after="100" w:afterAutospacing="1" w:line="240" w:lineRule="auto"/>
        <w:rPr>
          <w:rFonts w:ascii="Book Antiqua" w:hAnsi="Book Antiqua"/>
          <w:sz w:val="19"/>
          <w:szCs w:val="19"/>
        </w:rPr>
      </w:pPr>
    </w:p>
    <w:sectPr w:rsidR="00B40546" w:rsidRPr="00054E98" w:rsidSect="00054E98">
      <w:pgSz w:w="11906" w:h="16838"/>
      <w:pgMar w:top="1417"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46"/>
    <w:rsid w:val="00054E98"/>
    <w:rsid w:val="00180A27"/>
    <w:rsid w:val="003C2710"/>
    <w:rsid w:val="00A45C24"/>
    <w:rsid w:val="00B40546"/>
    <w:rsid w:val="00C566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4329"/>
  <w15:chartTrackingRefBased/>
  <w15:docId w15:val="{A3C86C06-6E22-403C-B52A-27F4B94D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56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C2710"/>
    <w:rPr>
      <w:color w:val="0563C1" w:themeColor="hyperlink"/>
      <w:u w:val="single"/>
    </w:rPr>
  </w:style>
  <w:style w:type="character" w:styleId="MenoPendente">
    <w:name w:val="Unresolved Mention"/>
    <w:basedOn w:val="Fontepargpadro"/>
    <w:uiPriority w:val="99"/>
    <w:semiHidden/>
    <w:unhideWhenUsed/>
    <w:rsid w:val="003C2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043398">
      <w:bodyDiv w:val="1"/>
      <w:marLeft w:val="0"/>
      <w:marRight w:val="0"/>
      <w:marTop w:val="0"/>
      <w:marBottom w:val="0"/>
      <w:divBdr>
        <w:top w:val="none" w:sz="0" w:space="0" w:color="auto"/>
        <w:left w:val="none" w:sz="0" w:space="0" w:color="auto"/>
        <w:bottom w:val="none" w:sz="0" w:space="0" w:color="auto"/>
        <w:right w:val="none" w:sz="0" w:space="0" w:color="auto"/>
      </w:divBdr>
      <w:divsChild>
        <w:div w:id="1494301364">
          <w:marLeft w:val="0"/>
          <w:marRight w:val="0"/>
          <w:marTop w:val="0"/>
          <w:marBottom w:val="0"/>
          <w:divBdr>
            <w:top w:val="none" w:sz="0" w:space="0" w:color="auto"/>
            <w:left w:val="none" w:sz="0" w:space="0" w:color="auto"/>
            <w:bottom w:val="none" w:sz="0" w:space="0" w:color="auto"/>
            <w:right w:val="none" w:sz="0" w:space="0" w:color="auto"/>
          </w:divBdr>
        </w:div>
        <w:div w:id="856773543">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ma.gov.br/biodiversidade/convencao-da-diversidade-biologica" TargetMode="External"/><Relationship Id="rId4" Type="http://schemas.openxmlformats.org/officeDocument/2006/relationships/hyperlink" Target="http://www.wwf.org.br/?4176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900</Words>
  <Characters>4861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6</cp:revision>
  <dcterms:created xsi:type="dcterms:W3CDTF">2021-03-25T15:41:00Z</dcterms:created>
  <dcterms:modified xsi:type="dcterms:W3CDTF">2021-09-02T17:15:00Z</dcterms:modified>
</cp:coreProperties>
</file>