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CD471" w14:textId="4E110C53" w:rsidR="008C0091" w:rsidRPr="00EB2A69" w:rsidRDefault="008C0091" w:rsidP="00EB2A69">
      <w:pPr>
        <w:spacing w:before="100" w:beforeAutospacing="1" w:after="100" w:afterAutospacing="1" w:line="240" w:lineRule="auto"/>
        <w:jc w:val="center"/>
        <w:outlineLvl w:val="1"/>
        <w:rPr>
          <w:rFonts w:ascii="Book Antiqua" w:eastAsia="Times New Roman" w:hAnsi="Book Antiqua" w:cs="Times New Roman"/>
          <w:b/>
          <w:bCs/>
          <w:color w:val="FF0000"/>
          <w:sz w:val="19"/>
          <w:szCs w:val="19"/>
          <w:lang w:eastAsia="pt-BR"/>
        </w:rPr>
      </w:pPr>
      <w:r w:rsidRPr="00EB2A69">
        <w:rPr>
          <w:rFonts w:ascii="Book Antiqua" w:eastAsia="Times New Roman" w:hAnsi="Book Antiqua" w:cs="Times New Roman"/>
          <w:b/>
          <w:bCs/>
          <w:color w:val="FF0000"/>
          <w:sz w:val="19"/>
          <w:szCs w:val="19"/>
          <w:lang w:eastAsia="pt-BR"/>
        </w:rPr>
        <w:t xml:space="preserve">(Atualizado em </w:t>
      </w:r>
      <w:r w:rsidR="00097464">
        <w:rPr>
          <w:rFonts w:ascii="Book Antiqua" w:eastAsia="Times New Roman" w:hAnsi="Book Antiqua" w:cs="Times New Roman"/>
          <w:b/>
          <w:bCs/>
          <w:color w:val="FF0000"/>
          <w:sz w:val="19"/>
          <w:szCs w:val="19"/>
          <w:lang w:eastAsia="pt-BR"/>
        </w:rPr>
        <w:t>03/03/2024</w:t>
      </w:r>
      <w:r w:rsidRPr="00EB2A69">
        <w:rPr>
          <w:rFonts w:ascii="Book Antiqua" w:eastAsia="Times New Roman" w:hAnsi="Book Antiqua" w:cs="Times New Roman"/>
          <w:b/>
          <w:bCs/>
          <w:color w:val="FF0000"/>
          <w:sz w:val="19"/>
          <w:szCs w:val="19"/>
          <w:lang w:eastAsia="pt-BR"/>
        </w:rPr>
        <w:t>: questões de concurso)</w:t>
      </w:r>
    </w:p>
    <w:p w14:paraId="2A0EEBD6" w14:textId="77777777" w:rsidR="0087470D" w:rsidRPr="00EB2A69" w:rsidRDefault="0087470D" w:rsidP="00EB2A69">
      <w:pPr>
        <w:spacing w:before="100" w:beforeAutospacing="1" w:after="100" w:afterAutospacing="1" w:line="240" w:lineRule="auto"/>
        <w:jc w:val="center"/>
        <w:outlineLvl w:val="1"/>
        <w:rPr>
          <w:rFonts w:ascii="Book Antiqua" w:eastAsia="Times New Roman" w:hAnsi="Book Antiqua" w:cs="Times New Roman"/>
          <w:b/>
          <w:bCs/>
          <w:color w:val="333333"/>
          <w:sz w:val="19"/>
          <w:szCs w:val="19"/>
          <w:lang w:eastAsia="pt-BR"/>
        </w:rPr>
      </w:pPr>
      <w:r w:rsidRPr="00EB2A69">
        <w:rPr>
          <w:rFonts w:ascii="Book Antiqua" w:eastAsia="Times New Roman" w:hAnsi="Book Antiqua" w:cs="Times New Roman"/>
          <w:b/>
          <w:bCs/>
          <w:color w:val="333333"/>
          <w:sz w:val="19"/>
          <w:szCs w:val="19"/>
          <w:lang w:eastAsia="pt-BR"/>
        </w:rPr>
        <w:t>Protocolo de Cartagena sobre Biossegurança</w:t>
      </w:r>
    </w:p>
    <w:p w14:paraId="197A4317"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w:t>
      </w:r>
    </w:p>
    <w:p w14:paraId="026C94BD" w14:textId="4391555D" w:rsidR="0087470D"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Em 29 de janeiro de 2000, a Conferência das Partes da Convenção sobre Diversidade Biológica (CDB) adotou seu primeiro acordo suplementar conhecido como </w:t>
      </w:r>
      <w:hyperlink r:id="rId5" w:tgtFrame="_blank" w:history="1">
        <w:r w:rsidRPr="00EB2A69">
          <w:rPr>
            <w:rFonts w:ascii="Book Antiqua" w:eastAsia="Times New Roman" w:hAnsi="Book Antiqua" w:cs="Times New Roman"/>
            <w:color w:val="0088CC"/>
            <w:sz w:val="19"/>
            <w:szCs w:val="19"/>
            <w:lang w:eastAsia="pt-BR"/>
          </w:rPr>
          <w:t>Protocolo de Cartagena sobre Biossegurança</w:t>
        </w:r>
      </w:hyperlink>
      <w:r w:rsidRPr="00EB2A69">
        <w:rPr>
          <w:rFonts w:ascii="Book Antiqua" w:eastAsia="Times New Roman" w:hAnsi="Book Antiqua" w:cs="Times New Roman"/>
          <w:color w:val="333333"/>
          <w:sz w:val="19"/>
          <w:szCs w:val="19"/>
          <w:lang w:eastAsia="pt-BR"/>
        </w:rPr>
        <w:t>. Este Protocolo visa assegurar um nível adequado de proteção no campo da transferência, da manipulação e do uso seguros dos organismos vivos modificados (</w:t>
      </w:r>
      <w:proofErr w:type="spellStart"/>
      <w:r w:rsidRPr="00EB2A69">
        <w:rPr>
          <w:rFonts w:ascii="Book Antiqua" w:eastAsia="Times New Roman" w:hAnsi="Book Antiqua" w:cs="Times New Roman"/>
          <w:color w:val="333333"/>
          <w:sz w:val="19"/>
          <w:szCs w:val="19"/>
          <w:lang w:eastAsia="pt-BR"/>
        </w:rPr>
        <w:t>OVMs</w:t>
      </w:r>
      <w:proofErr w:type="spellEnd"/>
      <w:r w:rsidRPr="00EB2A69">
        <w:rPr>
          <w:rFonts w:ascii="Book Antiqua" w:eastAsia="Times New Roman" w:hAnsi="Book Antiqua" w:cs="Times New Roman"/>
          <w:color w:val="333333"/>
          <w:sz w:val="19"/>
          <w:szCs w:val="19"/>
          <w:lang w:eastAsia="pt-BR"/>
        </w:rPr>
        <w:t>) resultantes da biotecnologia moderna que possam ter efeitos adversos na conservação e no uso sustentável da diversidade biológica, levando em conta os riscos para a saúde humana, decorrentes do movimento transfronteiriço.</w:t>
      </w:r>
      <w:r w:rsidR="00097464">
        <w:rPr>
          <w:rFonts w:ascii="Book Antiqua" w:eastAsia="Times New Roman" w:hAnsi="Book Antiqua" w:cs="Times New Roman"/>
          <w:color w:val="333333"/>
          <w:sz w:val="19"/>
          <w:szCs w:val="19"/>
          <w:lang w:eastAsia="pt-BR"/>
        </w:rPr>
        <w:t xml:space="preserve"> </w:t>
      </w:r>
      <w:r w:rsidR="00097464" w:rsidRPr="00034292">
        <w:rPr>
          <w:rFonts w:ascii="Book Antiqua" w:eastAsia="Times New Roman" w:hAnsi="Book Antiqua" w:cs="Times New Roman"/>
          <w:b/>
          <w:bCs/>
          <w:color w:val="FF0000"/>
          <w:sz w:val="16"/>
          <w:szCs w:val="16"/>
          <w:u w:val="single"/>
          <w:lang w:eastAsia="pt-BR"/>
        </w:rPr>
        <w:t>(T</w:t>
      </w:r>
      <w:r w:rsidR="00097464">
        <w:rPr>
          <w:rFonts w:ascii="Book Antiqua" w:eastAsia="Times New Roman" w:hAnsi="Book Antiqua" w:cs="Times New Roman"/>
          <w:b/>
          <w:bCs/>
          <w:color w:val="FF0000"/>
          <w:sz w:val="16"/>
          <w:szCs w:val="16"/>
          <w:u w:val="single"/>
          <w:lang w:eastAsia="pt-BR"/>
        </w:rPr>
        <w:t>RF2-2009</w:t>
      </w:r>
      <w:r w:rsidR="00097464" w:rsidRPr="0003429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B2A69" w14:paraId="3300B87B" w14:textId="77777777" w:rsidTr="00EB2A69">
        <w:tc>
          <w:tcPr>
            <w:tcW w:w="8494" w:type="dxa"/>
            <w:shd w:val="clear" w:color="auto" w:fill="CCFFFF"/>
          </w:tcPr>
          <w:p w14:paraId="1DE9F24A" w14:textId="6AF38663" w:rsidR="00EB2A69" w:rsidRPr="00EB2A69" w:rsidRDefault="00EB2A69" w:rsidP="00EB2A69">
            <w:pPr>
              <w:spacing w:before="100" w:beforeAutospacing="1" w:after="100" w:afterAutospacing="1"/>
              <w:jc w:val="both"/>
              <w:rPr>
                <w:rFonts w:ascii="Book Antiqua" w:eastAsia="Times New Roman" w:hAnsi="Book Antiqua" w:cs="Times New Roman"/>
                <w:b/>
                <w:bCs/>
                <w:color w:val="333333"/>
                <w:sz w:val="19"/>
                <w:szCs w:val="19"/>
                <w:lang w:eastAsia="pt-BR"/>
              </w:rPr>
            </w:pPr>
            <w:r>
              <w:rPr>
                <w:rFonts w:ascii="Book Antiqua" w:eastAsia="Times New Roman" w:hAnsi="Book Antiqua" w:cs="Times New Roman"/>
                <w:b/>
                <w:bCs/>
                <w:color w:val="333333"/>
                <w:sz w:val="19"/>
                <w:szCs w:val="19"/>
                <w:lang w:eastAsia="pt-BR"/>
              </w:rPr>
              <w:t>(</w:t>
            </w:r>
            <w:r w:rsidRPr="00EB2A69">
              <w:rPr>
                <w:rFonts w:ascii="Book Antiqua" w:eastAsia="Times New Roman" w:hAnsi="Book Antiqua" w:cs="Times New Roman"/>
                <w:b/>
                <w:bCs/>
                <w:color w:val="333333"/>
                <w:sz w:val="19"/>
                <w:szCs w:val="19"/>
                <w:highlight w:val="yellow"/>
                <w:lang w:eastAsia="pt-BR"/>
              </w:rPr>
              <w:t>TRF2-2009-CESPE</w:t>
            </w:r>
            <w:r>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EB2A69">
              <w:rPr>
                <w:rFonts w:ascii="Book Antiqua" w:eastAsia="Times New Roman" w:hAnsi="Book Antiqua" w:cs="Times New Roman"/>
                <w:color w:val="333333"/>
                <w:sz w:val="19"/>
                <w:szCs w:val="19"/>
                <w:lang w:eastAsia="pt-BR"/>
              </w:rPr>
              <w:t>O Protocolo de Cartagena sobre Biossegurança, exigido pela Convenção sobre Diversidade Biológica (CDB), celebrado em janeiro de 2000,</w:t>
            </w:r>
            <w:r>
              <w:rPr>
                <w:rFonts w:ascii="Book Antiqua" w:eastAsia="Times New Roman" w:hAnsi="Book Antiqua" w:cs="Times New Roman"/>
                <w:color w:val="333333"/>
                <w:sz w:val="19"/>
                <w:szCs w:val="19"/>
                <w:lang w:eastAsia="pt-BR"/>
              </w:rPr>
              <w:t xml:space="preserve"> </w:t>
            </w:r>
            <w:r w:rsidRPr="00EB2A69">
              <w:rPr>
                <w:rFonts w:ascii="Book Antiqua" w:eastAsia="Times New Roman" w:hAnsi="Book Antiqua" w:cs="Times New Roman"/>
                <w:color w:val="333333"/>
                <w:sz w:val="19"/>
                <w:szCs w:val="19"/>
                <w:lang w:eastAsia="pt-BR"/>
              </w:rPr>
              <w:t>visa contribuir para assegurar nível adequado de proteção no campo da transferência, da manipulação e do uso seguros dos organismos vivos modificados resultantes da biotecnologia moderna que possam ter efeitos adversos na conservação e no uso sustentável da diversidade biológica.</w:t>
            </w:r>
            <w:r>
              <w:rPr>
                <w:rFonts w:ascii="Book Antiqua" w:eastAsia="Times New Roman" w:hAnsi="Book Antiqua" w:cs="Times New Roman"/>
                <w:color w:val="333333"/>
                <w:sz w:val="19"/>
                <w:szCs w:val="19"/>
                <w:lang w:eastAsia="pt-BR"/>
              </w:rPr>
              <w:t xml:space="preserve"> </w:t>
            </w:r>
          </w:p>
        </w:tc>
      </w:tr>
    </w:tbl>
    <w:p w14:paraId="1A92BFCC"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O Protocolo entrou em vigor em 11 de setembro de 2003, noventa dias após a entrega do 50º instrumento de ratificação. Até junho de 2006, 132 instrumentos de ratificação já haviam sido depositados na Secretaria Geral das Nações Unidas. A listagem de países partes do Protocolo pode ser obtida no site oficial da CDB pelo link: </w:t>
      </w:r>
      <w:hyperlink r:id="rId6" w:tgtFrame="_blank" w:history="1">
        <w:r w:rsidRPr="00EB2A69">
          <w:rPr>
            <w:rFonts w:ascii="Book Antiqua" w:eastAsia="Times New Roman" w:hAnsi="Book Antiqua" w:cs="Times New Roman"/>
            <w:color w:val="0088CC"/>
            <w:sz w:val="19"/>
            <w:szCs w:val="19"/>
            <w:lang w:eastAsia="pt-BR"/>
          </w:rPr>
          <w:t>http://www.biodiv.org/biosafety/signinglist.aspx?sts=rtf&amp;ord=dt</w:t>
        </w:r>
      </w:hyperlink>
    </w:p>
    <w:p w14:paraId="0AD4C43D"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A adoção do Protocolo pelos Países-Partes da Convenção constitui-se em um importante passo para a criação de um marco normativo internacional que leva em consideração as necessidades de proteção do meio ambiente e da saúde humana e da promoção do comércio internacional. Cria uma instância internacional para discutir os procedimentos que deverão nortear a introdução de organismos vivos modificados em seus territórios e estabelece procedimento para um acordo de aviso prévio para assegurar que os países tenham as informações necessárias para tomar decisões conscientes antes de aceitarem a importação de organismos geneticamente modificados (</w:t>
      </w:r>
      <w:proofErr w:type="spellStart"/>
      <w:r w:rsidRPr="00EB2A69">
        <w:rPr>
          <w:rFonts w:ascii="Book Antiqua" w:eastAsia="Times New Roman" w:hAnsi="Book Antiqua" w:cs="Times New Roman"/>
          <w:color w:val="333333"/>
          <w:sz w:val="19"/>
          <w:szCs w:val="19"/>
          <w:lang w:eastAsia="pt-BR"/>
        </w:rPr>
        <w:t>OGMs</w:t>
      </w:r>
      <w:proofErr w:type="spellEnd"/>
      <w:r w:rsidRPr="00EB2A69">
        <w:rPr>
          <w:rFonts w:ascii="Book Antiqua" w:eastAsia="Times New Roman" w:hAnsi="Book Antiqua" w:cs="Times New Roman"/>
          <w:color w:val="333333"/>
          <w:sz w:val="19"/>
          <w:szCs w:val="19"/>
          <w:lang w:eastAsia="pt-BR"/>
        </w:rPr>
        <w:t xml:space="preserve">) para seu </w:t>
      </w:r>
      <w:proofErr w:type="gramStart"/>
      <w:r w:rsidRPr="00EB2A69">
        <w:rPr>
          <w:rFonts w:ascii="Book Antiqua" w:eastAsia="Times New Roman" w:hAnsi="Book Antiqua" w:cs="Times New Roman"/>
          <w:color w:val="333333"/>
          <w:sz w:val="19"/>
          <w:szCs w:val="19"/>
          <w:lang w:eastAsia="pt-BR"/>
        </w:rPr>
        <w:t>território..</w:t>
      </w:r>
      <w:proofErr w:type="gramEnd"/>
      <w:r w:rsidRPr="00EB2A69">
        <w:rPr>
          <w:rFonts w:ascii="Book Antiqua" w:eastAsia="Times New Roman" w:hAnsi="Book Antiqua" w:cs="Times New Roman"/>
          <w:color w:val="333333"/>
          <w:sz w:val="19"/>
          <w:szCs w:val="19"/>
          <w:lang w:eastAsia="pt-BR"/>
        </w:rPr>
        <w:t xml:space="preserve"> Neste contexto, cabe salientar que o Protocolo incorpora em artigos operativos o Princípio da Precaução, um dos pilares mais importantes desse instrumento e que deve nortear as ações políticas e administrativas dos governos.</w:t>
      </w:r>
    </w:p>
    <w:p w14:paraId="1F791B73"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O Protocolo também estabelece um Mecanismo de Facilitação em Biossegurança (</w:t>
      </w:r>
      <w:proofErr w:type="spellStart"/>
      <w:r w:rsidRPr="00EB2A69">
        <w:rPr>
          <w:rFonts w:ascii="Book Antiqua" w:eastAsia="Times New Roman" w:hAnsi="Book Antiqua" w:cs="Times New Roman"/>
          <w:color w:val="333333"/>
          <w:sz w:val="19"/>
          <w:szCs w:val="19"/>
          <w:lang w:eastAsia="pt-BR"/>
        </w:rPr>
        <w:fldChar w:fldCharType="begin"/>
      </w:r>
      <w:r w:rsidRPr="00EB2A69">
        <w:rPr>
          <w:rFonts w:ascii="Book Antiqua" w:eastAsia="Times New Roman" w:hAnsi="Book Antiqua" w:cs="Times New Roman"/>
          <w:color w:val="333333"/>
          <w:sz w:val="19"/>
          <w:szCs w:val="19"/>
          <w:lang w:eastAsia="pt-BR"/>
        </w:rPr>
        <w:instrText xml:space="preserve"> HYPERLINK "http://bch.biodiv.org/" \t "_blank" </w:instrText>
      </w:r>
      <w:r w:rsidRPr="00EB2A69">
        <w:rPr>
          <w:rFonts w:ascii="Book Antiqua" w:eastAsia="Times New Roman" w:hAnsi="Book Antiqua" w:cs="Times New Roman"/>
          <w:color w:val="333333"/>
          <w:sz w:val="19"/>
          <w:szCs w:val="19"/>
          <w:lang w:eastAsia="pt-BR"/>
        </w:rPr>
      </w:r>
      <w:r w:rsidRPr="00EB2A69">
        <w:rPr>
          <w:rFonts w:ascii="Book Antiqua" w:eastAsia="Times New Roman" w:hAnsi="Book Antiqua" w:cs="Times New Roman"/>
          <w:color w:val="333333"/>
          <w:sz w:val="19"/>
          <w:szCs w:val="19"/>
          <w:lang w:eastAsia="pt-BR"/>
        </w:rPr>
        <w:fldChar w:fldCharType="separate"/>
      </w:r>
      <w:r w:rsidRPr="00EB2A69">
        <w:rPr>
          <w:rFonts w:ascii="Book Antiqua" w:eastAsia="Times New Roman" w:hAnsi="Book Antiqua" w:cs="Times New Roman"/>
          <w:color w:val="0088CC"/>
          <w:sz w:val="19"/>
          <w:szCs w:val="19"/>
          <w:lang w:eastAsia="pt-BR"/>
        </w:rPr>
        <w:t>Biosafety</w:t>
      </w:r>
      <w:proofErr w:type="spellEnd"/>
      <w:r w:rsidRPr="00EB2A69">
        <w:rPr>
          <w:rFonts w:ascii="Book Antiqua" w:eastAsia="Times New Roman" w:hAnsi="Book Antiqua" w:cs="Times New Roman"/>
          <w:color w:val="0088CC"/>
          <w:sz w:val="19"/>
          <w:szCs w:val="19"/>
          <w:lang w:eastAsia="pt-BR"/>
        </w:rPr>
        <w:t xml:space="preserve"> Clearing-</w:t>
      </w:r>
      <w:proofErr w:type="spellStart"/>
      <w:r w:rsidRPr="00EB2A69">
        <w:rPr>
          <w:rFonts w:ascii="Book Antiqua" w:eastAsia="Times New Roman" w:hAnsi="Book Antiqua" w:cs="Times New Roman"/>
          <w:color w:val="0088CC"/>
          <w:sz w:val="19"/>
          <w:szCs w:val="19"/>
          <w:lang w:eastAsia="pt-BR"/>
        </w:rPr>
        <w:t>House</w:t>
      </w:r>
      <w:proofErr w:type="spellEnd"/>
      <w:r w:rsidRPr="00EB2A69">
        <w:rPr>
          <w:rFonts w:ascii="Book Antiqua" w:eastAsia="Times New Roman" w:hAnsi="Book Antiqua" w:cs="Times New Roman"/>
          <w:color w:val="333333"/>
          <w:sz w:val="19"/>
          <w:szCs w:val="19"/>
          <w:lang w:eastAsia="pt-BR"/>
        </w:rPr>
        <w:fldChar w:fldCharType="end"/>
      </w:r>
      <w:r w:rsidRPr="00EB2A69">
        <w:rPr>
          <w:rFonts w:ascii="Book Antiqua" w:eastAsia="Times New Roman" w:hAnsi="Book Antiqua" w:cs="Times New Roman"/>
          <w:color w:val="333333"/>
          <w:sz w:val="19"/>
          <w:szCs w:val="19"/>
          <w:lang w:eastAsia="pt-BR"/>
        </w:rPr>
        <w:t xml:space="preserve">) para facilitar a troca de informação sobre </w:t>
      </w:r>
      <w:proofErr w:type="spellStart"/>
      <w:r w:rsidRPr="00EB2A69">
        <w:rPr>
          <w:rFonts w:ascii="Book Antiqua" w:eastAsia="Times New Roman" w:hAnsi="Book Antiqua" w:cs="Times New Roman"/>
          <w:color w:val="333333"/>
          <w:sz w:val="19"/>
          <w:szCs w:val="19"/>
          <w:lang w:eastAsia="pt-BR"/>
        </w:rPr>
        <w:t>OGMs</w:t>
      </w:r>
      <w:proofErr w:type="spellEnd"/>
      <w:r w:rsidRPr="00EB2A69">
        <w:rPr>
          <w:rFonts w:ascii="Book Antiqua" w:eastAsia="Times New Roman" w:hAnsi="Book Antiqua" w:cs="Times New Roman"/>
          <w:color w:val="333333"/>
          <w:sz w:val="19"/>
          <w:szCs w:val="19"/>
          <w:lang w:eastAsia="pt-BR"/>
        </w:rPr>
        <w:t xml:space="preserve"> e para dar suporte aos países quanto à implementação do Protocolo.</w:t>
      </w:r>
    </w:p>
    <w:p w14:paraId="041EC29A"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Dessa maneira, o Protocolo reflete o equilíbrio entre a necessária proteção da biodiversidade e a defesa do fluxo comercial dos </w:t>
      </w:r>
      <w:proofErr w:type="spellStart"/>
      <w:r w:rsidRPr="00EB2A69">
        <w:rPr>
          <w:rFonts w:ascii="Book Antiqua" w:eastAsia="Times New Roman" w:hAnsi="Book Antiqua" w:cs="Times New Roman"/>
          <w:color w:val="333333"/>
          <w:sz w:val="19"/>
          <w:szCs w:val="19"/>
          <w:lang w:eastAsia="pt-BR"/>
        </w:rPr>
        <w:t>OGMs</w:t>
      </w:r>
      <w:proofErr w:type="spellEnd"/>
      <w:r w:rsidRPr="00EB2A69">
        <w:rPr>
          <w:rFonts w:ascii="Book Antiqua" w:eastAsia="Times New Roman" w:hAnsi="Book Antiqua" w:cs="Times New Roman"/>
          <w:color w:val="333333"/>
          <w:sz w:val="19"/>
          <w:szCs w:val="19"/>
          <w:lang w:eastAsia="pt-BR"/>
        </w:rPr>
        <w:t>. Será um instrumento essencial para a regulação do comércio internacional de produtos transgênicos em bases seguras. Trata-se, portanto, de um instrumento de direito internacional que tem por objetivo proteger os direitos humanos fundamentais, tais como a saúde humana, a biodiversidade e o equilíbrio ecológico do meio ambiente, sem os quais ficam prejudicados os direitos à dignidade, à qualidade de vida, e à própria vida, direitos consagrados pela Declaração Universal dos Direitos Humanos da Organização das Nações Unidas, de 1948.</w:t>
      </w:r>
    </w:p>
    <w:p w14:paraId="2B1C4DC9"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Reunião das Partes do Protocolo de Cartagena sobre Biossegurança</w:t>
      </w:r>
    </w:p>
    <w:p w14:paraId="77E0E890"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MOP (Meeting </w:t>
      </w:r>
      <w:proofErr w:type="spellStart"/>
      <w:r w:rsidRPr="00EB2A69">
        <w:rPr>
          <w:rFonts w:ascii="Book Antiqua" w:eastAsia="Times New Roman" w:hAnsi="Book Antiqua" w:cs="Times New Roman"/>
          <w:color w:val="333333"/>
          <w:sz w:val="19"/>
          <w:szCs w:val="19"/>
          <w:lang w:eastAsia="pt-BR"/>
        </w:rPr>
        <w:t>of</w:t>
      </w:r>
      <w:proofErr w:type="spellEnd"/>
      <w:r w:rsidRPr="00EB2A69">
        <w:rPr>
          <w:rFonts w:ascii="Book Antiqua" w:eastAsia="Times New Roman" w:hAnsi="Book Antiqua" w:cs="Times New Roman"/>
          <w:color w:val="333333"/>
          <w:sz w:val="19"/>
          <w:szCs w:val="19"/>
          <w:lang w:eastAsia="pt-BR"/>
        </w:rPr>
        <w:t xml:space="preserve"> </w:t>
      </w:r>
      <w:proofErr w:type="spellStart"/>
      <w:r w:rsidRPr="00EB2A69">
        <w:rPr>
          <w:rFonts w:ascii="Book Antiqua" w:eastAsia="Times New Roman" w:hAnsi="Book Antiqua" w:cs="Times New Roman"/>
          <w:color w:val="333333"/>
          <w:sz w:val="19"/>
          <w:szCs w:val="19"/>
          <w:lang w:eastAsia="pt-BR"/>
        </w:rPr>
        <w:t>Parties</w:t>
      </w:r>
      <w:proofErr w:type="spellEnd"/>
      <w:r w:rsidRPr="00EB2A69">
        <w:rPr>
          <w:rFonts w:ascii="Book Antiqua" w:eastAsia="Times New Roman" w:hAnsi="Book Antiqua" w:cs="Times New Roman"/>
          <w:color w:val="333333"/>
          <w:sz w:val="19"/>
          <w:szCs w:val="19"/>
          <w:lang w:eastAsia="pt-BR"/>
        </w:rPr>
        <w:t>) é a sigla utilizada, no âmbito da CDB, para designar a Reunião das Partes, ou seja, Reunião dos Países Membros do Protocolo de Cartagena sobre Biossegurança. Nessas reuniões, os representantes dos Países Membros analisam documentos e tomam decisões sobre as medidas necessárias à implementação e ao cumprimento do Protocolo.</w:t>
      </w:r>
    </w:p>
    <w:p w14:paraId="0A46E6A2"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As Partes do Protocolo já se reuniram por três vezes:</w:t>
      </w:r>
    </w:p>
    <w:p w14:paraId="5D0A9450" w14:textId="77777777" w:rsidR="0087470D" w:rsidRPr="00EB2A69" w:rsidRDefault="00000000" w:rsidP="00EB2A69">
      <w:pPr>
        <w:numPr>
          <w:ilvl w:val="0"/>
          <w:numId w:val="2"/>
        </w:numPr>
        <w:spacing w:before="100" w:beforeAutospacing="1" w:after="100" w:afterAutospacing="1" w:line="240" w:lineRule="auto"/>
        <w:ind w:left="375"/>
        <w:jc w:val="both"/>
        <w:rPr>
          <w:rFonts w:ascii="Book Antiqua" w:eastAsia="Times New Roman" w:hAnsi="Book Antiqua" w:cs="Times New Roman"/>
          <w:color w:val="333333"/>
          <w:sz w:val="19"/>
          <w:szCs w:val="19"/>
          <w:lang w:eastAsia="pt-BR"/>
        </w:rPr>
      </w:pPr>
      <w:hyperlink r:id="rId7" w:tgtFrame="_blank" w:history="1">
        <w:r w:rsidR="0087470D" w:rsidRPr="00EB2A69">
          <w:rPr>
            <w:rFonts w:ascii="Book Antiqua" w:eastAsia="Times New Roman" w:hAnsi="Book Antiqua" w:cs="Times New Roman"/>
            <w:color w:val="0088CC"/>
            <w:sz w:val="19"/>
            <w:szCs w:val="19"/>
            <w:lang w:eastAsia="pt-BR"/>
          </w:rPr>
          <w:t>MOP-1</w:t>
        </w:r>
      </w:hyperlink>
      <w:r w:rsidR="0087470D" w:rsidRPr="00EB2A69">
        <w:rPr>
          <w:rFonts w:ascii="Book Antiqua" w:eastAsia="Times New Roman" w:hAnsi="Book Antiqua" w:cs="Times New Roman"/>
          <w:color w:val="333333"/>
          <w:sz w:val="19"/>
          <w:szCs w:val="19"/>
          <w:lang w:eastAsia="pt-BR"/>
        </w:rPr>
        <w:t xml:space="preserve">, realizada em Kuala </w:t>
      </w:r>
      <w:proofErr w:type="spellStart"/>
      <w:r w:rsidR="0087470D" w:rsidRPr="00EB2A69">
        <w:rPr>
          <w:rFonts w:ascii="Book Antiqua" w:eastAsia="Times New Roman" w:hAnsi="Book Antiqua" w:cs="Times New Roman"/>
          <w:color w:val="333333"/>
          <w:sz w:val="19"/>
          <w:szCs w:val="19"/>
          <w:lang w:eastAsia="pt-BR"/>
        </w:rPr>
        <w:t>Lampur</w:t>
      </w:r>
      <w:proofErr w:type="spellEnd"/>
      <w:r w:rsidR="0087470D" w:rsidRPr="00EB2A69">
        <w:rPr>
          <w:rFonts w:ascii="Book Antiqua" w:eastAsia="Times New Roman" w:hAnsi="Book Antiqua" w:cs="Times New Roman"/>
          <w:color w:val="333333"/>
          <w:sz w:val="19"/>
          <w:szCs w:val="19"/>
          <w:lang w:eastAsia="pt-BR"/>
        </w:rPr>
        <w:t>, Malásia, de 23 a 27 de fevereiro de 2004;</w:t>
      </w:r>
    </w:p>
    <w:p w14:paraId="79E8BB7E" w14:textId="77777777" w:rsidR="0087470D" w:rsidRPr="00EB2A69" w:rsidRDefault="00000000" w:rsidP="00EB2A69">
      <w:pPr>
        <w:numPr>
          <w:ilvl w:val="0"/>
          <w:numId w:val="2"/>
        </w:numPr>
        <w:spacing w:before="100" w:beforeAutospacing="1" w:after="100" w:afterAutospacing="1" w:line="240" w:lineRule="auto"/>
        <w:ind w:left="375"/>
        <w:jc w:val="both"/>
        <w:rPr>
          <w:rFonts w:ascii="Book Antiqua" w:eastAsia="Times New Roman" w:hAnsi="Book Antiqua" w:cs="Times New Roman"/>
          <w:color w:val="333333"/>
          <w:sz w:val="19"/>
          <w:szCs w:val="19"/>
          <w:lang w:eastAsia="pt-BR"/>
        </w:rPr>
      </w:pPr>
      <w:hyperlink r:id="rId8" w:tgtFrame="_blank" w:history="1">
        <w:r w:rsidR="0087470D" w:rsidRPr="00EB2A69">
          <w:rPr>
            <w:rFonts w:ascii="Book Antiqua" w:eastAsia="Times New Roman" w:hAnsi="Book Antiqua" w:cs="Times New Roman"/>
            <w:color w:val="0088CC"/>
            <w:sz w:val="19"/>
            <w:szCs w:val="19"/>
            <w:lang w:eastAsia="pt-BR"/>
          </w:rPr>
          <w:t>MPO-2</w:t>
        </w:r>
      </w:hyperlink>
      <w:r w:rsidR="0087470D" w:rsidRPr="00EB2A69">
        <w:rPr>
          <w:rFonts w:ascii="Book Antiqua" w:eastAsia="Times New Roman" w:hAnsi="Book Antiqua" w:cs="Times New Roman"/>
          <w:color w:val="333333"/>
          <w:sz w:val="19"/>
          <w:szCs w:val="19"/>
          <w:lang w:eastAsia="pt-BR"/>
        </w:rPr>
        <w:t>, realizada em Montreal, Canadá, de 30 de maio a 3 de junho de 2005;</w:t>
      </w:r>
    </w:p>
    <w:p w14:paraId="706DC955" w14:textId="77777777" w:rsidR="0087470D" w:rsidRPr="00EB2A69" w:rsidRDefault="00000000" w:rsidP="00EB2A69">
      <w:pPr>
        <w:numPr>
          <w:ilvl w:val="0"/>
          <w:numId w:val="2"/>
        </w:numPr>
        <w:spacing w:before="100" w:beforeAutospacing="1" w:after="100" w:afterAutospacing="1" w:line="240" w:lineRule="auto"/>
        <w:ind w:left="375"/>
        <w:jc w:val="both"/>
        <w:rPr>
          <w:rFonts w:ascii="Book Antiqua" w:eastAsia="Times New Roman" w:hAnsi="Book Antiqua" w:cs="Times New Roman"/>
          <w:color w:val="333333"/>
          <w:sz w:val="19"/>
          <w:szCs w:val="19"/>
          <w:lang w:eastAsia="pt-BR"/>
        </w:rPr>
      </w:pPr>
      <w:hyperlink r:id="rId9" w:tgtFrame="_blank" w:history="1">
        <w:r w:rsidR="0087470D" w:rsidRPr="00EB2A69">
          <w:rPr>
            <w:rFonts w:ascii="Book Antiqua" w:eastAsia="Times New Roman" w:hAnsi="Book Antiqua" w:cs="Times New Roman"/>
            <w:color w:val="0088CC"/>
            <w:sz w:val="19"/>
            <w:szCs w:val="19"/>
            <w:lang w:eastAsia="pt-BR"/>
          </w:rPr>
          <w:t>MOP-3</w:t>
        </w:r>
      </w:hyperlink>
      <w:r w:rsidR="0087470D" w:rsidRPr="00EB2A69">
        <w:rPr>
          <w:rFonts w:ascii="Book Antiqua" w:eastAsia="Times New Roman" w:hAnsi="Book Antiqua" w:cs="Times New Roman"/>
          <w:color w:val="333333"/>
          <w:sz w:val="19"/>
          <w:szCs w:val="19"/>
          <w:lang w:eastAsia="pt-BR"/>
        </w:rPr>
        <w:t>, realizada no Brasil, Curitiba, de 13 a 17 de março de 2006.</w:t>
      </w:r>
    </w:p>
    <w:p w14:paraId="3ED1A5C2"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As decisões tomadas pelas Partes durante as </w:t>
      </w:r>
      <w:proofErr w:type="spellStart"/>
      <w:r w:rsidRPr="00EB2A69">
        <w:rPr>
          <w:rFonts w:ascii="Book Antiqua" w:eastAsia="Times New Roman" w:hAnsi="Book Antiqua" w:cs="Times New Roman"/>
          <w:color w:val="333333"/>
          <w:sz w:val="19"/>
          <w:szCs w:val="19"/>
          <w:lang w:eastAsia="pt-BR"/>
        </w:rPr>
        <w:t>MOPs</w:t>
      </w:r>
      <w:proofErr w:type="spellEnd"/>
      <w:r w:rsidRPr="00EB2A69">
        <w:rPr>
          <w:rFonts w:ascii="Book Antiqua" w:eastAsia="Times New Roman" w:hAnsi="Book Antiqua" w:cs="Times New Roman"/>
          <w:color w:val="333333"/>
          <w:sz w:val="19"/>
          <w:szCs w:val="19"/>
          <w:lang w:eastAsia="pt-BR"/>
        </w:rPr>
        <w:t xml:space="preserve"> podem ser obtidas em espanhol nos seguintes links: </w:t>
      </w:r>
      <w:hyperlink r:id="rId10" w:tgtFrame="_blank" w:history="1">
        <w:r w:rsidRPr="00EB2A69">
          <w:rPr>
            <w:rFonts w:ascii="Book Antiqua" w:eastAsia="Times New Roman" w:hAnsi="Book Antiqua" w:cs="Times New Roman"/>
            <w:color w:val="0088CC"/>
            <w:sz w:val="19"/>
            <w:szCs w:val="19"/>
            <w:lang w:eastAsia="pt-BR"/>
          </w:rPr>
          <w:t>MOP1</w:t>
        </w:r>
      </w:hyperlink>
      <w:r w:rsidRPr="00EB2A69">
        <w:rPr>
          <w:rFonts w:ascii="Book Antiqua" w:eastAsia="Times New Roman" w:hAnsi="Book Antiqua" w:cs="Times New Roman"/>
          <w:color w:val="333333"/>
          <w:sz w:val="19"/>
          <w:szCs w:val="19"/>
          <w:lang w:eastAsia="pt-BR"/>
        </w:rPr>
        <w:t xml:space="preserve">, </w:t>
      </w:r>
      <w:hyperlink r:id="rId11" w:tgtFrame="_blank" w:history="1">
        <w:r w:rsidRPr="00EB2A69">
          <w:rPr>
            <w:rFonts w:ascii="Book Antiqua" w:eastAsia="Times New Roman" w:hAnsi="Book Antiqua" w:cs="Times New Roman"/>
            <w:color w:val="0088CC"/>
            <w:sz w:val="19"/>
            <w:szCs w:val="19"/>
            <w:lang w:eastAsia="pt-BR"/>
          </w:rPr>
          <w:t>MOP2</w:t>
        </w:r>
      </w:hyperlink>
      <w:r w:rsidRPr="00EB2A69">
        <w:rPr>
          <w:rFonts w:ascii="Book Antiqua" w:eastAsia="Times New Roman" w:hAnsi="Book Antiqua" w:cs="Times New Roman"/>
          <w:color w:val="333333"/>
          <w:sz w:val="19"/>
          <w:szCs w:val="19"/>
          <w:lang w:eastAsia="pt-BR"/>
        </w:rPr>
        <w:t xml:space="preserve">, </w:t>
      </w:r>
      <w:hyperlink r:id="rId12" w:tgtFrame="_blank" w:history="1">
        <w:r w:rsidRPr="00EB2A69">
          <w:rPr>
            <w:rFonts w:ascii="Book Antiqua" w:eastAsia="Times New Roman" w:hAnsi="Book Antiqua" w:cs="Times New Roman"/>
            <w:color w:val="0088CC"/>
            <w:sz w:val="19"/>
            <w:szCs w:val="19"/>
            <w:lang w:eastAsia="pt-BR"/>
          </w:rPr>
          <w:t>MOP3</w:t>
        </w:r>
      </w:hyperlink>
      <w:r w:rsidRPr="00EB2A69">
        <w:rPr>
          <w:rFonts w:ascii="Book Antiqua" w:eastAsia="Times New Roman" w:hAnsi="Book Antiqua" w:cs="Times New Roman"/>
          <w:color w:val="333333"/>
          <w:sz w:val="19"/>
          <w:szCs w:val="19"/>
          <w:lang w:eastAsia="pt-BR"/>
        </w:rPr>
        <w:t>.</w:t>
      </w:r>
    </w:p>
    <w:p w14:paraId="0BD0E244" w14:textId="77777777" w:rsidR="0087470D" w:rsidRPr="00EB2A69" w:rsidRDefault="0087470D" w:rsidP="00EB2A69">
      <w:pPr>
        <w:spacing w:before="100" w:beforeAutospacing="1" w:after="100" w:afterAutospacing="1" w:line="240" w:lineRule="auto"/>
        <w:jc w:val="both"/>
        <w:rPr>
          <w:rFonts w:ascii="Book Antiqua" w:eastAsia="Times New Roman" w:hAnsi="Book Antiqua" w:cs="Times New Roman"/>
          <w:color w:val="333333"/>
          <w:sz w:val="19"/>
          <w:szCs w:val="19"/>
          <w:lang w:eastAsia="pt-BR"/>
        </w:rPr>
      </w:pPr>
      <w:r w:rsidRPr="00EB2A69">
        <w:rPr>
          <w:rFonts w:ascii="Book Antiqua" w:eastAsia="Times New Roman" w:hAnsi="Book Antiqua" w:cs="Times New Roman"/>
          <w:color w:val="333333"/>
          <w:sz w:val="19"/>
          <w:szCs w:val="19"/>
          <w:lang w:eastAsia="pt-BR"/>
        </w:rPr>
        <w:t xml:space="preserve">Mais informações sobre biossegurança no </w:t>
      </w:r>
      <w:hyperlink r:id="rId13" w:tgtFrame="_blank" w:history="1">
        <w:r w:rsidRPr="00EB2A69">
          <w:rPr>
            <w:rFonts w:ascii="Book Antiqua" w:eastAsia="Times New Roman" w:hAnsi="Book Antiqua" w:cs="Times New Roman"/>
            <w:color w:val="0088CC"/>
            <w:sz w:val="19"/>
            <w:szCs w:val="19"/>
            <w:lang w:eastAsia="pt-BR"/>
          </w:rPr>
          <w:t>site oficial da CDB</w:t>
        </w:r>
      </w:hyperlink>
      <w:r w:rsidRPr="00EB2A69">
        <w:rPr>
          <w:rFonts w:ascii="Book Antiqua" w:eastAsia="Times New Roman" w:hAnsi="Book Antiqua" w:cs="Times New Roman"/>
          <w:color w:val="333333"/>
          <w:sz w:val="19"/>
          <w:szCs w:val="19"/>
          <w:lang w:eastAsia="pt-BR"/>
        </w:rPr>
        <w:t xml:space="preserve"> e do </w:t>
      </w:r>
      <w:hyperlink r:id="rId14" w:history="1">
        <w:r w:rsidRPr="00EB2A69">
          <w:rPr>
            <w:rFonts w:ascii="Book Antiqua" w:eastAsia="Times New Roman" w:hAnsi="Book Antiqua" w:cs="Times New Roman"/>
            <w:color w:val="0088CC"/>
            <w:sz w:val="19"/>
            <w:szCs w:val="19"/>
            <w:lang w:eastAsia="pt-BR"/>
          </w:rPr>
          <w:t>MMA</w:t>
        </w:r>
      </w:hyperlink>
      <w:r w:rsidRPr="00EB2A69">
        <w:rPr>
          <w:rFonts w:ascii="Book Antiqua" w:eastAsia="Times New Roman" w:hAnsi="Book Antiqua" w:cs="Times New Roman"/>
          <w:color w:val="333333"/>
          <w:sz w:val="19"/>
          <w:szCs w:val="19"/>
          <w:lang w:eastAsia="pt-BR"/>
        </w:rPr>
        <w:t>.</w:t>
      </w:r>
    </w:p>
    <w:p w14:paraId="6784F58F" w14:textId="77777777" w:rsidR="0095473B" w:rsidRPr="00EB2A69" w:rsidRDefault="0095473B" w:rsidP="00EB2A69">
      <w:pPr>
        <w:spacing w:before="100" w:beforeAutospacing="1" w:after="100" w:afterAutospacing="1" w:line="240" w:lineRule="auto"/>
        <w:rPr>
          <w:rFonts w:ascii="Book Antiqua" w:hAnsi="Book Antiqua" w:cs="Times New Roman"/>
          <w:sz w:val="19"/>
          <w:szCs w:val="19"/>
        </w:rPr>
      </w:pPr>
    </w:p>
    <w:p w14:paraId="72CD6B41" w14:textId="77777777" w:rsidR="0087470D" w:rsidRPr="00EB2A69" w:rsidRDefault="0087470D" w:rsidP="00EB2A69">
      <w:pPr>
        <w:spacing w:before="100" w:beforeAutospacing="1" w:after="100" w:afterAutospacing="1" w:line="240" w:lineRule="auto"/>
        <w:rPr>
          <w:rFonts w:ascii="Book Antiqua" w:hAnsi="Book Antiqua" w:cs="Times New Roman"/>
          <w:b/>
          <w:sz w:val="19"/>
          <w:szCs w:val="19"/>
          <w:u w:val="single"/>
        </w:rPr>
      </w:pPr>
      <w:r w:rsidRPr="00EB2A69">
        <w:rPr>
          <w:rFonts w:ascii="Book Antiqua" w:hAnsi="Book Antiqua" w:cs="Times New Roman"/>
          <w:b/>
          <w:sz w:val="19"/>
          <w:szCs w:val="19"/>
          <w:u w:val="single"/>
        </w:rPr>
        <w:t>QUESTÕES DE CONCURSO:</w:t>
      </w:r>
    </w:p>
    <w:p w14:paraId="4D988390" w14:textId="52C3566D" w:rsidR="0087470D" w:rsidRDefault="0087470D" w:rsidP="00EB2A69">
      <w:pPr>
        <w:spacing w:before="100" w:beforeAutospacing="1" w:after="100" w:afterAutospacing="1" w:line="240" w:lineRule="auto"/>
        <w:jc w:val="both"/>
        <w:rPr>
          <w:rFonts w:ascii="Book Antiqua" w:eastAsia="Times New Roman" w:hAnsi="Book Antiqua" w:cs="Times New Roman"/>
          <w:sz w:val="19"/>
          <w:szCs w:val="19"/>
          <w:lang w:eastAsia="pt-BR"/>
        </w:rPr>
      </w:pPr>
      <w:r w:rsidRPr="00EB2A69">
        <w:rPr>
          <w:rFonts w:ascii="Book Antiqua" w:hAnsi="Book Antiqua" w:cs="Times New Roman"/>
          <w:b/>
          <w:sz w:val="19"/>
          <w:szCs w:val="19"/>
        </w:rPr>
        <w:t>(</w:t>
      </w:r>
      <w:r w:rsidRPr="00EB2A69">
        <w:rPr>
          <w:rFonts w:ascii="Book Antiqua" w:hAnsi="Book Antiqua" w:cs="Times New Roman"/>
          <w:b/>
          <w:sz w:val="19"/>
          <w:szCs w:val="19"/>
          <w:highlight w:val="yellow"/>
        </w:rPr>
        <w:t>TJPB</w:t>
      </w:r>
      <w:r w:rsidR="00102EB8" w:rsidRPr="00EB2A69">
        <w:rPr>
          <w:rFonts w:ascii="Book Antiqua" w:hAnsi="Book Antiqua" w:cs="Times New Roman"/>
          <w:b/>
          <w:sz w:val="19"/>
          <w:szCs w:val="19"/>
          <w:highlight w:val="yellow"/>
        </w:rPr>
        <w:t>-</w:t>
      </w:r>
      <w:r w:rsidRPr="00EB2A69">
        <w:rPr>
          <w:rFonts w:ascii="Book Antiqua" w:hAnsi="Book Antiqua" w:cs="Times New Roman"/>
          <w:b/>
          <w:sz w:val="19"/>
          <w:szCs w:val="19"/>
          <w:highlight w:val="yellow"/>
        </w:rPr>
        <w:t>2015</w:t>
      </w:r>
      <w:r w:rsidR="00102EB8" w:rsidRPr="00EB2A69">
        <w:rPr>
          <w:rFonts w:ascii="Book Antiqua" w:hAnsi="Book Antiqua" w:cs="Times New Roman"/>
          <w:b/>
          <w:sz w:val="19"/>
          <w:szCs w:val="19"/>
          <w:highlight w:val="yellow"/>
        </w:rPr>
        <w:t>-</w:t>
      </w:r>
      <w:r w:rsidRPr="00EB2A69">
        <w:rPr>
          <w:rFonts w:ascii="Book Antiqua" w:hAnsi="Book Antiqua" w:cs="Times New Roman"/>
          <w:b/>
          <w:sz w:val="19"/>
          <w:szCs w:val="19"/>
          <w:highlight w:val="yellow"/>
        </w:rPr>
        <w:t>CESPE</w:t>
      </w:r>
      <w:r w:rsidRPr="00EB2A69">
        <w:rPr>
          <w:rFonts w:ascii="Book Antiqua" w:hAnsi="Book Antiqua" w:cs="Times New Roman"/>
          <w:b/>
          <w:sz w:val="19"/>
          <w:szCs w:val="19"/>
        </w:rPr>
        <w:t>)</w:t>
      </w:r>
      <w:r w:rsidRPr="00EB2A69">
        <w:rPr>
          <w:rFonts w:ascii="Book Antiqua" w:hAnsi="Book Antiqua" w:cs="Times New Roman"/>
          <w:sz w:val="19"/>
          <w:szCs w:val="19"/>
        </w:rPr>
        <w:t xml:space="preserve">: </w:t>
      </w:r>
      <w:r w:rsidR="007D2010" w:rsidRPr="007D2010">
        <w:rPr>
          <w:rFonts w:ascii="Book Antiqua" w:hAnsi="Book Antiqua" w:cs="Times New Roman"/>
          <w:sz w:val="19"/>
          <w:szCs w:val="19"/>
        </w:rPr>
        <w:t xml:space="preserve">Acerca de biossegurança, </w:t>
      </w:r>
      <w:proofErr w:type="spellStart"/>
      <w:r w:rsidR="007D2010" w:rsidRPr="007D2010">
        <w:rPr>
          <w:rFonts w:ascii="Book Antiqua" w:hAnsi="Book Antiqua" w:cs="Times New Roman"/>
          <w:sz w:val="19"/>
          <w:szCs w:val="19"/>
        </w:rPr>
        <w:t>OGMs</w:t>
      </w:r>
      <w:proofErr w:type="spellEnd"/>
      <w:r w:rsidR="007D2010" w:rsidRPr="007D2010">
        <w:rPr>
          <w:rFonts w:ascii="Book Antiqua" w:hAnsi="Book Antiqua" w:cs="Times New Roman"/>
          <w:sz w:val="19"/>
          <w:szCs w:val="19"/>
        </w:rPr>
        <w:t xml:space="preserve"> e responsabilidade ambiental no âmbito do direito ambiental e dos principais instrumentos de proteção internacional, assinale a opção correta:</w:t>
      </w:r>
      <w:r w:rsidR="007D2010">
        <w:rPr>
          <w:rFonts w:ascii="Book Antiqua" w:hAnsi="Book Antiqua" w:cs="Times New Roman"/>
          <w:sz w:val="19"/>
          <w:szCs w:val="19"/>
        </w:rPr>
        <w:t xml:space="preserve"> </w:t>
      </w:r>
      <w:r w:rsidRPr="00EB2A69">
        <w:rPr>
          <w:rFonts w:ascii="Book Antiqua" w:eastAsia="Times New Roman" w:hAnsi="Book Antiqua" w:cs="Times New Roman"/>
          <w:sz w:val="19"/>
          <w:szCs w:val="19"/>
          <w:lang w:eastAsia="pt-BR"/>
        </w:rPr>
        <w:t xml:space="preserve">O Protocolo de Cartagena foi negociado no âmbito da Convenção sobre Diversidade Biológica como um instrumento mais preciso e específico que essa convenção. </w:t>
      </w:r>
    </w:p>
    <w:p w14:paraId="6EFC1B54" w14:textId="6E8D58D0" w:rsidR="00102EB8" w:rsidRPr="007D2010" w:rsidRDefault="007D2010" w:rsidP="007D2010">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#Atenção</w:t>
      </w:r>
      <w:r>
        <w:rPr>
          <w:rFonts w:ascii="Book Antiqua" w:eastAsia="Times New Roman" w:hAnsi="Book Antiqua" w:cs="Times New Roman"/>
          <w:sz w:val="19"/>
          <w:szCs w:val="19"/>
          <w:lang w:eastAsia="pt-BR"/>
        </w:rPr>
        <w:t xml:space="preserve">: </w:t>
      </w:r>
      <w:r w:rsidRPr="007D2010">
        <w:rPr>
          <w:rFonts w:ascii="Book Antiqua" w:eastAsia="Times New Roman" w:hAnsi="Book Antiqua" w:cs="Times New Roman"/>
          <w:sz w:val="19"/>
          <w:szCs w:val="19"/>
          <w:lang w:eastAsia="pt-BR"/>
        </w:rPr>
        <w:t>Em 29 de janeiro de 2000, a Conferência das Partes da Convenção sobre Diversidade Biológica (CDB) adotou seu primeiro acordo suplementar conhecido como Protocolo de Cartagena sobre Biossegurança. Este Protocolo visa assegurar um nível adequado de proteção no campo da transferência, da manipulação e do uso seguros dos organismos vivos modificados (</w:t>
      </w:r>
      <w:proofErr w:type="spellStart"/>
      <w:r w:rsidRPr="007D2010">
        <w:rPr>
          <w:rFonts w:ascii="Book Antiqua" w:eastAsia="Times New Roman" w:hAnsi="Book Antiqua" w:cs="Times New Roman"/>
          <w:sz w:val="19"/>
          <w:szCs w:val="19"/>
          <w:lang w:eastAsia="pt-BR"/>
        </w:rPr>
        <w:t>OVMs</w:t>
      </w:r>
      <w:proofErr w:type="spellEnd"/>
      <w:r w:rsidRPr="007D2010">
        <w:rPr>
          <w:rFonts w:ascii="Book Antiqua" w:eastAsia="Times New Roman" w:hAnsi="Book Antiqua" w:cs="Times New Roman"/>
          <w:sz w:val="19"/>
          <w:szCs w:val="19"/>
          <w:lang w:eastAsia="pt-BR"/>
        </w:rPr>
        <w:t>) resultantes da biotecnologia moderna que possam ter efeitos adversos na conservação e no uso sustentável da diversidade biológica, levando em conta os riscos para a saúde humana, decorrentes do movimento transfronteiriço.</w:t>
      </w:r>
      <w:r>
        <w:rPr>
          <w:rFonts w:ascii="Book Antiqua" w:eastAsia="Times New Roman" w:hAnsi="Book Antiqua" w:cs="Times New Roman"/>
          <w:sz w:val="19"/>
          <w:szCs w:val="19"/>
          <w:lang w:eastAsia="pt-BR"/>
        </w:rPr>
        <w:t xml:space="preserve"> (Fonte: </w:t>
      </w:r>
      <w:hyperlink r:id="rId15" w:history="1">
        <w:r w:rsidRPr="00BC0DD9">
          <w:rPr>
            <w:rStyle w:val="Hyperlink"/>
            <w:rFonts w:ascii="Book Antiqua" w:eastAsia="Times New Roman" w:hAnsi="Book Antiqua" w:cs="Times New Roman"/>
            <w:sz w:val="19"/>
            <w:szCs w:val="19"/>
            <w:lang w:eastAsia="pt-BR"/>
          </w:rPr>
          <w:t>http://www.mma.gov.br/biodiversidade/convencao-da-diversidade-biologica/protocolo-de-cartagena-sobre-biosseguranca</w:t>
        </w:r>
      </w:hyperlink>
      <w:r>
        <w:rPr>
          <w:rFonts w:ascii="Book Antiqua" w:eastAsia="Times New Roman" w:hAnsi="Book Antiqua" w:cs="Times New Roman"/>
          <w:sz w:val="19"/>
          <w:szCs w:val="19"/>
          <w:lang w:eastAsia="pt-BR"/>
        </w:rPr>
        <w:t xml:space="preserve">). </w:t>
      </w:r>
    </w:p>
    <w:p w14:paraId="10510723" w14:textId="77777777" w:rsidR="007D2010" w:rsidRPr="00EB2A69" w:rsidRDefault="007D2010" w:rsidP="00EB2A69">
      <w:pPr>
        <w:spacing w:before="100" w:beforeAutospacing="1" w:after="100" w:afterAutospacing="1" w:line="240" w:lineRule="auto"/>
        <w:jc w:val="both"/>
        <w:rPr>
          <w:rFonts w:ascii="Book Antiqua" w:eastAsia="Times New Roman" w:hAnsi="Book Antiqua" w:cs="Times New Roman"/>
          <w:sz w:val="19"/>
          <w:szCs w:val="19"/>
          <w:lang w:eastAsia="pt-BR"/>
        </w:rPr>
      </w:pPr>
    </w:p>
    <w:p w14:paraId="58B1548F" w14:textId="42557F53" w:rsidR="00102EB8" w:rsidRPr="00EB2A69" w:rsidRDefault="00102EB8" w:rsidP="00EB2A69">
      <w:pPr>
        <w:spacing w:before="100" w:beforeAutospacing="1" w:after="100" w:afterAutospacing="1" w:line="240" w:lineRule="auto"/>
        <w:jc w:val="both"/>
        <w:rPr>
          <w:rFonts w:ascii="Book Antiqua" w:eastAsia="Times New Roman" w:hAnsi="Book Antiqua" w:cs="Times New Roman"/>
          <w:sz w:val="19"/>
          <w:szCs w:val="19"/>
          <w:lang w:eastAsia="pt-BR"/>
        </w:rPr>
      </w:pPr>
      <w:r w:rsidRPr="00EB2A69">
        <w:rPr>
          <w:rFonts w:ascii="Book Antiqua" w:eastAsia="Times New Roman" w:hAnsi="Book Antiqua" w:cs="Times New Roman"/>
          <w:b/>
          <w:bCs/>
          <w:sz w:val="19"/>
          <w:szCs w:val="19"/>
          <w:lang w:eastAsia="pt-BR"/>
        </w:rPr>
        <w:t>(</w:t>
      </w:r>
      <w:r w:rsidRPr="00EB2A69">
        <w:rPr>
          <w:rFonts w:ascii="Book Antiqua" w:eastAsia="Times New Roman" w:hAnsi="Book Antiqua" w:cs="Times New Roman"/>
          <w:b/>
          <w:bCs/>
          <w:sz w:val="19"/>
          <w:szCs w:val="19"/>
          <w:highlight w:val="yellow"/>
          <w:lang w:eastAsia="pt-BR"/>
        </w:rPr>
        <w:t>TJES-2011-CESPE</w:t>
      </w:r>
      <w:r w:rsidRPr="00EB2A69">
        <w:rPr>
          <w:rFonts w:ascii="Book Antiqua" w:eastAsia="Times New Roman" w:hAnsi="Book Antiqua" w:cs="Times New Roman"/>
          <w:b/>
          <w:bCs/>
          <w:sz w:val="19"/>
          <w:szCs w:val="19"/>
          <w:lang w:eastAsia="pt-BR"/>
        </w:rPr>
        <w:t>)</w:t>
      </w:r>
      <w:r w:rsidRPr="00EB2A69">
        <w:rPr>
          <w:rFonts w:ascii="Book Antiqua" w:eastAsia="Times New Roman" w:hAnsi="Book Antiqua" w:cs="Times New Roman"/>
          <w:sz w:val="19"/>
          <w:szCs w:val="19"/>
          <w:lang w:eastAsia="pt-BR"/>
        </w:rPr>
        <w:t>: O protocolo de Cartagena trata de biossegurança e tem como objetivo contribuir para assegurar um nível adequado de proteção no campo da transferência, da manipulação e do uso seguros dos organismos vivos modificados resultantes da biotecnologia moderna que possam ter efeitos adversos na conservação e no uso sustentável da diversidade biológica, levando em conta os riscos para a saúde humana, e enfocando especificamente os movimentos transfronteiriços.</w:t>
      </w:r>
      <w:r w:rsidRPr="00EB2A69">
        <w:rPr>
          <w:rFonts w:ascii="Book Antiqua" w:eastAsia="Times New Roman" w:hAnsi="Book Antiqua" w:cs="Times New Roman"/>
          <w:b/>
          <w:bCs/>
          <w:sz w:val="19"/>
          <w:szCs w:val="19"/>
          <w:lang w:eastAsia="pt-BR"/>
        </w:rPr>
        <w:t xml:space="preserve"> </w:t>
      </w:r>
    </w:p>
    <w:p w14:paraId="2605D348" w14:textId="77777777" w:rsidR="0087470D" w:rsidRPr="00EB2A69" w:rsidRDefault="0087470D" w:rsidP="00EB2A69">
      <w:pPr>
        <w:spacing w:before="100" w:beforeAutospacing="1" w:after="100" w:afterAutospacing="1" w:line="240" w:lineRule="auto"/>
        <w:rPr>
          <w:rFonts w:ascii="Book Antiqua" w:hAnsi="Book Antiqua" w:cs="Times New Roman"/>
          <w:sz w:val="19"/>
          <w:szCs w:val="19"/>
        </w:rPr>
      </w:pPr>
    </w:p>
    <w:sectPr w:rsidR="0087470D" w:rsidRPr="00EB2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62902"/>
    <w:multiLevelType w:val="multilevel"/>
    <w:tmpl w:val="D3E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45B34"/>
    <w:multiLevelType w:val="multilevel"/>
    <w:tmpl w:val="53F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385034">
    <w:abstractNumId w:val="0"/>
  </w:num>
  <w:num w:numId="2" w16cid:durableId="127470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B63"/>
    <w:rsid w:val="00097464"/>
    <w:rsid w:val="000F0DD4"/>
    <w:rsid w:val="00102EB8"/>
    <w:rsid w:val="0034463D"/>
    <w:rsid w:val="007A5B63"/>
    <w:rsid w:val="007D2010"/>
    <w:rsid w:val="0087470D"/>
    <w:rsid w:val="008C0091"/>
    <w:rsid w:val="0095473B"/>
    <w:rsid w:val="00EB2A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0D8C"/>
  <w15:chartTrackingRefBased/>
  <w15:docId w15:val="{9DA29CEB-289C-4B5F-9938-1152A18B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B2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D2010"/>
    <w:rPr>
      <w:color w:val="0563C1" w:themeColor="hyperlink"/>
      <w:u w:val="single"/>
    </w:rPr>
  </w:style>
  <w:style w:type="character" w:styleId="MenoPendente">
    <w:name w:val="Unresolved Mention"/>
    <w:basedOn w:val="Fontepargpadro"/>
    <w:uiPriority w:val="99"/>
    <w:semiHidden/>
    <w:unhideWhenUsed/>
    <w:rsid w:val="007D2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632105">
      <w:bodyDiv w:val="1"/>
      <w:marLeft w:val="0"/>
      <w:marRight w:val="0"/>
      <w:marTop w:val="0"/>
      <w:marBottom w:val="0"/>
      <w:divBdr>
        <w:top w:val="none" w:sz="0" w:space="0" w:color="auto"/>
        <w:left w:val="none" w:sz="0" w:space="0" w:color="auto"/>
        <w:bottom w:val="none" w:sz="0" w:space="0" w:color="auto"/>
        <w:right w:val="none" w:sz="0" w:space="0" w:color="auto"/>
      </w:divBdr>
      <w:divsChild>
        <w:div w:id="871651459">
          <w:marLeft w:val="0"/>
          <w:marRight w:val="0"/>
          <w:marTop w:val="0"/>
          <w:marBottom w:val="0"/>
          <w:divBdr>
            <w:top w:val="none" w:sz="0" w:space="0" w:color="auto"/>
            <w:left w:val="none" w:sz="0" w:space="0" w:color="auto"/>
            <w:bottom w:val="none" w:sz="0" w:space="0" w:color="auto"/>
            <w:right w:val="none" w:sz="0" w:space="0" w:color="auto"/>
          </w:divBdr>
          <w:divsChild>
            <w:div w:id="1216812999">
              <w:marLeft w:val="0"/>
              <w:marRight w:val="0"/>
              <w:marTop w:val="0"/>
              <w:marBottom w:val="0"/>
              <w:divBdr>
                <w:top w:val="none" w:sz="0" w:space="0" w:color="auto"/>
                <w:left w:val="none" w:sz="0" w:space="0" w:color="auto"/>
                <w:bottom w:val="none" w:sz="0" w:space="0" w:color="auto"/>
                <w:right w:val="none" w:sz="0" w:space="0" w:color="auto"/>
              </w:divBdr>
              <w:divsChild>
                <w:div w:id="2071880566">
                  <w:marLeft w:val="0"/>
                  <w:marRight w:val="0"/>
                  <w:marTop w:val="0"/>
                  <w:marBottom w:val="0"/>
                  <w:divBdr>
                    <w:top w:val="none" w:sz="0" w:space="0" w:color="auto"/>
                    <w:left w:val="none" w:sz="0" w:space="0" w:color="auto"/>
                    <w:bottom w:val="none" w:sz="0" w:space="0" w:color="auto"/>
                    <w:right w:val="none" w:sz="0" w:space="0" w:color="auto"/>
                  </w:divBdr>
                  <w:divsChild>
                    <w:div w:id="1767649136">
                      <w:marLeft w:val="0"/>
                      <w:marRight w:val="0"/>
                      <w:marTop w:val="0"/>
                      <w:marBottom w:val="0"/>
                      <w:divBdr>
                        <w:top w:val="none" w:sz="0" w:space="0" w:color="auto"/>
                        <w:left w:val="none" w:sz="0" w:space="0" w:color="auto"/>
                        <w:bottom w:val="none" w:sz="0" w:space="0" w:color="auto"/>
                        <w:right w:val="none" w:sz="0" w:space="0" w:color="auto"/>
                      </w:divBdr>
                      <w:divsChild>
                        <w:div w:id="620039138">
                          <w:marLeft w:val="0"/>
                          <w:marRight w:val="0"/>
                          <w:marTop w:val="0"/>
                          <w:marBottom w:val="0"/>
                          <w:divBdr>
                            <w:top w:val="none" w:sz="0" w:space="0" w:color="auto"/>
                            <w:left w:val="none" w:sz="0" w:space="0" w:color="auto"/>
                            <w:bottom w:val="none" w:sz="0" w:space="0" w:color="auto"/>
                            <w:right w:val="none" w:sz="0" w:space="0" w:color="auto"/>
                          </w:divBdr>
                          <w:divsChild>
                            <w:div w:id="552011727">
                              <w:marLeft w:val="0"/>
                              <w:marRight w:val="0"/>
                              <w:marTop w:val="0"/>
                              <w:marBottom w:val="0"/>
                              <w:divBdr>
                                <w:top w:val="none" w:sz="0" w:space="0" w:color="auto"/>
                                <w:left w:val="none" w:sz="0" w:space="0" w:color="auto"/>
                                <w:bottom w:val="none" w:sz="0" w:space="0" w:color="auto"/>
                                <w:right w:val="none" w:sz="0" w:space="0" w:color="auto"/>
                              </w:divBdr>
                              <w:divsChild>
                                <w:div w:id="757167024">
                                  <w:marLeft w:val="0"/>
                                  <w:marRight w:val="0"/>
                                  <w:marTop w:val="0"/>
                                  <w:marBottom w:val="0"/>
                                  <w:divBdr>
                                    <w:top w:val="none" w:sz="0" w:space="0" w:color="auto"/>
                                    <w:left w:val="none" w:sz="0" w:space="0" w:color="auto"/>
                                    <w:bottom w:val="none" w:sz="0" w:space="0" w:color="auto"/>
                                    <w:right w:val="none" w:sz="0" w:space="0" w:color="auto"/>
                                  </w:divBdr>
                                  <w:divsChild>
                                    <w:div w:id="719283115">
                                      <w:marLeft w:val="0"/>
                                      <w:marRight w:val="0"/>
                                      <w:marTop w:val="0"/>
                                      <w:marBottom w:val="0"/>
                                      <w:divBdr>
                                        <w:top w:val="none" w:sz="0" w:space="0" w:color="auto"/>
                                        <w:left w:val="none" w:sz="0" w:space="0" w:color="auto"/>
                                        <w:bottom w:val="none" w:sz="0" w:space="0" w:color="auto"/>
                                        <w:right w:val="none" w:sz="0" w:space="0" w:color="auto"/>
                                      </w:divBdr>
                                      <w:divsChild>
                                        <w:div w:id="19556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834">
                                  <w:marLeft w:val="0"/>
                                  <w:marRight w:val="0"/>
                                  <w:marTop w:val="240"/>
                                  <w:marBottom w:val="0"/>
                                  <w:divBdr>
                                    <w:top w:val="dotted" w:sz="6" w:space="2" w:color="CCCCCC"/>
                                    <w:left w:val="none" w:sz="0" w:space="0" w:color="auto"/>
                                    <w:bottom w:val="dotted" w:sz="6" w:space="2" w:color="CCCCCC"/>
                                    <w:right w:val="none" w:sz="0" w:space="0" w:color="auto"/>
                                  </w:divBdr>
                                </w:div>
                                <w:div w:id="1428770535">
                                  <w:marLeft w:val="0"/>
                                  <w:marRight w:val="0"/>
                                  <w:marTop w:val="0"/>
                                  <w:marBottom w:val="0"/>
                                  <w:divBdr>
                                    <w:top w:val="none" w:sz="0" w:space="0" w:color="auto"/>
                                    <w:left w:val="none" w:sz="0" w:space="0" w:color="auto"/>
                                    <w:bottom w:val="none" w:sz="0" w:space="0" w:color="auto"/>
                                    <w:right w:val="none" w:sz="0" w:space="0" w:color="auto"/>
                                  </w:divBdr>
                                  <w:divsChild>
                                    <w:div w:id="119422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331352">
      <w:bodyDiv w:val="1"/>
      <w:marLeft w:val="0"/>
      <w:marRight w:val="0"/>
      <w:marTop w:val="0"/>
      <w:marBottom w:val="0"/>
      <w:divBdr>
        <w:top w:val="none" w:sz="0" w:space="0" w:color="auto"/>
        <w:left w:val="none" w:sz="0" w:space="0" w:color="auto"/>
        <w:bottom w:val="none" w:sz="0" w:space="0" w:color="auto"/>
        <w:right w:val="none" w:sz="0" w:space="0" w:color="auto"/>
      </w:divBdr>
      <w:divsChild>
        <w:div w:id="1586263024">
          <w:marLeft w:val="0"/>
          <w:marRight w:val="0"/>
          <w:marTop w:val="0"/>
          <w:marBottom w:val="0"/>
          <w:divBdr>
            <w:top w:val="none" w:sz="0" w:space="0" w:color="auto"/>
            <w:left w:val="none" w:sz="0" w:space="0" w:color="auto"/>
            <w:bottom w:val="none" w:sz="0" w:space="0" w:color="auto"/>
            <w:right w:val="none" w:sz="0" w:space="0" w:color="auto"/>
          </w:divBdr>
          <w:divsChild>
            <w:div w:id="297761279">
              <w:marLeft w:val="0"/>
              <w:marRight w:val="0"/>
              <w:marTop w:val="0"/>
              <w:marBottom w:val="0"/>
              <w:divBdr>
                <w:top w:val="none" w:sz="0" w:space="0" w:color="auto"/>
                <w:left w:val="none" w:sz="0" w:space="0" w:color="auto"/>
                <w:bottom w:val="none" w:sz="0" w:space="0" w:color="auto"/>
                <w:right w:val="none" w:sz="0" w:space="0" w:color="auto"/>
              </w:divBdr>
              <w:divsChild>
                <w:div w:id="444544194">
                  <w:marLeft w:val="0"/>
                  <w:marRight w:val="0"/>
                  <w:marTop w:val="0"/>
                  <w:marBottom w:val="0"/>
                  <w:divBdr>
                    <w:top w:val="none" w:sz="0" w:space="0" w:color="auto"/>
                    <w:left w:val="none" w:sz="0" w:space="0" w:color="auto"/>
                    <w:bottom w:val="none" w:sz="0" w:space="0" w:color="auto"/>
                    <w:right w:val="none" w:sz="0" w:space="0" w:color="auto"/>
                  </w:divBdr>
                  <w:divsChild>
                    <w:div w:id="947152520">
                      <w:marLeft w:val="0"/>
                      <w:marRight w:val="0"/>
                      <w:marTop w:val="0"/>
                      <w:marBottom w:val="0"/>
                      <w:divBdr>
                        <w:top w:val="none" w:sz="0" w:space="0" w:color="auto"/>
                        <w:left w:val="none" w:sz="0" w:space="0" w:color="auto"/>
                        <w:bottom w:val="none" w:sz="0" w:space="0" w:color="auto"/>
                        <w:right w:val="none" w:sz="0" w:space="0" w:color="auto"/>
                      </w:divBdr>
                      <w:divsChild>
                        <w:div w:id="201015469">
                          <w:marLeft w:val="0"/>
                          <w:marRight w:val="0"/>
                          <w:marTop w:val="0"/>
                          <w:marBottom w:val="0"/>
                          <w:divBdr>
                            <w:top w:val="none" w:sz="0" w:space="0" w:color="auto"/>
                            <w:left w:val="none" w:sz="0" w:space="0" w:color="auto"/>
                            <w:bottom w:val="none" w:sz="0" w:space="0" w:color="auto"/>
                            <w:right w:val="none" w:sz="0" w:space="0" w:color="auto"/>
                          </w:divBdr>
                          <w:divsChild>
                            <w:div w:id="1572815590">
                              <w:marLeft w:val="0"/>
                              <w:marRight w:val="0"/>
                              <w:marTop w:val="0"/>
                              <w:marBottom w:val="0"/>
                              <w:divBdr>
                                <w:top w:val="none" w:sz="0" w:space="0" w:color="auto"/>
                                <w:left w:val="none" w:sz="0" w:space="0" w:color="auto"/>
                                <w:bottom w:val="none" w:sz="0" w:space="0" w:color="auto"/>
                                <w:right w:val="none" w:sz="0" w:space="0" w:color="auto"/>
                              </w:divBdr>
                              <w:divsChild>
                                <w:div w:id="749891424">
                                  <w:marLeft w:val="0"/>
                                  <w:marRight w:val="0"/>
                                  <w:marTop w:val="0"/>
                                  <w:marBottom w:val="0"/>
                                  <w:divBdr>
                                    <w:top w:val="none" w:sz="0" w:space="0" w:color="auto"/>
                                    <w:left w:val="none" w:sz="0" w:space="0" w:color="auto"/>
                                    <w:bottom w:val="none" w:sz="0" w:space="0" w:color="auto"/>
                                    <w:right w:val="none" w:sz="0" w:space="0" w:color="auto"/>
                                  </w:divBdr>
                                  <w:divsChild>
                                    <w:div w:id="737434822">
                                      <w:marLeft w:val="0"/>
                                      <w:marRight w:val="0"/>
                                      <w:marTop w:val="0"/>
                                      <w:marBottom w:val="0"/>
                                      <w:divBdr>
                                        <w:top w:val="none" w:sz="0" w:space="0" w:color="auto"/>
                                        <w:left w:val="none" w:sz="0" w:space="0" w:color="auto"/>
                                        <w:bottom w:val="none" w:sz="0" w:space="0" w:color="auto"/>
                                        <w:right w:val="none" w:sz="0" w:space="0" w:color="auto"/>
                                      </w:divBdr>
                                      <w:divsChild>
                                        <w:div w:id="1281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5029">
                                  <w:marLeft w:val="0"/>
                                  <w:marRight w:val="0"/>
                                  <w:marTop w:val="240"/>
                                  <w:marBottom w:val="0"/>
                                  <w:divBdr>
                                    <w:top w:val="dotted" w:sz="6" w:space="2" w:color="CCCCCC"/>
                                    <w:left w:val="none" w:sz="0" w:space="0" w:color="auto"/>
                                    <w:bottom w:val="dotted" w:sz="6" w:space="2" w:color="CCCCCC"/>
                                    <w:right w:val="none" w:sz="0" w:space="0" w:color="auto"/>
                                  </w:divBdr>
                                </w:div>
                                <w:div w:id="1867329482">
                                  <w:marLeft w:val="0"/>
                                  <w:marRight w:val="0"/>
                                  <w:marTop w:val="0"/>
                                  <w:marBottom w:val="0"/>
                                  <w:divBdr>
                                    <w:top w:val="none" w:sz="0" w:space="0" w:color="auto"/>
                                    <w:left w:val="none" w:sz="0" w:space="0" w:color="auto"/>
                                    <w:bottom w:val="none" w:sz="0" w:space="0" w:color="auto"/>
                                    <w:right w:val="none" w:sz="0" w:space="0" w:color="auto"/>
                                  </w:divBdr>
                                  <w:divsChild>
                                    <w:div w:id="13548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354556">
      <w:bodyDiv w:val="1"/>
      <w:marLeft w:val="0"/>
      <w:marRight w:val="0"/>
      <w:marTop w:val="0"/>
      <w:marBottom w:val="0"/>
      <w:divBdr>
        <w:top w:val="none" w:sz="0" w:space="0" w:color="auto"/>
        <w:left w:val="none" w:sz="0" w:space="0" w:color="auto"/>
        <w:bottom w:val="none" w:sz="0" w:space="0" w:color="auto"/>
        <w:right w:val="none" w:sz="0" w:space="0" w:color="auto"/>
      </w:divBdr>
      <w:divsChild>
        <w:div w:id="526598395">
          <w:marLeft w:val="0"/>
          <w:marRight w:val="0"/>
          <w:marTop w:val="0"/>
          <w:marBottom w:val="0"/>
          <w:divBdr>
            <w:top w:val="none" w:sz="0" w:space="0" w:color="auto"/>
            <w:left w:val="none" w:sz="0" w:space="0" w:color="auto"/>
            <w:bottom w:val="none" w:sz="0" w:space="0" w:color="auto"/>
            <w:right w:val="none" w:sz="0" w:space="0" w:color="auto"/>
          </w:divBdr>
          <w:divsChild>
            <w:div w:id="965162249">
              <w:marLeft w:val="0"/>
              <w:marRight w:val="0"/>
              <w:marTop w:val="0"/>
              <w:marBottom w:val="0"/>
              <w:divBdr>
                <w:top w:val="none" w:sz="0" w:space="0" w:color="auto"/>
                <w:left w:val="none" w:sz="0" w:space="0" w:color="auto"/>
                <w:bottom w:val="none" w:sz="0" w:space="0" w:color="auto"/>
                <w:right w:val="none" w:sz="0" w:space="0" w:color="auto"/>
              </w:divBdr>
              <w:divsChild>
                <w:div w:id="1788812959">
                  <w:marLeft w:val="0"/>
                  <w:marRight w:val="0"/>
                  <w:marTop w:val="0"/>
                  <w:marBottom w:val="0"/>
                  <w:divBdr>
                    <w:top w:val="none" w:sz="0" w:space="0" w:color="auto"/>
                    <w:left w:val="none" w:sz="0" w:space="0" w:color="auto"/>
                    <w:bottom w:val="none" w:sz="0" w:space="0" w:color="auto"/>
                    <w:right w:val="none" w:sz="0" w:space="0" w:color="auto"/>
                  </w:divBdr>
                  <w:divsChild>
                    <w:div w:id="765345682">
                      <w:marLeft w:val="0"/>
                      <w:marRight w:val="0"/>
                      <w:marTop w:val="0"/>
                      <w:marBottom w:val="0"/>
                      <w:divBdr>
                        <w:top w:val="none" w:sz="0" w:space="0" w:color="auto"/>
                        <w:left w:val="none" w:sz="0" w:space="0" w:color="auto"/>
                        <w:bottom w:val="none" w:sz="0" w:space="0" w:color="auto"/>
                        <w:right w:val="none" w:sz="0" w:space="0" w:color="auto"/>
                      </w:divBdr>
                      <w:divsChild>
                        <w:div w:id="18128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odiv.org/biosafety/cop-mop/second-meeting.aspx?menu=mop2" TargetMode="External"/><Relationship Id="rId13" Type="http://schemas.openxmlformats.org/officeDocument/2006/relationships/hyperlink" Target="http://www.biodiv.org/biosafety/default.aspx" TargetMode="External"/><Relationship Id="rId3" Type="http://schemas.openxmlformats.org/officeDocument/2006/relationships/settings" Target="settings.xml"/><Relationship Id="rId7" Type="http://schemas.openxmlformats.org/officeDocument/2006/relationships/hyperlink" Target="http://www.biodiv.org/biosafety/cop-mop/first-meeting.aspx?menu=mop1" TargetMode="External"/><Relationship Id="rId12" Type="http://schemas.openxmlformats.org/officeDocument/2006/relationships/hyperlink" Target="http://www.biodiv.org/doc/meetings/bs/mop-03/official/mop-03-15-es.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biodiv.org/biosafety/signinglist.aspx?sts=rtf&amp;ord=dt" TargetMode="External"/><Relationship Id="rId11" Type="http://schemas.openxmlformats.org/officeDocument/2006/relationships/hyperlink" Target="http://www.biodiv.org/decisions/default.aspx?m=MOP-02&amp;lg=0" TargetMode="External"/><Relationship Id="rId5" Type="http://schemas.openxmlformats.org/officeDocument/2006/relationships/hyperlink" Target="http://www.biodiv.org/biosafety/protocol.asp" TargetMode="External"/><Relationship Id="rId15" Type="http://schemas.openxmlformats.org/officeDocument/2006/relationships/hyperlink" Target="http://www.mma.gov.br/biodiversidade/convencao-da-diversidade-biologica/protocolo-de-cartagena-sobre-biosseguranca" TargetMode="External"/><Relationship Id="rId10" Type="http://schemas.openxmlformats.org/officeDocument/2006/relationships/hyperlink" Target="http://www.biodiv.org/decisions/default.aspx?m=mop-01&amp;menu=biosafety" TargetMode="External"/><Relationship Id="rId4" Type="http://schemas.openxmlformats.org/officeDocument/2006/relationships/webSettings" Target="webSettings.xml"/><Relationship Id="rId9" Type="http://schemas.openxmlformats.org/officeDocument/2006/relationships/hyperlink" Target="http://www.biodiv.org/meetings/cop8mop3/default.shtml" TargetMode="External"/><Relationship Id="rId14" Type="http://schemas.openxmlformats.org/officeDocument/2006/relationships/hyperlink" Target="http://www.mma.gov.br/biodiversidade/biosseguranca/organismos-geneticamente-modificado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1063</Words>
  <Characters>5742</Characters>
  <Application>Microsoft Office Word</Application>
  <DocSecurity>0</DocSecurity>
  <Lines>47</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cp:revision>
  <dcterms:created xsi:type="dcterms:W3CDTF">2015-12-22T11:37:00Z</dcterms:created>
  <dcterms:modified xsi:type="dcterms:W3CDTF">2024-03-03T17:15:00Z</dcterms:modified>
</cp:coreProperties>
</file>