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D38F8"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r w:rsidRPr="00827374">
        <w:rPr>
          <w:rFonts w:ascii="Book Antiqua" w:eastAsia="Times New Roman" w:hAnsi="Book Antiqua" w:cs="Times New Roman"/>
          <w:color w:val="000000"/>
          <w:kern w:val="0"/>
          <w:sz w:val="19"/>
          <w:szCs w:val="19"/>
          <w:lang w:eastAsia="pt-BR"/>
          <w14:ligatures w14:val="none"/>
        </w:rPr>
        <w:fldChar w:fldCharType="begin"/>
      </w:r>
      <w:r w:rsidRPr="00827374">
        <w:rPr>
          <w:rFonts w:ascii="Book Antiqua" w:eastAsia="Times New Roman" w:hAnsi="Book Antiqua" w:cs="Times New Roman"/>
          <w:color w:val="000000"/>
          <w:kern w:val="0"/>
          <w:sz w:val="19"/>
          <w:szCs w:val="19"/>
          <w:lang w:eastAsia="pt-BR"/>
          <w14:ligatures w14:val="none"/>
        </w:rPr>
        <w:instrText>HYPERLINK "http://legislacao.planalto.gov.br/legisla/legislacao.nsf/Viw_Identificacao/DEC%205.445-2005?OpenDocument"</w:instrText>
      </w:r>
      <w:r w:rsidRPr="00827374">
        <w:rPr>
          <w:rFonts w:ascii="Book Antiqua" w:eastAsia="Times New Roman" w:hAnsi="Book Antiqua" w:cs="Times New Roman"/>
          <w:color w:val="000000"/>
          <w:kern w:val="0"/>
          <w:sz w:val="19"/>
          <w:szCs w:val="19"/>
          <w:lang w:eastAsia="pt-BR"/>
          <w14:ligatures w14:val="none"/>
        </w:rPr>
      </w:r>
      <w:r w:rsidRPr="00827374">
        <w:rPr>
          <w:rFonts w:ascii="Book Antiqua" w:eastAsia="Times New Roman" w:hAnsi="Book Antiqua" w:cs="Times New Roman"/>
          <w:color w:val="000000"/>
          <w:kern w:val="0"/>
          <w:sz w:val="19"/>
          <w:szCs w:val="19"/>
          <w:lang w:eastAsia="pt-BR"/>
          <w14:ligatures w14:val="none"/>
        </w:rPr>
        <w:fldChar w:fldCharType="separate"/>
      </w:r>
      <w:r w:rsidRPr="00827374">
        <w:rPr>
          <w:rFonts w:ascii="Book Antiqua" w:eastAsia="Times New Roman" w:hAnsi="Book Antiqua" w:cs="Arial"/>
          <w:b/>
          <w:bCs/>
          <w:color w:val="000080"/>
          <w:kern w:val="0"/>
          <w:sz w:val="19"/>
          <w:szCs w:val="19"/>
          <w:u w:val="single"/>
          <w:lang w:eastAsia="pt-BR"/>
          <w14:ligatures w14:val="none"/>
        </w:rPr>
        <w:t>DECRETO Nº 5.445, DE 12 DE MAIO DE 2005.</w:t>
      </w:r>
      <w:r w:rsidRPr="00827374">
        <w:rPr>
          <w:rFonts w:ascii="Book Antiqua" w:eastAsia="Times New Roman" w:hAnsi="Book Antiqua" w:cs="Times New Roman"/>
          <w:color w:val="00000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827374" w:rsidRPr="00827374" w14:paraId="5F6ED285" w14:textId="77777777" w:rsidTr="00827374">
        <w:trPr>
          <w:trHeight w:val="200"/>
          <w:tblCellSpacing w:w="0" w:type="dxa"/>
        </w:trPr>
        <w:tc>
          <w:tcPr>
            <w:tcW w:w="1500" w:type="pct"/>
            <w:vAlign w:val="center"/>
            <w:hideMark/>
          </w:tcPr>
          <w:p w14:paraId="2E5F733D" w14:textId="77777777" w:rsidR="00827374" w:rsidRPr="00827374" w:rsidRDefault="00827374" w:rsidP="00827374">
            <w:pPr>
              <w:spacing w:after="0" w:line="240" w:lineRule="auto"/>
              <w:rPr>
                <w:rFonts w:ascii="Book Antiqua" w:eastAsia="Times New Roman" w:hAnsi="Book Antiqua" w:cs="Times New Roman"/>
                <w:color w:val="000000"/>
                <w:kern w:val="0"/>
                <w:sz w:val="18"/>
                <w:szCs w:val="18"/>
                <w:lang w:eastAsia="pt-BR"/>
                <w14:ligatures w14:val="none"/>
              </w:rPr>
            </w:pPr>
          </w:p>
        </w:tc>
        <w:tc>
          <w:tcPr>
            <w:tcW w:w="3500" w:type="pct"/>
            <w:vAlign w:val="center"/>
            <w:hideMark/>
          </w:tcPr>
          <w:p w14:paraId="1ED4A947" w14:textId="77777777" w:rsidR="00827374" w:rsidRPr="00827374" w:rsidRDefault="00827374" w:rsidP="00827374">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827374">
              <w:rPr>
                <w:rFonts w:ascii="Book Antiqua" w:eastAsia="Times New Roman" w:hAnsi="Book Antiqua" w:cs="Arial"/>
                <w:color w:val="800000"/>
                <w:kern w:val="0"/>
                <w:sz w:val="18"/>
                <w:szCs w:val="18"/>
                <w:lang w:eastAsia="pt-BR"/>
                <w14:ligatures w14:val="none"/>
              </w:rPr>
              <w:t>Promulga o Protocolo de Quioto à Convenção-Quadro das Nações Unidas sobre Mudança do Clima, aberto a assinaturas na cidade de Quioto, Japão, em 11 de dezembro de 1997, por ocasião da Terceira Conferência das Partes da Convenção-Quadro das Nações Unidas sobre Mudança do Clima.</w:t>
            </w:r>
          </w:p>
        </w:tc>
      </w:tr>
    </w:tbl>
    <w:p w14:paraId="398F2E54"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b/>
          <w:bCs/>
          <w:color w:val="000000"/>
          <w:kern w:val="0"/>
          <w:sz w:val="19"/>
          <w:szCs w:val="19"/>
          <w:lang w:eastAsia="pt-BR"/>
          <w14:ligatures w14:val="none"/>
        </w:rPr>
        <w:t>O PRESIDENTE DA REPÚBLICA, </w:t>
      </w:r>
      <w:r w:rsidRPr="00827374">
        <w:rPr>
          <w:rFonts w:ascii="Book Antiqua" w:eastAsia="Times New Roman" w:hAnsi="Book Antiqua" w:cs="Arial"/>
          <w:color w:val="000000"/>
          <w:kern w:val="0"/>
          <w:sz w:val="19"/>
          <w:szCs w:val="19"/>
          <w:lang w:eastAsia="pt-BR"/>
          <w14:ligatures w14:val="none"/>
        </w:rPr>
        <w:t>no uso da atribuição que lhe confere o art. 84, inciso IV, da Constituição, e</w:t>
      </w:r>
    </w:p>
    <w:p w14:paraId="44F12994"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Considerando que o Congresso Nacional aprovou o texto do Protocolo de Quioto à Convenção-Quadro das Nações Unidas sobre Mudança do Clima, por meio do Decreto Legislativo nº 144, de 20 de junho de 2002;</w:t>
      </w:r>
    </w:p>
    <w:p w14:paraId="72D4DD2B"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Considerando que o Governo brasileiro ratificou o citado Protocolo em 23 de agosto de 2002;</w:t>
      </w:r>
    </w:p>
    <w:p w14:paraId="6B35A29F"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Considerando que o Protocolo entrou em vigor internacional em 16 de fevereiro de 2005;</w:t>
      </w:r>
    </w:p>
    <w:p w14:paraId="03AC8C1A"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b/>
          <w:bCs/>
          <w:color w:val="000000"/>
          <w:kern w:val="0"/>
          <w:sz w:val="19"/>
          <w:szCs w:val="19"/>
          <w:lang w:eastAsia="pt-BR"/>
          <w14:ligatures w14:val="none"/>
        </w:rPr>
        <w:t>DECRETA:</w:t>
      </w:r>
    </w:p>
    <w:p w14:paraId="0D8768F0"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 1º O Protocolo de Quioto à Convenção-Quadro das Nações Unidas sobre Mudança do Clima, de 11 de dezembro de 1997, apenso por cópia ao presente Decreto, será executado e cumprido tão inteiramente como nele se contém.</w:t>
      </w:r>
    </w:p>
    <w:p w14:paraId="1ED1681A"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 2º São sujeitos à aprovação do Congresso Nacional quaisquer atos que possam resultar em revisão do referido Protocolo ou que acarretem encargos ou compromissos gravosos ao patrimônio nacional, nos termos do </w:t>
      </w:r>
      <w:hyperlink r:id="rId5" w:anchor="art49i" w:history="1">
        <w:r w:rsidRPr="00827374">
          <w:rPr>
            <w:rFonts w:ascii="Book Antiqua" w:eastAsia="Times New Roman" w:hAnsi="Book Antiqua" w:cs="Arial"/>
            <w:color w:val="0000FF"/>
            <w:kern w:val="0"/>
            <w:sz w:val="19"/>
            <w:szCs w:val="19"/>
            <w:u w:val="single"/>
            <w:lang w:eastAsia="pt-BR"/>
            <w14:ligatures w14:val="none"/>
          </w:rPr>
          <w:t>art. 49, inciso I, da Constituição.</w:t>
        </w:r>
      </w:hyperlink>
    </w:p>
    <w:p w14:paraId="629367AA"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 3º Este Decreto entra em vigor na data de sua publicação.</w:t>
      </w:r>
    </w:p>
    <w:p w14:paraId="4BFCC3C4"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Brasília, 12 de maio de 2005; 184º da Independência e 117º da República.</w:t>
      </w:r>
    </w:p>
    <w:p w14:paraId="3AEF1C55"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LUIZ INÁCIO LULA DA SILVA</w:t>
      </w:r>
      <w:r w:rsidRPr="00827374">
        <w:rPr>
          <w:rFonts w:ascii="Book Antiqua" w:eastAsia="Times New Roman" w:hAnsi="Book Antiqua" w:cs="Arial"/>
          <w:color w:val="000000"/>
          <w:kern w:val="0"/>
          <w:sz w:val="19"/>
          <w:szCs w:val="19"/>
          <w:lang w:eastAsia="pt-BR"/>
          <w14:ligatures w14:val="none"/>
        </w:rPr>
        <w:br/>
      </w:r>
      <w:r w:rsidRPr="00827374">
        <w:rPr>
          <w:rFonts w:ascii="Book Antiqua" w:eastAsia="Times New Roman" w:hAnsi="Book Antiqua" w:cs="Arial"/>
          <w:i/>
          <w:iCs/>
          <w:color w:val="000000"/>
          <w:kern w:val="0"/>
          <w:sz w:val="19"/>
          <w:szCs w:val="19"/>
          <w:lang w:eastAsia="pt-BR"/>
          <w14:ligatures w14:val="none"/>
        </w:rPr>
        <w:t>Samuel Pinheiro Guimaraes Neto</w:t>
      </w:r>
    </w:p>
    <w:p w14:paraId="021EB276"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FF0000"/>
          <w:kern w:val="0"/>
          <w:sz w:val="19"/>
          <w:szCs w:val="19"/>
          <w:lang w:eastAsia="pt-BR"/>
          <w14:ligatures w14:val="none"/>
        </w:rPr>
        <w:t>Este texto não substitui o publicado no D.O.U. de 13.5.2005</w:t>
      </w:r>
    </w:p>
    <w:p w14:paraId="6EB11A94"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PROTOCOLO DE QUIOTO À CONVENÇÃO-QUADRO</w:t>
      </w:r>
      <w:r w:rsidRPr="00827374">
        <w:rPr>
          <w:rFonts w:ascii="Book Antiqua" w:eastAsia="Times New Roman" w:hAnsi="Book Antiqua" w:cs="Arial"/>
          <w:color w:val="000000"/>
          <w:kern w:val="0"/>
          <w:sz w:val="19"/>
          <w:szCs w:val="19"/>
          <w:lang w:eastAsia="pt-BR"/>
          <w14:ligatures w14:val="none"/>
        </w:rPr>
        <w:br/>
        <w:t>DAS NAÇÕES UNIDAS SOBRE MUDANÇA DO CLIMA</w:t>
      </w:r>
    </w:p>
    <w:p w14:paraId="1B558513"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As Partes deste Protocolo,</w:t>
      </w:r>
    </w:p>
    <w:p w14:paraId="3ADEE446"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Sendo Partes da Convenção-Quadro das Nações Unidas sobre Mudança do Clima, doravante denominada "Convenção",</w:t>
      </w:r>
    </w:p>
    <w:p w14:paraId="13E81804"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Procurando atingir o objetivo final da Convenção, conforme expresso no Artigo 2,</w:t>
      </w:r>
    </w:p>
    <w:p w14:paraId="49EE08FA"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Lembrando as disposições da Convenção,</w:t>
      </w:r>
    </w:p>
    <w:p w14:paraId="4BDB2926"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Seguindo as orientações do Artigo 3 da Convenção,</w:t>
      </w:r>
    </w:p>
    <w:p w14:paraId="31C677D7"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Em conformidade com o Mandato de Berlim adotado pela decisão 1/CP.1 da Conferência das Partes da Convenção em sua primeira sessão,</w:t>
      </w:r>
    </w:p>
    <w:p w14:paraId="25F02F33"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Convieram no seguinte:</w:t>
      </w:r>
    </w:p>
    <w:p w14:paraId="0A4F84EF"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1</w:t>
      </w:r>
    </w:p>
    <w:p w14:paraId="27AB6A4A"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lastRenderedPageBreak/>
        <w:t>Para os fins deste Protocolo, aplicam-se as definições contidas no Artigo 1 da Convenção. Adicionalmente:</w:t>
      </w:r>
    </w:p>
    <w:p w14:paraId="76196BD3"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1. "Conferência das Partes" significa a Conferência das Partes da Convenção.</w:t>
      </w:r>
    </w:p>
    <w:p w14:paraId="484A80C7"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2. "Convenção" significa a Convenção-Quadro das Nações Unidas sobre Mudança do Clima, adotada em Nova York em 9 de maio de 1992.</w:t>
      </w:r>
    </w:p>
    <w:p w14:paraId="6D3B2756"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3 "Painel Intergovernamental sobre Mudança do Clima" significa o Painel Intergovernamental sobre Mudança do Clima estabelecido conjuntamente pela Organização Meteorológica Mundial e pelo Programa das Nações Unidas para o Meio Ambiente em 1988.</w:t>
      </w:r>
    </w:p>
    <w:p w14:paraId="1160EE4E"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 xml:space="preserve">4. "Protocolo de Montreal" significa o Protocolo de Montreal sobre Substâncias que </w:t>
      </w:r>
      <w:proofErr w:type="spellStart"/>
      <w:r w:rsidRPr="00827374">
        <w:rPr>
          <w:rFonts w:ascii="Book Antiqua" w:eastAsia="Times New Roman" w:hAnsi="Book Antiqua" w:cs="Arial"/>
          <w:color w:val="000000"/>
          <w:kern w:val="0"/>
          <w:sz w:val="19"/>
          <w:szCs w:val="19"/>
          <w:lang w:eastAsia="pt-BR"/>
          <w14:ligatures w14:val="none"/>
        </w:rPr>
        <w:t>Destróem</w:t>
      </w:r>
      <w:proofErr w:type="spellEnd"/>
      <w:r w:rsidRPr="00827374">
        <w:rPr>
          <w:rFonts w:ascii="Book Antiqua" w:eastAsia="Times New Roman" w:hAnsi="Book Antiqua" w:cs="Arial"/>
          <w:color w:val="000000"/>
          <w:kern w:val="0"/>
          <w:sz w:val="19"/>
          <w:szCs w:val="19"/>
          <w:lang w:eastAsia="pt-BR"/>
          <w14:ligatures w14:val="none"/>
        </w:rPr>
        <w:t xml:space="preserve"> a Camada de Ozônio, adotado em Montreal em 16 de setembro de 1987 e com os ajustes e emendas adotados posteriormente.</w:t>
      </w:r>
    </w:p>
    <w:p w14:paraId="4EA2D4B7"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5. "Partes presentes e votantes" significa as Partes presentes e que emitam voto afirmativo ou negativo.</w:t>
      </w:r>
    </w:p>
    <w:p w14:paraId="57C75B07"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6. "Parte" significa uma Parte deste Protocolo, a menos que de outra forma indicado pelo contexto.</w:t>
      </w:r>
    </w:p>
    <w:p w14:paraId="15FC00A0"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7. "Parte incluída no Anexo I" significa uma Parte incluída no Anexo I da Convenção, com as emendas de que possa ser objeto, ou uma Parte que tenha feito uma notificação conforme previsto no Artigo 4, parágrafo 2(g), da Convenção.</w:t>
      </w:r>
    </w:p>
    <w:p w14:paraId="7FB0AEDF"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2</w:t>
      </w:r>
    </w:p>
    <w:p w14:paraId="38319C6B"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1. Cada Parte incluída no Anexo I, ao cumprir seus compromissos quantificados de limitação e redução de emissões assumidos sob o Artigo 3, a fim de promover o desenvolvimento sustentável, deve:</w:t>
      </w:r>
    </w:p>
    <w:p w14:paraId="624A9501"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 Implementar e/ou aprimorar políticas e medidas de acordo com suas circunstâncias nacionais, tais como:</w:t>
      </w:r>
    </w:p>
    <w:p w14:paraId="624322ED" w14:textId="77777777" w:rsidR="00827374" w:rsidRPr="00827374" w:rsidRDefault="00827374" w:rsidP="00827374">
      <w:pPr>
        <w:numPr>
          <w:ilvl w:val="1"/>
          <w:numId w:val="1"/>
        </w:num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O aumento da eficiência energética em setores relevantes da economia nacional;</w:t>
      </w:r>
    </w:p>
    <w:p w14:paraId="449FB697" w14:textId="77777777" w:rsidR="00827374" w:rsidRPr="00827374" w:rsidRDefault="00827374" w:rsidP="00827374">
      <w:pPr>
        <w:numPr>
          <w:ilvl w:val="1"/>
          <w:numId w:val="1"/>
        </w:num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 proteção e o aumento de sumidouros e reservatórios de gases de efeito estufa não controlados pelo Protocolo de Montreal, levando em conta seus compromissos assumidos em acordos internacionais relevantes sobre o meio ambiente, a promoção de práticas sustentáveis de manejo florestal, florestamento e reflorestamento;</w:t>
      </w:r>
    </w:p>
    <w:p w14:paraId="3E2C8630" w14:textId="77777777" w:rsidR="00827374" w:rsidRPr="00827374" w:rsidRDefault="00827374" w:rsidP="00827374">
      <w:pPr>
        <w:numPr>
          <w:ilvl w:val="1"/>
          <w:numId w:val="1"/>
        </w:num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 promoção de formas sustentáveis de agricultura à luz das considerações sobre a mudança do clima;</w:t>
      </w:r>
    </w:p>
    <w:p w14:paraId="4D24B647" w14:textId="77777777" w:rsidR="00827374" w:rsidRPr="00827374" w:rsidRDefault="00827374" w:rsidP="00827374">
      <w:pPr>
        <w:numPr>
          <w:ilvl w:val="1"/>
          <w:numId w:val="1"/>
        </w:num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 xml:space="preserve">A pesquisa, a promoção, o desenvolvimento e o aumento do uso de formas novas e renováveis de energia, de tecnologias de </w:t>
      </w:r>
      <w:proofErr w:type="spellStart"/>
      <w:r w:rsidRPr="00827374">
        <w:rPr>
          <w:rFonts w:ascii="Book Antiqua" w:eastAsia="Times New Roman" w:hAnsi="Book Antiqua" w:cs="Arial"/>
          <w:color w:val="000000"/>
          <w:kern w:val="0"/>
          <w:sz w:val="19"/>
          <w:szCs w:val="19"/>
          <w:lang w:eastAsia="pt-BR"/>
          <w14:ligatures w14:val="none"/>
        </w:rPr>
        <w:t>seqüestro</w:t>
      </w:r>
      <w:proofErr w:type="spellEnd"/>
      <w:r w:rsidRPr="00827374">
        <w:rPr>
          <w:rFonts w:ascii="Book Antiqua" w:eastAsia="Times New Roman" w:hAnsi="Book Antiqua" w:cs="Arial"/>
          <w:color w:val="000000"/>
          <w:kern w:val="0"/>
          <w:sz w:val="19"/>
          <w:szCs w:val="19"/>
          <w:lang w:eastAsia="pt-BR"/>
          <w14:ligatures w14:val="none"/>
        </w:rPr>
        <w:t xml:space="preserve"> de dióxido de carbono e de tecnologias ambientalmente seguras, que sejam avançadas e inovadoras;</w:t>
      </w:r>
    </w:p>
    <w:p w14:paraId="1471AFA4" w14:textId="77777777" w:rsidR="00827374" w:rsidRPr="00827374" w:rsidRDefault="00827374" w:rsidP="00827374">
      <w:pPr>
        <w:numPr>
          <w:ilvl w:val="1"/>
          <w:numId w:val="1"/>
        </w:num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 redução gradual ou eliminação de imperfeições de mercado, de incentivos fiscais, de isenções tributárias e tarifárias e de subsídios para todos os setores emissores de gases de efeito estufa que sejam contrários ao objetivo da Convenção e aplicação de instrumentos de mercado;</w:t>
      </w:r>
    </w:p>
    <w:p w14:paraId="686BE4FE" w14:textId="77777777" w:rsidR="00827374" w:rsidRPr="00827374" w:rsidRDefault="00827374" w:rsidP="00827374">
      <w:pPr>
        <w:numPr>
          <w:ilvl w:val="1"/>
          <w:numId w:val="1"/>
        </w:num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O estímulo a reformas adequadas em setores relevantes, visando a promoção de políticas e medidas que limitem ou reduzam emissões de gases de efeito estufa não controlados pelo Protocolo de Montreal;</w:t>
      </w:r>
    </w:p>
    <w:p w14:paraId="0E3CC9E1" w14:textId="77777777" w:rsidR="00827374" w:rsidRPr="00827374" w:rsidRDefault="00827374" w:rsidP="00827374">
      <w:pPr>
        <w:numPr>
          <w:ilvl w:val="1"/>
          <w:numId w:val="1"/>
        </w:num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Medidas para limitar e/ou reduzir as emissões de gases de efeito estufa não controlados pelo Protocolo de Montreal no setor de transportes;</w:t>
      </w:r>
    </w:p>
    <w:p w14:paraId="4D197BE7" w14:textId="77777777" w:rsidR="00827374" w:rsidRPr="00827374" w:rsidRDefault="00827374" w:rsidP="00827374">
      <w:pPr>
        <w:numPr>
          <w:ilvl w:val="1"/>
          <w:numId w:val="1"/>
        </w:num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 limitação e/ou redução de emissões de metano por meio de sua recuperação e utilização no tratamento de resíduos, bem como na produção, no transporte e na distribuição de energia;</w:t>
      </w:r>
    </w:p>
    <w:p w14:paraId="65B32B7A"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lastRenderedPageBreak/>
        <w:t>(b) Cooperar com outras Partes incluídas no Anexo I no aumento da eficácia individual e combinada de suas políticas e medidas adotadas segundo este Artigo, conforme o Artigo 4, parágrafo 2(e)(i), da Convenção. Para esse fim, essas Partes devem adotar medidas para compartilhar experiências e trocar informações sobre tais políticas e medidas, inclusive desenvolvendo formas de melhorar sua comparabilidade, transparência e eficácia. A Conferência das Partes na qualidade de reunião das Partes deste Protocolo deve, em sua primeira sessão ou tão logo seja praticável a partir de então, considerar maneiras de facilitar tal cooperação, levando em conta toda a informação relevante.</w:t>
      </w:r>
    </w:p>
    <w:p w14:paraId="2597CA01"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2. As Partes incluídas no Anexo I devem procurar limitar ou reduzir as emissões de gases de efeito estufa não controlados pelo Protocolo de Montreal originárias de combustíveis do transporte aéreo e marítimo internacional, conduzindo o trabalho pela Organização de Aviação Civil Internacional e pela Organização Marítima Internacional, respectivamente.</w:t>
      </w:r>
    </w:p>
    <w:p w14:paraId="4B2D444E"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3. As Partes incluídas no Anexo I devem empenhar-se em implementar políticas e medidas a que se refere este Artigo de forma a minimizar efeitos adversos, incluindo os efeitos adversos da mudança do clima, os efeitos sobre o comércio internacional e os impactos sociais, ambientais e econômicos sobre outras Partes, especialmente as Partes países em desenvolvimento e em particular as identificadas no Artigo 4, parágrafos 8 e 9, da Convenção, levando em conta o Artigo 3 da Convenção. A Conferência das Partes na qualidade de reunião das Partes deste Protocolo pode realizar ações adicionais, conforme o caso, para promover a implementação das disposições deste parágrafo.</w:t>
      </w:r>
    </w:p>
    <w:p w14:paraId="22A24A2A"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4. Caso a Conferência das Partes na qualidade de reunião das Partes deste Protocolo considere proveitoso coordenar qualquer uma das políticas e medidas do parágrafo 1(a) acima, levando em conta as diferentes circunstâncias nacionais e os possíveis efeitos, deve considerar modos e meios de definir a coordenação de tais políticas e medidas.</w:t>
      </w:r>
    </w:p>
    <w:p w14:paraId="47040154"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3</w:t>
      </w:r>
    </w:p>
    <w:p w14:paraId="7FB3C5B5"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1. As Partes incluídas no Anexo I devem, individual ou conjuntamente, assegurar que suas emissões antrópicas agregadas, expressas em dióxido de carbono equivalente, dos gases de efeito estufa listados no Anexo A não excedam suas quantidades atribuídas, calculadas em conformidade com seus compromissos quantificados de limitação e redução de emissões descritos no Anexo B e de acordo com as disposições deste Artigo, com vistas a reduzir suas emissões totais desses gases em pelo menos 5 por cento abaixo dos níveis de 1990 no período de compromisso de 2008 a 2012.</w:t>
      </w:r>
    </w:p>
    <w:p w14:paraId="2EB4BAEC"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2. Cada Parte incluída no Anexo I deve, até 2005, ter realizado um progresso comprovado para alcançar os compromissos assumidos sob este Protocolo.</w:t>
      </w:r>
    </w:p>
    <w:p w14:paraId="6673C779"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3. As variações líquidas nas emissões por fontes e remoções por sumidouros de gases de efeito estufa resultantes de mudança direta, induzida pelo homem, no uso da terra e nas atividades florestais, limitadas ao florestamento, reflorestamento e desflorestamento desde 1990, medidas como variações verificáveis nos estoques de carbono em cada período de compromisso, deverão ser utilizadas para atender os compromissos assumidos sob este Artigo por cada Parte incluída no Anexo I. As emissões por fontes e remoções por sumidouros de gases de efeito estufa associadas a essas atividades devem ser relatadas de maneira transparente e comprovável e revistas em conformidade com os Artigos 7 e 8.</w:t>
      </w:r>
    </w:p>
    <w:p w14:paraId="02B861B3"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 xml:space="preserve">4. Antes da primeira sessão da Conferência das Partes na qualidade de reunião das Partes deste Protocolo, cada Parte incluída no Anexo I deve submeter à consideração do Órgão Subsidiário de Assessoramento Científico e Tecnológico dados para o estabelecimento do seu nível de estoques de carbono em 1990 e possibilitar a estimativa das suas mudanças nos estoques de carbono nos anos </w:t>
      </w:r>
      <w:proofErr w:type="spellStart"/>
      <w:r w:rsidRPr="00827374">
        <w:rPr>
          <w:rFonts w:ascii="Book Antiqua" w:eastAsia="Times New Roman" w:hAnsi="Book Antiqua" w:cs="Arial"/>
          <w:color w:val="000000"/>
          <w:kern w:val="0"/>
          <w:sz w:val="19"/>
          <w:szCs w:val="19"/>
          <w:lang w:eastAsia="pt-BR"/>
          <w14:ligatures w14:val="none"/>
        </w:rPr>
        <w:t>subseqüentes</w:t>
      </w:r>
      <w:proofErr w:type="spellEnd"/>
      <w:r w:rsidRPr="00827374">
        <w:rPr>
          <w:rFonts w:ascii="Book Antiqua" w:eastAsia="Times New Roman" w:hAnsi="Book Antiqua" w:cs="Arial"/>
          <w:color w:val="000000"/>
          <w:kern w:val="0"/>
          <w:sz w:val="19"/>
          <w:szCs w:val="19"/>
          <w:lang w:eastAsia="pt-BR"/>
          <w14:ligatures w14:val="none"/>
        </w:rPr>
        <w:t xml:space="preserve">. A Conferência das Partes na qualidade de reunião das Partes deste Protocolo deve, em sua primeira sessão ou assim que seja praticável a partir de então, decidir sobre as modalidades, regras e diretrizes sobre como e quais são as atividades adicionais induzidas pelo homem relacionadas com mudanças nas emissões por fontes e remoções por sumidouros de gases de efeito estufa nas categorias de solos agrícolas e de mudança no uso da terra e florestas, que devem ser acrescentadas ou subtraídas da quantidade atribuída para as Partes incluídas no Anexo I, levando em conta as incertezas, a transparência na elaboração de relatório, a comprovação, o trabalho metodológico do Painel Intergovernamental sobre Mudança do Clima, o assessoramento fornecido pelo Órgão Subsidiário de </w:t>
      </w:r>
      <w:r w:rsidRPr="00827374">
        <w:rPr>
          <w:rFonts w:ascii="Book Antiqua" w:eastAsia="Times New Roman" w:hAnsi="Book Antiqua" w:cs="Arial"/>
          <w:color w:val="000000"/>
          <w:kern w:val="0"/>
          <w:sz w:val="19"/>
          <w:szCs w:val="19"/>
          <w:lang w:eastAsia="pt-BR"/>
          <w14:ligatures w14:val="none"/>
        </w:rPr>
        <w:lastRenderedPageBreak/>
        <w:t>Assessoramento Científico e Tecnológico em conformidade com o Artigo 5 e as decisões da Conferência das Partes. Tal decisão será aplicada a partir do segundo período de compromisso. A Parte poderá optar por aplicar essa decisão sobre as atividades adicionais induzidas pelo homem no seu primeiro período de compromisso, desde que essas atividades tenham se realizado a partir de 1990.</w:t>
      </w:r>
    </w:p>
    <w:p w14:paraId="7688C35A"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5. As Partes em processo de transição para uma economia de mercado incluídas no Anexo I, cujo ano ou período de base foi estabelecido em conformidade com a decisão 9/CP.2 da Conferência das Partes em sua segunda sessão, devem usar esse ano ou período de base para a implementação dos seus compromissos previstos neste Artigo. Qualquer outra Parte em processo de transição para uma economia de mercado incluída no Anexo I que ainda não tenha submetido a sua primeira comunicação nacional, conforme o Artigo 12 da Convenção, também pode notificar a Conferência das Partes na qualidade de reunião das Partes deste Protocolo da sua intenção de utilizar um ano ou período históricos de base que não 1990 para a implementação de seus compromissos previstos neste Artigo. A Conferência das Partes na qualidade de reunião das Partes deste Protocolo deve decidir sobre a aceitação de tal notificação.</w:t>
      </w:r>
    </w:p>
    <w:p w14:paraId="77BB3DCB"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6. Levando em conta o Artigo 4, parágrafo 6, da Convenção, na implementação dos compromissos assumidos sob este Protocolo que não os deste Artigo, a Conferência das Partes na qualidade de reunião das Partes deste Protocolo concederá um certo grau de flexibilidade às Partes em processo de transição para uma economia de mercado incluídas no Anexo I.</w:t>
      </w:r>
    </w:p>
    <w:p w14:paraId="653E8D74"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7. No primeiro período de compromissos quantificados de limitação e redução de emissões, de 2008 a 2012, a quantidade atribuída para cada Parte incluída no Anexo I deve ser igual à porcentagem descrita no Anexo B de suas emissões antrópicas agregadas, expressas em dióxido de carbono equivalente, dos gases de efeito estufa listados no Anexo A em 1990, ou o ano ou período de base determinado em conformidade com o parágrafo 5 acima, multiplicado por cinco. As Partes incluídas no Anexo I para as quais a mudança no uso da terra e florestas constituíram uma fonte líquida de emissões de gases de efeito estufa em 1990 devem fazer constar, no seu ano ou período de base de emissões de 1990, as emissões antrópicas agregadas por fontes menos as remoções antrópicas por sumidouros em 1990, expressas em dióxido de carbono equivalente, devidas à mudança no uso da terra, com a finalidade de calcular sua quantidade atribuída.</w:t>
      </w:r>
    </w:p>
    <w:p w14:paraId="2BC58CF5"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 xml:space="preserve">8. Qualquer Parte incluída no Anexo I pode utilizar 1995 como o ano base para os hidrofluorcarbonos, </w:t>
      </w:r>
      <w:proofErr w:type="spellStart"/>
      <w:r w:rsidRPr="00827374">
        <w:rPr>
          <w:rFonts w:ascii="Book Antiqua" w:eastAsia="Times New Roman" w:hAnsi="Book Antiqua" w:cs="Arial"/>
          <w:color w:val="000000"/>
          <w:kern w:val="0"/>
          <w:sz w:val="19"/>
          <w:szCs w:val="19"/>
          <w:lang w:eastAsia="pt-BR"/>
          <w14:ligatures w14:val="none"/>
        </w:rPr>
        <w:t>perfluorcarbonos</w:t>
      </w:r>
      <w:proofErr w:type="spellEnd"/>
      <w:r w:rsidRPr="00827374">
        <w:rPr>
          <w:rFonts w:ascii="Book Antiqua" w:eastAsia="Times New Roman" w:hAnsi="Book Antiqua" w:cs="Arial"/>
          <w:color w:val="000000"/>
          <w:kern w:val="0"/>
          <w:sz w:val="19"/>
          <w:szCs w:val="19"/>
          <w:lang w:eastAsia="pt-BR"/>
          <w14:ligatures w14:val="none"/>
        </w:rPr>
        <w:t xml:space="preserve"> e hexafluoreto de enxofre, na realização dos cálculos mencionados no parágrafo 7 acima.</w:t>
      </w:r>
    </w:p>
    <w:p w14:paraId="54BD6978"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 xml:space="preserve">9. Os compromissos das Partes incluídas no Anexo I para os períodos </w:t>
      </w:r>
      <w:proofErr w:type="spellStart"/>
      <w:r w:rsidRPr="00827374">
        <w:rPr>
          <w:rFonts w:ascii="Book Antiqua" w:eastAsia="Times New Roman" w:hAnsi="Book Antiqua" w:cs="Arial"/>
          <w:color w:val="000000"/>
          <w:kern w:val="0"/>
          <w:sz w:val="19"/>
          <w:szCs w:val="19"/>
          <w:lang w:eastAsia="pt-BR"/>
          <w14:ligatures w14:val="none"/>
        </w:rPr>
        <w:t>subseqüentes</w:t>
      </w:r>
      <w:proofErr w:type="spellEnd"/>
      <w:r w:rsidRPr="00827374">
        <w:rPr>
          <w:rFonts w:ascii="Book Antiqua" w:eastAsia="Times New Roman" w:hAnsi="Book Antiqua" w:cs="Arial"/>
          <w:color w:val="000000"/>
          <w:kern w:val="0"/>
          <w:sz w:val="19"/>
          <w:szCs w:val="19"/>
          <w:lang w:eastAsia="pt-BR"/>
          <w14:ligatures w14:val="none"/>
        </w:rPr>
        <w:t xml:space="preserve"> devem ser estabelecidos em emendas ao Anexo B deste Protocolo, que devem ser adotadas em conformidade com as disposições do Artigo 21, parágrafo 7. A Conferência das Partes na qualidade de reunião das Partes deste Protocolo deve dar início à consideração de tais compromissos pelo menos sete anos antes do término do primeiro período de compromisso ao qual se refere o parágrafo 1 acima.</w:t>
      </w:r>
    </w:p>
    <w:p w14:paraId="018411F7"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10. Qualquer unidade de redução de emissões, ou qualquer parte de uma quantidade atribuída, que uma Parte adquira de outra Parte em conformidade com as disposições do Artigo 6 ou do Artigo 17 deve ser acrescentada à quantidade atribuída à Parte adquirente.</w:t>
      </w:r>
    </w:p>
    <w:p w14:paraId="42B1DD63"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11. Qualquer unidade de redução de emissões, ou qualquer parte de uma quantidade atribuída, que uma Parte transfira para outra Parte em conformidade com as disposições do Artigo 6 ou do Artigo 17 deve ser subtraída da quantidade atribuída à Parte transferidora.</w:t>
      </w:r>
    </w:p>
    <w:p w14:paraId="3C8702B2"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12. Qualquer redução certificada de emissões que uma Parte adquira de outra Parte em conformidade com as disposições do Artigo 12 deve ser acrescentada à quantidade atribuída à Parte adquirente.</w:t>
      </w:r>
    </w:p>
    <w:p w14:paraId="227F42E7"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 xml:space="preserve">13. Se as emissões de uma Parte incluída no Anexo I em um período de compromisso forem inferiores </w:t>
      </w:r>
      <w:proofErr w:type="gramStart"/>
      <w:r w:rsidRPr="00827374">
        <w:rPr>
          <w:rFonts w:ascii="Book Antiqua" w:eastAsia="Times New Roman" w:hAnsi="Book Antiqua" w:cs="Arial"/>
          <w:color w:val="000000"/>
          <w:kern w:val="0"/>
          <w:sz w:val="19"/>
          <w:szCs w:val="19"/>
          <w:lang w:eastAsia="pt-BR"/>
          <w14:ligatures w14:val="none"/>
        </w:rPr>
        <w:t>a</w:t>
      </w:r>
      <w:proofErr w:type="gramEnd"/>
      <w:r w:rsidRPr="00827374">
        <w:rPr>
          <w:rFonts w:ascii="Book Antiqua" w:eastAsia="Times New Roman" w:hAnsi="Book Antiqua" w:cs="Arial"/>
          <w:color w:val="000000"/>
          <w:kern w:val="0"/>
          <w:sz w:val="19"/>
          <w:szCs w:val="19"/>
          <w:lang w:eastAsia="pt-BR"/>
          <w14:ligatures w14:val="none"/>
        </w:rPr>
        <w:t xml:space="preserve"> sua quantidade atribuída prevista neste Artigo, essa diferença, mediante solicitação dessa Parte, deve ser acrescentada à quantidade atribuída a essa Parte para períodos de compromisso </w:t>
      </w:r>
      <w:proofErr w:type="spellStart"/>
      <w:r w:rsidRPr="00827374">
        <w:rPr>
          <w:rFonts w:ascii="Book Antiqua" w:eastAsia="Times New Roman" w:hAnsi="Book Antiqua" w:cs="Arial"/>
          <w:color w:val="000000"/>
          <w:kern w:val="0"/>
          <w:sz w:val="19"/>
          <w:szCs w:val="19"/>
          <w:lang w:eastAsia="pt-BR"/>
          <w14:ligatures w14:val="none"/>
        </w:rPr>
        <w:t>subseqüentes</w:t>
      </w:r>
      <w:proofErr w:type="spellEnd"/>
      <w:r w:rsidRPr="00827374">
        <w:rPr>
          <w:rFonts w:ascii="Book Antiqua" w:eastAsia="Times New Roman" w:hAnsi="Book Antiqua" w:cs="Arial"/>
          <w:color w:val="000000"/>
          <w:kern w:val="0"/>
          <w:sz w:val="19"/>
          <w:szCs w:val="19"/>
          <w:lang w:eastAsia="pt-BR"/>
          <w14:ligatures w14:val="none"/>
        </w:rPr>
        <w:t>.</w:t>
      </w:r>
    </w:p>
    <w:p w14:paraId="07366267"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lastRenderedPageBreak/>
        <w:t>14. Cada Parte incluída no Anexo I deve empenhar-se para implementar os compromissos mencionados no parágrafo 1 acima de forma que sejam minimizados os efeitos adversos, tanto sociais como ambientais e econômicos, sobre as Partes países em desenvolvimento, particularmente as identificadas no Artigo 4, parágrafos 8 e 9, da Convenção. Em consonância com as decisões pertinentes da Conferência das Partes sobre a implementação desses parágrafos, a Conferência das Partes na qualidade de reunião das Partes deste Protocolo deve, em sua primeira sessão, considerar quais as ações se fazem necessárias para minimizar os efeitos adversos da mudança do clima e/ou os impactos de medidas de resposta sobre as Partes mencionadas nesses parágrafos. Entre as questões a serem consideradas devem estar a obtenção de fundos, seguro e transferência de tecnologia.</w:t>
      </w:r>
    </w:p>
    <w:p w14:paraId="4C69ABA9"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b/>
          <w:bCs/>
          <w:color w:val="000000"/>
          <w:kern w:val="0"/>
          <w:sz w:val="19"/>
          <w:szCs w:val="19"/>
          <w:lang w:eastAsia="pt-BR"/>
          <w14:ligatures w14:val="none"/>
        </w:rPr>
      </w:pPr>
      <w:r w:rsidRPr="00827374">
        <w:rPr>
          <w:rFonts w:ascii="Book Antiqua" w:eastAsia="Times New Roman" w:hAnsi="Book Antiqua" w:cs="Arial"/>
          <w:b/>
          <w:bCs/>
          <w:color w:val="000000"/>
          <w:kern w:val="0"/>
          <w:sz w:val="19"/>
          <w:szCs w:val="19"/>
          <w:highlight w:val="magenta"/>
          <w:lang w:eastAsia="pt-BR"/>
          <w14:ligatures w14:val="none"/>
        </w:rPr>
        <w:t>ARTIGO 4</w:t>
      </w:r>
    </w:p>
    <w:p w14:paraId="0CEB4C9D" w14:textId="1D24796D"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b/>
          <w:bCs/>
          <w:color w:val="000000"/>
          <w:kern w:val="0"/>
          <w:sz w:val="19"/>
          <w:szCs w:val="19"/>
          <w:highlight w:val="magenta"/>
          <w:lang w:eastAsia="pt-BR"/>
          <w14:ligatures w14:val="none"/>
        </w:rPr>
        <w:t>1</w:t>
      </w:r>
      <w:r w:rsidRPr="00827374">
        <w:rPr>
          <w:rFonts w:ascii="Book Antiqua" w:eastAsia="Times New Roman" w:hAnsi="Book Antiqua" w:cs="Arial"/>
          <w:b/>
          <w:bCs/>
          <w:color w:val="000000"/>
          <w:kern w:val="0"/>
          <w:sz w:val="19"/>
          <w:szCs w:val="19"/>
          <w:lang w:eastAsia="pt-BR"/>
          <w14:ligatures w14:val="none"/>
        </w:rPr>
        <w:t>. Qualquer Parte incluída no Anexo I que tenha acordado em cumprir conjuntamente seus compromissos assumidos sob o Artigo 3 será considerada como tendo cumprido esses compromissos se o total combinado de suas emissões antrópicas agregadas, expressas em dióxido de carbono equivalente, dos gases de efeito estufa listados no Anexo A não exceder suas quantidades atribuídas, calculadas de acordo com seus compromissos quantificados de limitação e redução de emissões, descritos no Anexo B, e em conformidade com as disposições do Artigo 3. O respectivo nível de emissão determinado para cada uma das Partes do acordo deve ser nele especificado</w:t>
      </w:r>
      <w:r w:rsidRPr="00827374">
        <w:rPr>
          <w:rFonts w:ascii="Book Antiqua" w:eastAsia="Times New Roman" w:hAnsi="Book Antiqua" w:cs="Arial"/>
          <w:color w:val="000000"/>
          <w:kern w:val="0"/>
          <w:sz w:val="19"/>
          <w:szCs w:val="19"/>
          <w:lang w:eastAsia="pt-BR"/>
          <w14:ligatures w14:val="none"/>
        </w:rPr>
        <w:t>.</w:t>
      </w:r>
      <w:r w:rsidR="00533FB1">
        <w:rPr>
          <w:rFonts w:ascii="Book Antiqua" w:eastAsia="Times New Roman" w:hAnsi="Book Antiqua" w:cs="Arial"/>
          <w:color w:val="000000"/>
          <w:kern w:val="0"/>
          <w:sz w:val="19"/>
          <w:szCs w:val="19"/>
          <w:lang w:eastAsia="pt-BR"/>
          <w14:ligatures w14:val="none"/>
        </w:rPr>
        <w:t xml:space="preserve"> </w:t>
      </w:r>
      <w:r w:rsidR="00533FB1">
        <w:rPr>
          <w:rFonts w:ascii="Book Antiqua" w:eastAsia="Times New Roman" w:hAnsi="Book Antiqua" w:cs="Arial"/>
          <w:b/>
          <w:bCs/>
          <w:color w:val="FF0000"/>
          <w:sz w:val="16"/>
          <w:szCs w:val="16"/>
          <w:u w:val="single"/>
          <w:lang w:eastAsia="pt-BR"/>
        </w:rPr>
        <w:t>(PGESP-2024)</w:t>
      </w:r>
    </w:p>
    <w:tbl>
      <w:tblPr>
        <w:tblStyle w:val="Tabelacomgrade"/>
        <w:tblW w:w="0" w:type="auto"/>
        <w:tblLook w:val="04A0" w:firstRow="1" w:lastRow="0" w:firstColumn="1" w:lastColumn="0" w:noHBand="0" w:noVBand="1"/>
      </w:tblPr>
      <w:tblGrid>
        <w:gridCol w:w="8494"/>
      </w:tblGrid>
      <w:tr w:rsidR="00533FB1" w14:paraId="64921F86" w14:textId="77777777" w:rsidTr="00533FB1">
        <w:tc>
          <w:tcPr>
            <w:tcW w:w="8494" w:type="dxa"/>
            <w:shd w:val="clear" w:color="auto" w:fill="CCFFFF"/>
          </w:tcPr>
          <w:p w14:paraId="16981CB6" w14:textId="6E8C1790" w:rsidR="00533FB1" w:rsidRDefault="00533FB1" w:rsidP="00533FB1">
            <w:pPr>
              <w:spacing w:before="100" w:beforeAutospacing="1" w:after="100" w:afterAutospacing="1"/>
              <w:jc w:val="both"/>
              <w:rPr>
                <w:rFonts w:ascii="Book Antiqua" w:eastAsia="Times New Roman" w:hAnsi="Book Antiqua" w:cs="Arial"/>
                <w:color w:val="000000"/>
                <w:kern w:val="0"/>
                <w:sz w:val="19"/>
                <w:szCs w:val="19"/>
                <w:lang w:eastAsia="pt-BR"/>
                <w14:ligatures w14:val="none"/>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PGESP</w:t>
            </w:r>
            <w:r w:rsidRPr="00F74394">
              <w:rPr>
                <w:rFonts w:ascii="Book Antiqua" w:hAnsi="Book Antiqua"/>
                <w:b/>
                <w:i/>
                <w:iCs/>
                <w:color w:val="FF0000"/>
                <w:sz w:val="19"/>
                <w:szCs w:val="19"/>
                <w:highlight w:val="green"/>
              </w:rPr>
              <w:t>-2024</w:t>
            </w:r>
            <w:r>
              <w:rPr>
                <w:rFonts w:ascii="Book Antiqua" w:hAnsi="Book Antiqua"/>
                <w:b/>
                <w:i/>
                <w:iCs/>
                <w:color w:val="FF0000"/>
                <w:sz w:val="19"/>
                <w:szCs w:val="19"/>
              </w:rPr>
              <w:t>: #</w:t>
            </w:r>
            <w:r w:rsidRPr="00F156D6">
              <w:rPr>
                <w:rFonts w:ascii="Book Antiqua" w:hAnsi="Book Antiqua"/>
                <w:b/>
                <w:i/>
                <w:iCs/>
                <w:color w:val="FF0000"/>
                <w:sz w:val="19"/>
                <w:szCs w:val="19"/>
                <w:highlight w:val="green"/>
              </w:rPr>
              <w:t>VUNESP</w:t>
            </w:r>
            <w:r w:rsidRPr="00FA33BF">
              <w:rPr>
                <w:rFonts w:ascii="Book Antiqua" w:hAnsi="Book Antiqua"/>
                <w:bCs/>
                <w:color w:val="000000"/>
                <w:sz w:val="19"/>
                <w:szCs w:val="19"/>
              </w:rPr>
              <w:t xml:space="preserve">: </w:t>
            </w:r>
            <w:bookmarkStart w:id="0" w:name="_Hlk525553018"/>
            <w:r>
              <w:rPr>
                <w:rFonts w:ascii="Book Antiqua" w:hAnsi="Book Antiqua"/>
                <w:sz w:val="19"/>
                <w:szCs w:val="19"/>
              </w:rPr>
              <w:t>Ao tratar sobre o</w:t>
            </w:r>
            <w:r w:rsidRPr="00FA33BF">
              <w:rPr>
                <w:rFonts w:ascii="Book Antiqua" w:hAnsi="Book Antiqua"/>
                <w:sz w:val="19"/>
                <w:szCs w:val="19"/>
              </w:rPr>
              <w:t xml:space="preserve"> </w:t>
            </w:r>
            <w:r w:rsidRPr="00333326">
              <w:rPr>
                <w:rFonts w:ascii="Book Antiqua" w:hAnsi="Book Antiqua"/>
                <w:b/>
                <w:bCs/>
                <w:sz w:val="19"/>
                <w:szCs w:val="19"/>
                <w:shd w:val="clear" w:color="auto" w:fill="F7CAAC" w:themeFill="accent2" w:themeFillTint="66"/>
              </w:rPr>
              <w:t>Princípio da Responsabilidade Comum, mas Diferenciada</w:t>
            </w:r>
            <w:r>
              <w:rPr>
                <w:rFonts w:ascii="Book Antiqua" w:hAnsi="Book Antiqua"/>
                <w:sz w:val="19"/>
                <w:szCs w:val="19"/>
              </w:rPr>
              <w:t>,</w:t>
            </w:r>
            <w:r w:rsidRPr="00FA33BF">
              <w:rPr>
                <w:rFonts w:ascii="Book Antiqua" w:hAnsi="Book Antiqua"/>
                <w:sz w:val="19"/>
                <w:szCs w:val="19"/>
              </w:rPr>
              <w:t xml:space="preserve"> </w:t>
            </w:r>
            <w:bookmarkEnd w:id="0"/>
            <w:r>
              <w:rPr>
                <w:rFonts w:ascii="Book Antiqua" w:hAnsi="Book Antiqua"/>
                <w:iCs/>
                <w:color w:val="000000"/>
                <w:sz w:val="19"/>
                <w:szCs w:val="19"/>
              </w:rPr>
              <w:t xml:space="preserve">Frederico Amado explica: </w:t>
            </w:r>
            <w:r w:rsidRPr="003D7D05">
              <w:rPr>
                <w:rFonts w:ascii="Book Antiqua" w:hAnsi="Book Antiqua"/>
                <w:i/>
                <w:color w:val="000000"/>
                <w:sz w:val="19"/>
                <w:szCs w:val="19"/>
              </w:rPr>
              <w:t>“</w:t>
            </w:r>
            <w:r w:rsidRPr="00333326">
              <w:rPr>
                <w:rFonts w:ascii="Book Antiqua" w:hAnsi="Book Antiqua"/>
                <w:i/>
                <w:color w:val="000000"/>
                <w:sz w:val="19"/>
                <w:szCs w:val="19"/>
              </w:rPr>
              <w:t>Merece ainda abordagem o Princípio da Responsabilidade Comum, mas Diferenciada, que tem feição ambiental internacional, decorrendo do Princípio da Isonomia, pontificando que todas as nações são responsáveis pelo controle da poluição e a busca da sustentabilidade, mas os países mais poluidores deverão adotar as medidas mais drásticas, pois são os principais responsáveis pela degradação ambiental na Biosfera, tendo sido previsto no Protocolo de Kyoto (art. 4.º, item 1) e no artigo 3.º, da Lei 12.187/2009, que aprovou a Política Nacional de Mudança do Clima</w:t>
            </w:r>
            <w:r w:rsidRPr="003D7D05">
              <w:rPr>
                <w:rFonts w:ascii="Book Antiqua" w:hAnsi="Book Antiqua"/>
                <w:i/>
                <w:color w:val="000000"/>
                <w:sz w:val="19"/>
                <w:szCs w:val="19"/>
              </w:rPr>
              <w:t>”.</w:t>
            </w:r>
            <w:r>
              <w:rPr>
                <w:rFonts w:ascii="Book Antiqua" w:hAnsi="Book Antiqua"/>
                <w:iCs/>
                <w:color w:val="000000"/>
                <w:sz w:val="19"/>
                <w:szCs w:val="19"/>
              </w:rPr>
              <w:t xml:space="preserve"> </w:t>
            </w:r>
            <w:r>
              <w:rPr>
                <w:rFonts w:ascii="Book Antiqua" w:hAnsi="Book Antiqua"/>
                <w:bCs/>
                <w:color w:val="000000"/>
                <w:sz w:val="19"/>
                <w:szCs w:val="19"/>
              </w:rPr>
              <w:t>(Fonte: AMADO, Frederico. Direito Ambiental Esquematizado. Editora Método, 5ª Ed. p. 81).</w:t>
            </w:r>
          </w:p>
        </w:tc>
      </w:tr>
    </w:tbl>
    <w:p w14:paraId="39E6CAD3" w14:textId="4DBCBA14"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 xml:space="preserve">2. As Partes de qualquer </w:t>
      </w:r>
      <w:proofErr w:type="gramStart"/>
      <w:r w:rsidRPr="00827374">
        <w:rPr>
          <w:rFonts w:ascii="Book Antiqua" w:eastAsia="Times New Roman" w:hAnsi="Book Antiqua" w:cs="Arial"/>
          <w:color w:val="000000"/>
          <w:kern w:val="0"/>
          <w:sz w:val="19"/>
          <w:szCs w:val="19"/>
          <w:lang w:eastAsia="pt-BR"/>
          <w14:ligatures w14:val="none"/>
        </w:rPr>
        <w:t>um desses acordos devem</w:t>
      </w:r>
      <w:proofErr w:type="gramEnd"/>
      <w:r w:rsidRPr="00827374">
        <w:rPr>
          <w:rFonts w:ascii="Book Antiqua" w:eastAsia="Times New Roman" w:hAnsi="Book Antiqua" w:cs="Arial"/>
          <w:color w:val="000000"/>
          <w:kern w:val="0"/>
          <w:sz w:val="19"/>
          <w:szCs w:val="19"/>
          <w:lang w:eastAsia="pt-BR"/>
          <w14:ligatures w14:val="none"/>
        </w:rPr>
        <w:t xml:space="preserve"> notificar o Secretariado sobre os termos do acordo na data de depósito de seus instrumentos de ratificação, aceitação, aprovação ou adesão a este Protocolo. O Secretariado, por sua vez, deve informar os termos do acordo às Partes e aos signatários da Convenção.</w:t>
      </w:r>
    </w:p>
    <w:p w14:paraId="65FFC56F"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3. Qualquer desses acordos deve permanecer em vigor durante o período de compromisso especificado no Artigo 3, parágrafo 7.</w:t>
      </w:r>
    </w:p>
    <w:p w14:paraId="204629CA"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 xml:space="preserve">4. Se as Partes atuando conjuntamente assim o fizerem no âmbito de uma organização regional de integração econômica e junto com ela, qualquer alteração na composição da organização após a adoção deste Protocolo não deverá afetar compromissos existentes no âmbito deste Protocolo. Qualquer alteração na composição da organização só será válida para fins dos compromissos previstos no Artigo 3 que sejam adotados em período </w:t>
      </w:r>
      <w:proofErr w:type="spellStart"/>
      <w:r w:rsidRPr="00827374">
        <w:rPr>
          <w:rFonts w:ascii="Book Antiqua" w:eastAsia="Times New Roman" w:hAnsi="Book Antiqua" w:cs="Arial"/>
          <w:color w:val="000000"/>
          <w:kern w:val="0"/>
          <w:sz w:val="19"/>
          <w:szCs w:val="19"/>
          <w:lang w:eastAsia="pt-BR"/>
          <w14:ligatures w14:val="none"/>
        </w:rPr>
        <w:t>subseqüente</w:t>
      </w:r>
      <w:proofErr w:type="spellEnd"/>
      <w:r w:rsidRPr="00827374">
        <w:rPr>
          <w:rFonts w:ascii="Book Antiqua" w:eastAsia="Times New Roman" w:hAnsi="Book Antiqua" w:cs="Arial"/>
          <w:color w:val="000000"/>
          <w:kern w:val="0"/>
          <w:sz w:val="19"/>
          <w:szCs w:val="19"/>
          <w:lang w:eastAsia="pt-BR"/>
          <w14:ligatures w14:val="none"/>
        </w:rPr>
        <w:t xml:space="preserve"> ao dessa alteração.</w:t>
      </w:r>
    </w:p>
    <w:p w14:paraId="3EBDE487"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5. Caso as Partes desses acordos não atinjam seu nível total combinado de redução de emissões, cada Parte desses acordos deve se responsabilizar pelo seu próprio nível de emissões determinado no acordo.</w:t>
      </w:r>
    </w:p>
    <w:p w14:paraId="15F4E716"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6. Se as Partes atuando conjuntamente assim o fizerem no âmbito de uma organização regional de integração econômica que seja Parte deste Protocolo e junto com ela, cada Estado-Membro dessa organização regional de integração econômica individual e conjuntamente com a organização regional de integração econômica, atuando em conformidade com o Artigo 24, no caso de não ser atingido o nível total combinado de redução de emissões, deve se responsabilizar por seu nível de emissões como notificado em conformidade com este Artigo.</w:t>
      </w:r>
    </w:p>
    <w:p w14:paraId="6F51FAE0"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5</w:t>
      </w:r>
    </w:p>
    <w:p w14:paraId="371252F2"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 xml:space="preserve">1. Cada Parte incluída no Anexo I deve estabelecer, dentro do período máximo de um ano antes do início do primeiro período de compromisso, um sistema nacional para a estimativa das emissões </w:t>
      </w:r>
      <w:r w:rsidRPr="00827374">
        <w:rPr>
          <w:rFonts w:ascii="Book Antiqua" w:eastAsia="Times New Roman" w:hAnsi="Book Antiqua" w:cs="Arial"/>
          <w:color w:val="000000"/>
          <w:kern w:val="0"/>
          <w:sz w:val="19"/>
          <w:szCs w:val="19"/>
          <w:lang w:eastAsia="pt-BR"/>
          <w14:ligatures w14:val="none"/>
        </w:rPr>
        <w:lastRenderedPageBreak/>
        <w:t>antrópicas por fontes e das remoções antrópicas por sumidouros de todos os gases de efeito estufa não controlados pelo Protocolo de Montreal. As diretrizes para tais sistemas nacionais, que devem incorporar as metodologias especificadas no parágrafo 2 abaixo, devem ser decididas pela Conferência das Partes na qualidade de reunião das Partes deste Protocolo em sua primeira sessão.</w:t>
      </w:r>
    </w:p>
    <w:p w14:paraId="5504D339"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 xml:space="preserve">2. As metodologias para a estimativa das emissões antrópicas por fontes e das remoções antrópicas por sumidouros de todos os gases de efeito estufa não controlados pelo Protocolo de Montreal devem ser as aceitas pelo Painel Intergovernamental sobre Mudança do Clima e acordadas pela Conferência das Partes em sua terceira sessão. Onde não forem utilizadas tais metodologias, ajustes adequados devem ser feitos de acordo com as metodologias acordadas pela Conferência das Partes na qualidade de reunião das Partes deste Protocolo em sua primeira sessão. Com base no trabalho, </w:t>
      </w:r>
      <w:proofErr w:type="spellStart"/>
      <w:r w:rsidRPr="00827374">
        <w:rPr>
          <w:rFonts w:ascii="Book Antiqua" w:eastAsia="Times New Roman" w:hAnsi="Book Antiqua" w:cs="Arial"/>
          <w:color w:val="000000"/>
          <w:kern w:val="0"/>
          <w:sz w:val="19"/>
          <w:szCs w:val="19"/>
          <w:lang w:eastAsia="pt-BR"/>
          <w14:ligatures w14:val="none"/>
        </w:rPr>
        <w:t>inter</w:t>
      </w:r>
      <w:proofErr w:type="spellEnd"/>
      <w:r w:rsidRPr="00827374">
        <w:rPr>
          <w:rFonts w:ascii="Book Antiqua" w:eastAsia="Times New Roman" w:hAnsi="Book Antiqua" w:cs="Arial"/>
          <w:color w:val="000000"/>
          <w:kern w:val="0"/>
          <w:sz w:val="19"/>
          <w:szCs w:val="19"/>
          <w:lang w:eastAsia="pt-BR"/>
          <w14:ligatures w14:val="none"/>
        </w:rPr>
        <w:t xml:space="preserve"> alia, do Painel Intergovernamental sobre Mudança do Clima e no assessoramento prestado pelo Órgão Subsidiário de Assessoramento Científico e Tecnológico, a Conferência das Partes na qualidade de reunião das Partes deste Protocolo deve rever periodicamente e, conforme o caso, revisar tais metodologias e ajustes, levando plenamente em conta qualquer decisão pertinente da Conferência das Partes. Qualquer revisão das metodologias ou ajustes deve ser utilizada somente com o propósito de garantir o cumprimento dos compromissos previstos no Artigo 3 com relação a qualquer período de compromisso adotado posteriormente a essa revisão.</w:t>
      </w:r>
    </w:p>
    <w:p w14:paraId="35280C39"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 xml:space="preserve">3. Os potenciais de aquecimento global utilizados para calcular a equivalência em dióxido de carbono das emissões antrópicas por fontes e das remoções antrópicas por sumidouros dos gases de efeito estufa listados no Anexo A devem ser os aceitos pelo Painel Intergovernamental sobre Mudança do Clima e acordados pela Conferência das Partes em sua terceira sessão. Com base no trabalho, </w:t>
      </w:r>
      <w:proofErr w:type="spellStart"/>
      <w:r w:rsidRPr="00827374">
        <w:rPr>
          <w:rFonts w:ascii="Book Antiqua" w:eastAsia="Times New Roman" w:hAnsi="Book Antiqua" w:cs="Arial"/>
          <w:color w:val="000000"/>
          <w:kern w:val="0"/>
          <w:sz w:val="19"/>
          <w:szCs w:val="19"/>
          <w:lang w:eastAsia="pt-BR"/>
          <w14:ligatures w14:val="none"/>
        </w:rPr>
        <w:t>inter</w:t>
      </w:r>
      <w:proofErr w:type="spellEnd"/>
      <w:r w:rsidRPr="00827374">
        <w:rPr>
          <w:rFonts w:ascii="Book Antiqua" w:eastAsia="Times New Roman" w:hAnsi="Book Antiqua" w:cs="Arial"/>
          <w:color w:val="000000"/>
          <w:kern w:val="0"/>
          <w:sz w:val="19"/>
          <w:szCs w:val="19"/>
          <w:lang w:eastAsia="pt-BR"/>
          <w14:ligatures w14:val="none"/>
        </w:rPr>
        <w:t xml:space="preserve"> alia, do Painel Intergovernamental sobre Mudança do Clima e no assessoramento prestado pelo Órgão Subsidiário de Assessoramento Científico e Tecnológico, a Conferência das Partes na qualidade de reunião das Partes deste Protocolo deve rever periodicamente e, conforme o caso, revisar o potencial de aquecimento global de cada um dos gases de efeito estufa, levando plenamente em conta qualquer decisão pertinente da Conferência das Partes. Qualquer revisão de um potencial de aquecimento global deve ser aplicada somente aos compromissos assumidos sob o Artigo 3 com relação a qualquer período de compromisso adotado posteriormente a essa revisão.</w:t>
      </w:r>
    </w:p>
    <w:p w14:paraId="5C69AA5E"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6</w:t>
      </w:r>
    </w:p>
    <w:p w14:paraId="5CB9B2CF"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1. A fim de cumprir os compromissos assumidos sob o Artigo 3, qualquer Parte incluída no Anexo I pode transferir para ou adquirir de qualquer outra dessas Partes unidades de redução de emissões resultantes de projetos visando a redução das emissões antrópicas por fontes ou o aumento das remoções antrópicas por sumidouros de gases de efeito estufa em qualquer setor da economia, desde que:</w:t>
      </w:r>
    </w:p>
    <w:p w14:paraId="5B0DA728"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 O projeto tenha a aprovação das Partes envolvidas;</w:t>
      </w:r>
    </w:p>
    <w:p w14:paraId="35D2A251"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(b) O projeto promova uma redução das emissões por fontes ou um aumento das remoções por sumidouros que sejam adicionais aos que ocorreriam na sua ausência;</w:t>
      </w:r>
    </w:p>
    <w:p w14:paraId="6CA9CFC5"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(c) A Parte não adquira nenhuma unidade de redução de emissões se não estiver em conformidade com suas obrigações assumidas sob os Artigos 5 e 7; e</w:t>
      </w:r>
    </w:p>
    <w:p w14:paraId="4994AA4F"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(d) A aquisição de unidades de redução de emissões seja suplementar às ações domésticas realizadas com o fim de cumprir os compromissos previstos no Artigo 3.</w:t>
      </w:r>
    </w:p>
    <w:p w14:paraId="67566859"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2. A Conferência das Partes na qualidade de reunião das Partes deste Protocolo pode, em sua primeira sessão ou assim que seja viável a partir de então, aprimorar diretrizes para a implementação deste Artigo, inclusive para verificação e elaboração de relatórios.</w:t>
      </w:r>
    </w:p>
    <w:p w14:paraId="78EDFB64"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3. Uma Parte incluída no Anexo I pode autorizar entidades jurídicas a participarem, sob sua responsabilidade, de ações que promovam a geração, a transferência ou a aquisição, sob este Artigo, de unidades de redução de emissões.</w:t>
      </w:r>
    </w:p>
    <w:p w14:paraId="5CD21C18"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lastRenderedPageBreak/>
        <w:t>4. Se uma questão de implementação por uma Parte incluída no Anexo I das exigências mencionadas neste parágrafo é identificada de acordo com as disposições pertinentes do Artigo 8, as transferências e aquisições de unidades de redução de emissões podem continuar a ser feitas depois de ter sido identificada a questão, desde que quaisquer dessas unidades não sejam usadas pela Parte para atender os seus compromissos assumidos sob o Artigo 3 até que seja resolvida qualquer questão de cumprimento.</w:t>
      </w:r>
    </w:p>
    <w:p w14:paraId="038CACCC"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7</w:t>
      </w:r>
    </w:p>
    <w:p w14:paraId="46CDCD0D"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1. Cada Parte incluída no Anexo I deve incorporar ao seu inventário anual de emissões antrópicas por fontes e remoções antrópicas por sumidouros de gases de efeito estufa não controlados pelo Protocolo de Montreal, submetido de acordo com as decisões pertinentes da Conferência das Partes, as informações suplementares necessárias com o propósito de assegurar o cumprimento do Artigo 3, a serem determinadas em conformidade com o parágrafo 4 abaixo.</w:t>
      </w:r>
    </w:p>
    <w:p w14:paraId="60403560"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2. Cada Parte incluída no Anexo I deve incorporar à sua comunicação nacional, submetida de acordo com o Artigo 12 da Convenção, as informações suplementares necessárias para demonstrar o cumprimento dos compromissos assumidos sob este Protocolo, a serem determinadas em conformidade com o parágrafo 4 abaixo.</w:t>
      </w:r>
    </w:p>
    <w:p w14:paraId="1A4C92EC"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 xml:space="preserve">3. Cada Parte incluída no Anexo I deve submeter as informações solicitadas no parágrafo 1 acima anualmente, começando com o primeiro inventário que deve ser entregue, segundo a Convenção, no primeiro ano do período de compromisso após a entrada em vigor deste Protocolo para essa Parte. Cada uma dessas Partes deve submeter as informações solicitadas no parágrafo 2 acima como parte da primeira comunicação nacional que deve ser entregue, segundo a Convenção, após a entrada em vigor deste Protocolo para a Parte e após a adoção de diretrizes como previsto no parágrafo 4 abaixo. A </w:t>
      </w:r>
      <w:proofErr w:type="spellStart"/>
      <w:r w:rsidRPr="00827374">
        <w:rPr>
          <w:rFonts w:ascii="Book Antiqua" w:eastAsia="Times New Roman" w:hAnsi="Book Antiqua" w:cs="Arial"/>
          <w:color w:val="000000"/>
          <w:kern w:val="0"/>
          <w:sz w:val="19"/>
          <w:szCs w:val="19"/>
          <w:lang w:eastAsia="pt-BR"/>
          <w14:ligatures w14:val="none"/>
        </w:rPr>
        <w:t>freqüência</w:t>
      </w:r>
      <w:proofErr w:type="spellEnd"/>
      <w:r w:rsidRPr="00827374">
        <w:rPr>
          <w:rFonts w:ascii="Book Antiqua" w:eastAsia="Times New Roman" w:hAnsi="Book Antiqua" w:cs="Arial"/>
          <w:color w:val="000000"/>
          <w:kern w:val="0"/>
          <w:sz w:val="19"/>
          <w:szCs w:val="19"/>
          <w:lang w:eastAsia="pt-BR"/>
          <w14:ligatures w14:val="none"/>
        </w:rPr>
        <w:t xml:space="preserve"> das submissões </w:t>
      </w:r>
      <w:proofErr w:type="spellStart"/>
      <w:r w:rsidRPr="00827374">
        <w:rPr>
          <w:rFonts w:ascii="Book Antiqua" w:eastAsia="Times New Roman" w:hAnsi="Book Antiqua" w:cs="Arial"/>
          <w:color w:val="000000"/>
          <w:kern w:val="0"/>
          <w:sz w:val="19"/>
          <w:szCs w:val="19"/>
          <w:lang w:eastAsia="pt-BR"/>
          <w14:ligatures w14:val="none"/>
        </w:rPr>
        <w:t>subseqüentes</w:t>
      </w:r>
      <w:proofErr w:type="spellEnd"/>
      <w:r w:rsidRPr="00827374">
        <w:rPr>
          <w:rFonts w:ascii="Book Antiqua" w:eastAsia="Times New Roman" w:hAnsi="Book Antiqua" w:cs="Arial"/>
          <w:color w:val="000000"/>
          <w:kern w:val="0"/>
          <w:sz w:val="19"/>
          <w:szCs w:val="19"/>
          <w:lang w:eastAsia="pt-BR"/>
          <w14:ligatures w14:val="none"/>
        </w:rPr>
        <w:t xml:space="preserve"> das informações solicitadas sob este Artigo deve ser determinada pela Conferência das Partes na qualidade de reunião das Partes deste Protocolo, levando em conta qualquer prazo para a submissão de comunicações nacionais conforme decidido pela Conferência das Partes.</w:t>
      </w:r>
    </w:p>
    <w:p w14:paraId="06AD228F"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4. A Conferência das Partes na qualidade de reunião das Partes deste Protocolo deve adotar em sua primeira sessão, e rever periodicamente a partir de então, diretrizes para a preparação das informações solicitadas sob este Artigo, levando em conta as diretrizes para a preparação de comunicações nacionais das Partes incluídas no Anexo I, adotadas pela Conferência das Partes. A Conferência das Partes na qualidade de reunião das Partes deste Protocolo deve também, antes do primeiro período de compromisso, decidir sobre as modalidades de contabilização das quantidades atribuídas.</w:t>
      </w:r>
    </w:p>
    <w:p w14:paraId="3B136B9E"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8</w:t>
      </w:r>
    </w:p>
    <w:p w14:paraId="7314518E"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1. As informações submetidas de acordo com o Artigo 7 por cada Parte incluída no Anexo I devem ser revistas por equipes revisoras de especialistas em conformidade com as decisões pertinentes da Conferência das Partes e em consonância com as diretrizes adotadas com esse propósito pela Conferência das Partes na qualidade de reunião das Partes deste Protocolo, conforme o parágrafo 4 abaixo. As informações submetidas segundo o Artigo 7, parágrafo 1, por cada Parte incluída no Anexo I devem ser revistas como parte da compilação anual e contabilização dos inventários de emissões e das quantidades atribuídas. Adicionalmente, as informações submetidas de acordo com o Artigo 7, parágrafo 2, por cada Parte incluída no Anexo I devem ser revistas como parte da revisão das comunicações.</w:t>
      </w:r>
    </w:p>
    <w:p w14:paraId="6D89A786"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2. As equipes revisoras de especialistas devem ser coordenadas pelo Secretariado e compostas por especialistas selecionados a partir de indicações das Partes da Convenção e, conforme o caso, de organizações intergovernamentais, em conformidade com a orientação dada para esse fim pela Conferência das Partes.</w:t>
      </w:r>
    </w:p>
    <w:p w14:paraId="54ECB218"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 xml:space="preserve">3. O processo de revisão deve produzir uma avaliação técnica completa e abrangente de todos os aspectos da implementação deste Protocolo por uma Parte. As equipes revisoras de especialistas devem preparar um relatório para a Conferência das Partes na qualidade de reunião das Partes deste </w:t>
      </w:r>
      <w:r w:rsidRPr="00827374">
        <w:rPr>
          <w:rFonts w:ascii="Book Antiqua" w:eastAsia="Times New Roman" w:hAnsi="Book Antiqua" w:cs="Arial"/>
          <w:color w:val="000000"/>
          <w:kern w:val="0"/>
          <w:sz w:val="19"/>
          <w:szCs w:val="19"/>
          <w:lang w:eastAsia="pt-BR"/>
          <w14:ligatures w14:val="none"/>
        </w:rPr>
        <w:lastRenderedPageBreak/>
        <w:t>Protocolo, avaliando a implementação dos compromissos da Parte e identificando possíveis problemas e fatores que possam estar influenciando a efetivação dos compromissos. Esses relatórios devem ser distribuídos pelo Secretariado a todas as Partes da Convenção. O Secretariado deve listar as questões de implementação indicadas em tais relatórios para posterior consideração pela Conferência das Partes na qualidade de reunião das Partes deste Protocolo.</w:t>
      </w:r>
    </w:p>
    <w:p w14:paraId="17792AA6"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4. A Conferência das Partes na qualidade de reunião das Partes deste Protocolo deve adotar em sua primeira sessão, e rever periodicamente a partir de então, as diretrizes para a revisão da implementação deste Protocolo por equipes revisoras de especialistas, levando em conta as decisões pertinentes da Conferência das Partes.</w:t>
      </w:r>
    </w:p>
    <w:p w14:paraId="1E65D34F"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5. A Conferência das Partes na qualidade de reunião das Partes deste Protocolo deve, com a assistência do Órgão Subsidiário de Implementação e, conforme o caso, do Órgão de Assessoramento Científico e Tecnológico, considerar:</w:t>
      </w:r>
    </w:p>
    <w:p w14:paraId="43684F99"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 As informações submetidas pelas Partes segundo o Artigo 7 e os relatórios das revisões dos especialistas sobre essas informações, elaborados de acordo com este Artigo; e</w:t>
      </w:r>
    </w:p>
    <w:p w14:paraId="13C26884"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(b) As questões de implementação listadas pelo Secretariado em conformidade com o parágrafo 3 acima, bem como qualquer questão levantada pelas Partes.</w:t>
      </w:r>
    </w:p>
    <w:p w14:paraId="243051D1"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6. A Conferência das Partes na qualidade de reunião das Partes deste Protocolo deve tomar decisões sobre qualquer assunto necessário para a implementação deste Protocolo de acordo com as considerações feitas sobre as informações a que se refere o parágrafo 5 acima.</w:t>
      </w:r>
    </w:p>
    <w:p w14:paraId="6CBF8BCD"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9</w:t>
      </w:r>
    </w:p>
    <w:p w14:paraId="0B631F40"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1. A Conferência das Partes na qualidade de reunião das Partes deste Protocolo deve rever periodicamente este Protocolo à luz das melhores informações e avaliações científicas disponíveis sobre a mudança do clima e seus impactos, bem como de informações técnicas, sociais e econômicas relevantes. Tais revisões devem ser coordenadas com revisões pertinentes segundo a Convenção, em particular as dispostas no Artigo 4, parágrafo 2(d), e Artigo 7, parágrafo 2(a), da Convenção. Com base nessas revisões, a Conferência das Partes na qualidade de reunião das Partes deste Protocolo deve tomar as providências adequadas.</w:t>
      </w:r>
    </w:p>
    <w:p w14:paraId="74B2A3C0"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 xml:space="preserve">2. A primeira revisão deve acontecer na segunda sessão da Conferência das Partes na qualidade de reunião das Partes deste Protocolo. Revisões </w:t>
      </w:r>
      <w:proofErr w:type="spellStart"/>
      <w:r w:rsidRPr="00827374">
        <w:rPr>
          <w:rFonts w:ascii="Book Antiqua" w:eastAsia="Times New Roman" w:hAnsi="Book Antiqua" w:cs="Arial"/>
          <w:color w:val="000000"/>
          <w:kern w:val="0"/>
          <w:sz w:val="19"/>
          <w:szCs w:val="19"/>
          <w:lang w:eastAsia="pt-BR"/>
          <w14:ligatures w14:val="none"/>
        </w:rPr>
        <w:t>subseqüentes</w:t>
      </w:r>
      <w:proofErr w:type="spellEnd"/>
      <w:r w:rsidRPr="00827374">
        <w:rPr>
          <w:rFonts w:ascii="Book Antiqua" w:eastAsia="Times New Roman" w:hAnsi="Book Antiqua" w:cs="Arial"/>
          <w:color w:val="000000"/>
          <w:kern w:val="0"/>
          <w:sz w:val="19"/>
          <w:szCs w:val="19"/>
          <w:lang w:eastAsia="pt-BR"/>
          <w14:ligatures w14:val="none"/>
        </w:rPr>
        <w:t xml:space="preserve"> devem acontecer em intervalos regulares e de maneira oportuna.</w:t>
      </w:r>
    </w:p>
    <w:p w14:paraId="04410439"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10</w:t>
      </w:r>
    </w:p>
    <w:p w14:paraId="4D4BC1C4"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Todas as Partes, levando em conta suas responsabilidades comuns mas diferenciadas e suas prioridades de desenvolvimento, objetivos e circunstâncias específicos, nacionais e regionais, sem a introdução de qualquer novo compromisso para as Partes não incluídas no Anexo I, mas reafirmando os compromissos existentes no Artigo 4, parágrafo 1, da Convenção, e continuando a fazer avançar a implementação desses compromissos a fim de atingir o desenvolvimento sustentável, levando em conta o Artigo 4, parágrafos 3, 5 e 7, da Convenção, devem:</w:t>
      </w:r>
    </w:p>
    <w:p w14:paraId="6E556BD8"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 Formular, quando apropriado e na medida do possível, programas nacionais e, conforme o caso, regionais adequados, eficazes em relação aos custos, para melhorar a qualidade dos fatores de emissão, dados de atividade e/ou modelos locais que reflitam as condições socioeconômicas de cada Parte para a preparação e atualização periódica de inventários nacionais de emissões antrópicas por fontes e remoções antrópicas por sumidouros de todos os gases de efeito estufa não controlados pelo Protocolo de Montreal, empregando metodologias comparáveis a serem acordadas pela Conferência das Partes e consistentes com as diretrizes para a preparação de comunicações nacionais adotadas pela Conferência das Partes;</w:t>
      </w:r>
    </w:p>
    <w:p w14:paraId="5E173008"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lastRenderedPageBreak/>
        <w:t>(b) Formular, implementar, publicar e atualizar regularmente programas nacionais e, conforme o caso, regionais, que contenham medidas para mitigar a mudança do clima bem como medidas para facilitar uma adaptação adequada à mudança do clima:</w:t>
      </w:r>
    </w:p>
    <w:p w14:paraId="3A9A98C5"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(i) Tais programas envolveriam, entre outros, os setores de energia, transporte e indústria, bem como os de agricultura, florestas e tratamento de resíduos. Além disso, tecnologias e métodos de adaptação para aperfeiçoar o planejamento espacial melhorariam a adaptação à mudança do clima; e</w:t>
      </w:r>
    </w:p>
    <w:p w14:paraId="57E38CB1"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w:t>
      </w:r>
      <w:proofErr w:type="spellStart"/>
      <w:r w:rsidRPr="00827374">
        <w:rPr>
          <w:rFonts w:ascii="Book Antiqua" w:eastAsia="Times New Roman" w:hAnsi="Book Antiqua" w:cs="Arial"/>
          <w:color w:val="000000"/>
          <w:kern w:val="0"/>
          <w:sz w:val="19"/>
          <w:szCs w:val="19"/>
          <w:lang w:eastAsia="pt-BR"/>
          <w14:ligatures w14:val="none"/>
        </w:rPr>
        <w:t>ii</w:t>
      </w:r>
      <w:proofErr w:type="spellEnd"/>
      <w:r w:rsidRPr="00827374">
        <w:rPr>
          <w:rFonts w:ascii="Book Antiqua" w:eastAsia="Times New Roman" w:hAnsi="Book Antiqua" w:cs="Arial"/>
          <w:color w:val="000000"/>
          <w:kern w:val="0"/>
          <w:sz w:val="19"/>
          <w:szCs w:val="19"/>
          <w:lang w:eastAsia="pt-BR"/>
          <w14:ligatures w14:val="none"/>
        </w:rPr>
        <w:t>) As Partes incluídas no Anexo I devem submeter informações sobre ações no âmbito deste Protocolo, incluindo programas nacionais, em conformidade com o Artigo 7; e as outras Partes devem buscar incluir em suas comunicações nacionais, conforme o caso, informações sobre programas que contenham medidas que a Parte acredite contribuir para enfrentar a mudança do clima e seus efeitos adversos, incluindo a redução dos aumentos das emissões de gases de efeito estufa e aumento dos sumidouros e remoções, capacitação e medidas de adaptação;</w:t>
      </w:r>
    </w:p>
    <w:p w14:paraId="4F9934F2"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(c) Cooperar na promoção de modalidades efetivas para o desenvolvimento, a aplicação e a difusão, e tomar todas as medidas possíveis para promover, facilitar e financiar, conforme o caso, a transferência ou o acesso a tecnologias, know-how, práticas e processos ambientalmente seguros relativos à mudança do clima, em particular para os países em desenvolvimento, incluindo a formulação de políticas e programas para a transferência efetiva de tecnologias ambientalmente seguras que sejam de propriedade pública ou de domínio público e a criação, no setor privado, de um ambiente propício para promover e melhorar a transferência de tecnologias ambientalmente seguras e o acesso a elas;</w:t>
      </w:r>
    </w:p>
    <w:p w14:paraId="43910F2A"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 xml:space="preserve">(d) Cooperar nas pesquisas científicas e técnicas e promover a manutenção e o desenvolvimento de sistemas de observação sistemática e o desenvolvimento de arquivos de dados para reduzir as incertezas relacionadas ao sistema climático, os efeitos adversos da mudança do clima e as </w:t>
      </w:r>
      <w:proofErr w:type="spellStart"/>
      <w:r w:rsidRPr="00827374">
        <w:rPr>
          <w:rFonts w:ascii="Book Antiqua" w:eastAsia="Times New Roman" w:hAnsi="Book Antiqua" w:cs="Arial"/>
          <w:color w:val="000000"/>
          <w:kern w:val="0"/>
          <w:sz w:val="19"/>
          <w:szCs w:val="19"/>
          <w:lang w:eastAsia="pt-BR"/>
          <w14:ligatures w14:val="none"/>
        </w:rPr>
        <w:t>conseqüências</w:t>
      </w:r>
      <w:proofErr w:type="spellEnd"/>
      <w:r w:rsidRPr="00827374">
        <w:rPr>
          <w:rFonts w:ascii="Book Antiqua" w:eastAsia="Times New Roman" w:hAnsi="Book Antiqua" w:cs="Arial"/>
          <w:color w:val="000000"/>
          <w:kern w:val="0"/>
          <w:sz w:val="19"/>
          <w:szCs w:val="19"/>
          <w:lang w:eastAsia="pt-BR"/>
          <w14:ligatures w14:val="none"/>
        </w:rPr>
        <w:t xml:space="preserve"> econômicas e sociais das várias estratégias de resposta e promover o desenvolvimento e o fortalecimento da capacidade e dos recursos endógenos para participar dos esforços, programas e redes internacionais e intergovernamentais de pesquisa e observação sistemática, levando em conta o Artigo 5 da Convenção;</w:t>
      </w:r>
    </w:p>
    <w:p w14:paraId="2EFFA3A3"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(e) Cooperar e promover em nível internacional e, conforme o caso, por meio de organismos existentes, a elaboração e a execução de programas de educação e treinamento, incluindo o fortalecimento da capacitação nacional, em particular a capacitação humana e institucional e o intercâmbio ou cessão de pessoal para treinar especialistas nessas áreas, em particular para os países em desenvolvimento, e facilitar em nível nacional a conscientização pública e o acesso público a informações sobre a mudança do clima. Modalidades adequadas devem ser desenvolvidas para implementar essas atividades por meio dos órgãos apropriados da Convenção, levando em conta o Artigo 6 da Convenção;</w:t>
      </w:r>
    </w:p>
    <w:p w14:paraId="203574D7"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(f) Incluir em suas comunicações nacionais informações sobre programas e atividades empreendidos em conformidade com este Artigo de acordo com as decisões pertinentes da Conferência das Partes; e</w:t>
      </w:r>
    </w:p>
    <w:p w14:paraId="3DD020AA"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(g) Levar plenamente em conta, na implementação dos compromissos previstos neste Artigo, o Artigo 4, parágrafo 8, da Convenção.</w:t>
      </w:r>
    </w:p>
    <w:p w14:paraId="7481FB50"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11</w:t>
      </w:r>
    </w:p>
    <w:p w14:paraId="399318EF"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1. Na implementação do Artigo 10, as Partes devem levar em conta as disposições do Artigo 4, parágrafos 4, 5, 7, 8 e 9, da Convenção.</w:t>
      </w:r>
    </w:p>
    <w:p w14:paraId="5B305FD1"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2. No contexto da implementação do Artigo 4, parágrafo 1, da Convenção, em conformidade com as disposições do Artigo 4, parágrafo 3, e do Artigo 11 da Convenção, e por meio da entidade ou entidades encarregadas da operação do mecanismo financeiro da Convenção, as Partes países desenvolvidos e as demais Partes desenvolvidas incluídas no Anexo II da Convenção devem:</w:t>
      </w:r>
    </w:p>
    <w:p w14:paraId="69D8AA58"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lastRenderedPageBreak/>
        <w:t>(a) Prover recursos financeiros novos e adicionais para cobrir integralmente os custos por elas acordados incorridos pelas Partes países em desenvolvimento para fazer avançar a implementação dos compromissos assumidos sob o Artigo 4, parágrafo 1(a), da Convenção e previstos no Artigo 10, alínea (a); e</w:t>
      </w:r>
    </w:p>
    <w:p w14:paraId="380BCE82"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(b) Também prover esses recursos financeiros, inclusive para a transferência de tecnologia, de que necessitem as Partes países em desenvolvimento para cobrir integralmente os custos incrementais para fazer avançar a implementação dos compromissos existentes sob o Artigo 4, parágrafo 1, da Convenção e descritos no Artigo 10 e que sejam acordados entre uma Parte país em desenvolvimento e a entidade ou entidades internacionais a que se refere o Artigo 11 da Convenção, em conformidade com esse Artigo.</w:t>
      </w:r>
    </w:p>
    <w:p w14:paraId="37FE1137"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 implementação desses compromissos existentes deve levar em conta a necessidade de que o fluxo de recursos financeiros seja adequado e previsível e a importância da divisão adequada do ônus entre as Partes países desenvolvidos. A orientação para a entidade ou entidades encarregadas da operação do mecanismo financeiro da Convenção em decisões pertinentes da Conferência das Partes, incluindo as acordadas antes da adoção deste Protocolo, aplica-se mutatis mutandis às disposições deste parágrafo.</w:t>
      </w:r>
    </w:p>
    <w:p w14:paraId="28E74977"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3. As Partes países desenvolvidos e demais Partes desenvolvidas do Anexo II da Convenção podem também prover recursos financeiros para a implementação do Artigo 10 por meio de canais bilaterais, regionais e multilaterais e as Partes países em desenvolvimento podem deles beneficiar-se.</w:t>
      </w:r>
    </w:p>
    <w:p w14:paraId="4BFA35F1"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12</w:t>
      </w:r>
    </w:p>
    <w:p w14:paraId="58F444FA"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1. Fica definido um mecanismo de desenvolvimento limpo.</w:t>
      </w:r>
    </w:p>
    <w:p w14:paraId="2E071046"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2. O objetivo do mecanismo de desenvolvimento limpo deve ser assistir às Partes não incluídas no Anexo I para que atinjam o desenvolvimento sustentável e contribuam para o objetivo final da Convenção, e assistir às Partes incluídas no Anexo I para que cumpram seus compromissos quantificados de limitação e redução de emissões, assumidos no Artigo 3.</w:t>
      </w:r>
    </w:p>
    <w:p w14:paraId="60082505"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3. Sob o mecanismo de desenvolvimento limpo:</w:t>
      </w:r>
    </w:p>
    <w:p w14:paraId="3381179E"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 As Partes não incluídas no Anexo I beneficiar-se-ão de atividades de projetos que resultem em reduções certificadas de emissões; e</w:t>
      </w:r>
    </w:p>
    <w:p w14:paraId="7A73EA54"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(b) As Partes incluídas no Anexo I podem utilizar as reduções certificadas de emissões, resultantes de tais atividades de projetos, para contribuir com o cumprimento de parte de seus compromissos quantificados de limitação e redução de emissões, assumidos no Artigo 3, como determinado pela Conferência das Partes na qualidade de reunião das Partes deste Protocolo.</w:t>
      </w:r>
    </w:p>
    <w:p w14:paraId="4BF181DD"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4. O mecanismo de desenvolvimento limpo deve sujeitar-se à autoridade e orientação da Conferência das Partes na qualidade de reunião das Partes deste Protocolo e à supervisão de um conselho executivo do mecanismo de desenvolvimento limpo.</w:t>
      </w:r>
    </w:p>
    <w:p w14:paraId="0B0FE41D"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5. As reduções de emissões resultantes de cada atividade de projeto devem ser certificadas por entidades operacionais a serem designadas pela Conferência das Partes na qualidade de reunião das Partes deste Protocolo, com base em:</w:t>
      </w:r>
    </w:p>
    <w:p w14:paraId="7BAEE46E"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 Participação voluntária aprovada por cada Parte envolvida;</w:t>
      </w:r>
    </w:p>
    <w:p w14:paraId="7F7E3D21"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(b) Benefícios reais, mensuráveis e de longo prazo relacionados com a mitigação da mudança do clima, e</w:t>
      </w:r>
    </w:p>
    <w:p w14:paraId="28FC0DDB"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(c) Reduções de emissões que sejam adicionais às que ocorreriam na ausência da atividade certificada de projeto.</w:t>
      </w:r>
    </w:p>
    <w:p w14:paraId="68AC4F91"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lastRenderedPageBreak/>
        <w:t>6. O mecanismo de desenvolvimento limpo deve prestar assistência quanto à obtenção de fundos para atividades certificadas de projetos quando necessário.</w:t>
      </w:r>
    </w:p>
    <w:p w14:paraId="357552AE"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7. A Conferência das Partes na qualidade de reunião das Partes deste Protocolo deve, em sua primeira sessão, elaborar modalidades e procedimentos com o objetivo de assegurar transparência, eficiência e prestação de contas das atividades de projetos por meio de auditorias e verificações independentes.</w:t>
      </w:r>
    </w:p>
    <w:p w14:paraId="70F1B15A"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8. A Conferência das Partes na qualidade de reunião das Partes deste Protocolo deve assegurar que uma fração dos fundos advindos de atividades de projetos certificadas seja utilizada para cobrir despesas administrativas, assim como assistir às Partes países em desenvolvimento que sejam particularmente vulneráveis aos efeitos adversos da mudança do clima para fazer face aos custos de adaptação.</w:t>
      </w:r>
    </w:p>
    <w:p w14:paraId="032DC93A"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9. A participação no mecanismo de desenvolvimento limpo, inclusive nas atividades mencionadas no parágrafo 3(a) acima e na aquisição de reduções certificadas de emissão, pode envolver entidades privadas e/ou públicas e deve sujeitar-se a qualquer orientação que possa ser dada pelo conselho executivo do mecanismo de desenvolvimento limpo.</w:t>
      </w:r>
    </w:p>
    <w:p w14:paraId="0E8D6F8B"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10. Reduções certificadas de emissões obtidas durante o período do ano 2000 até o início do primeiro período de compromisso podem ser utilizadas para auxiliar no cumprimento das responsabilidades relativas ao primeiro período de compromisso.</w:t>
      </w:r>
    </w:p>
    <w:p w14:paraId="62FCE730"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13</w:t>
      </w:r>
    </w:p>
    <w:p w14:paraId="1B3DF60E"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1. A Conferência das Partes, o órgão supremo da Convenção, deve atuar na qualidade de reunião das Partes deste Protocolo.</w:t>
      </w:r>
    </w:p>
    <w:p w14:paraId="331533DB"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2. As Partes da Convenção que não sejam Partes deste Protocolo podem participar como observadoras das deliberações de qualquer sessão da Conferência das Partes na qualidade de reunião das Partes deste Protocolo. Quando a Conferência das Partes atuar na qualidade de reunião das Partes deste Protocolo, as decisões tomadas sob este Protocolo devem ser tomadas somente por aquelas que sejam Partes deste Protocolo.</w:t>
      </w:r>
    </w:p>
    <w:p w14:paraId="4F7317F3"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 xml:space="preserve">3. Quando a Conferência das Partes atuar na qualidade de reunião das Partes deste Protocolo, qualquer membro da Mesa da Conferência das Partes representando uma Parte da </w:t>
      </w:r>
      <w:proofErr w:type="gramStart"/>
      <w:r w:rsidRPr="00827374">
        <w:rPr>
          <w:rFonts w:ascii="Book Antiqua" w:eastAsia="Times New Roman" w:hAnsi="Book Antiqua" w:cs="Arial"/>
          <w:color w:val="000000"/>
          <w:kern w:val="0"/>
          <w:sz w:val="19"/>
          <w:szCs w:val="19"/>
          <w:lang w:eastAsia="pt-BR"/>
          <w14:ligatures w14:val="none"/>
        </w:rPr>
        <w:t>Convenção</w:t>
      </w:r>
      <w:proofErr w:type="gramEnd"/>
      <w:r w:rsidRPr="00827374">
        <w:rPr>
          <w:rFonts w:ascii="Book Antiqua" w:eastAsia="Times New Roman" w:hAnsi="Book Antiqua" w:cs="Arial"/>
          <w:color w:val="000000"/>
          <w:kern w:val="0"/>
          <w:sz w:val="19"/>
          <w:szCs w:val="19"/>
          <w:lang w:eastAsia="pt-BR"/>
          <w14:ligatures w14:val="none"/>
        </w:rPr>
        <w:t xml:space="preserve"> mas, nessa ocasião, não uma Parte deste Protocolo, deve ser substituído por um outro membro, escolhido entre as Partes deste Protocolo e por elas eleito.</w:t>
      </w:r>
    </w:p>
    <w:p w14:paraId="0D6A9262"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4. A Conferência das Partes na qualidade de reunião das Partes deste Protocolo deve manter a implementação deste Protocolo sob revisão periódica e tomar, dentro de seu mandato, as decisões necessárias para promover a sua implementação efetiva. Deve executar as funções a ela atribuídas por este Protocolo e deve:</w:t>
      </w:r>
    </w:p>
    <w:p w14:paraId="4C7E698E"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 Com base em todas as informações apresentadas em conformidade com as disposições deste Protocolo, avaliar a implementação deste Protocolo pelas Partes, os efeitos gerais das medidas tomadas de acordo com este Protocolo, em particular os efeitos ambientais, econômicos e sociais, bem como os seus efeitos cumulativos e o grau de progresso no atendimento do objetivo da Convenção;</w:t>
      </w:r>
    </w:p>
    <w:p w14:paraId="28A45004"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(b) Examinar periodicamente as obrigações das Partes deste Protocolo, com a devida consideração a qualquer revisão exigida pelo Artigo 4, parágrafo 2(d), e Artigo 7, parágrafo 2, da Convenção, à luz do seu objetivo, da experiência adquirida em sua implementação e da evolução dos conhecimentos científicos e tecnológicos, e a esse respeito, considerar e adotar relatórios periódicos sobre a implementação deste Protocolo;</w:t>
      </w:r>
    </w:p>
    <w:p w14:paraId="429E84B7"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 xml:space="preserve">(c) Promover e facilitar o intercâmbio de informações sobre medidas adotadas pelas Partes para enfrentar a mudança do clima e seus efeitos, levando em conta as diferentes circunstâncias, </w:t>
      </w:r>
      <w:r w:rsidRPr="00827374">
        <w:rPr>
          <w:rFonts w:ascii="Book Antiqua" w:eastAsia="Times New Roman" w:hAnsi="Book Antiqua" w:cs="Arial"/>
          <w:color w:val="000000"/>
          <w:kern w:val="0"/>
          <w:sz w:val="19"/>
          <w:szCs w:val="19"/>
          <w:lang w:eastAsia="pt-BR"/>
          <w14:ligatures w14:val="none"/>
        </w:rPr>
        <w:lastRenderedPageBreak/>
        <w:t>responsabilidades e recursos das Partes e seus respectivos compromissos assumidos sob este Protocolo;</w:t>
      </w:r>
    </w:p>
    <w:p w14:paraId="56564376"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(d) Facilitar, mediante solicitação de duas ou mais Partes, a coordenação de medidas por elas adotadas para enfrentar a mudança do clima e seus efeitos, levando em conta as diferentes circunstâncias, responsabilidades e capacidades das Partes e seus respectivos compromissos assumidos sob este Protocolo;</w:t>
      </w:r>
    </w:p>
    <w:p w14:paraId="4666DDAF"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(e) Promover e orientar, em conformidade com o objetivo da Convenção e as disposições deste Protocolo, e levando plenamente em conta as decisões pertinentes da Conferência das Partes, o desenvolvimento e aperfeiçoamento periódico de metodologias comparáveis para a implementação efetiva deste Protocolo, a serem acordadas pela Conferência das Partes na qualidade de reunião das Partes deste Protocolo;</w:t>
      </w:r>
    </w:p>
    <w:p w14:paraId="735357EA"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(f) Fazer recomendações sobre qualquer assunto necessário à implementação deste Protocolo;</w:t>
      </w:r>
    </w:p>
    <w:p w14:paraId="5F60A7F0"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(g) Procurar mobilizar recursos financeiros adicionais em conformidade com o Artigo 11, parágrafo 2;</w:t>
      </w:r>
    </w:p>
    <w:p w14:paraId="1A178CD0"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(h) Estabelecer os órgãos subsidiários considerados necessários à implementação deste Protocolo;</w:t>
      </w:r>
    </w:p>
    <w:p w14:paraId="1481CD40"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(i) Buscar e utilizar, conforme o caso, os serviços e a cooperação das organizações internacionais e dos organismos intergovernamentais e não-governamentais competentes, bem como as informações por eles fornecidas; e</w:t>
      </w:r>
    </w:p>
    <w:p w14:paraId="52ABC0E1"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(j) Desempenhar as demais funções necessárias à implementação deste Protocolo e considerar qualquer atribuição resultante de uma decisão da Conferência das Partes.</w:t>
      </w:r>
    </w:p>
    <w:p w14:paraId="22134D29"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5. As regras de procedimento da Conferência das Partes e os procedimentos financeiros aplicados sob a Convenção devem ser aplicados mutatis mutandis sob este Protocolo, exceto quando decidido de outra forma por consenso pela Conferência das Partes na qualidade de reunião das Partes deste Protocolo.</w:t>
      </w:r>
    </w:p>
    <w:p w14:paraId="5983D411"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 xml:space="preserve">6. A primeira sessão da Conferência das Partes na qualidade de reunião das Partes deste Protocolo deve ser convocada pelo Secretariado juntamente com a primeira sessão da Conferência das Partes programada para depois da data de entrada em vigor deste Protocolo. As sessões ordinárias </w:t>
      </w:r>
      <w:proofErr w:type="spellStart"/>
      <w:r w:rsidRPr="00827374">
        <w:rPr>
          <w:rFonts w:ascii="Book Antiqua" w:eastAsia="Times New Roman" w:hAnsi="Book Antiqua" w:cs="Arial"/>
          <w:color w:val="000000"/>
          <w:kern w:val="0"/>
          <w:sz w:val="19"/>
          <w:szCs w:val="19"/>
          <w:lang w:eastAsia="pt-BR"/>
          <w14:ligatures w14:val="none"/>
        </w:rPr>
        <w:t>subseqüentes</w:t>
      </w:r>
      <w:proofErr w:type="spellEnd"/>
      <w:r w:rsidRPr="00827374">
        <w:rPr>
          <w:rFonts w:ascii="Book Antiqua" w:eastAsia="Times New Roman" w:hAnsi="Book Antiqua" w:cs="Arial"/>
          <w:color w:val="000000"/>
          <w:kern w:val="0"/>
          <w:sz w:val="19"/>
          <w:szCs w:val="19"/>
          <w:lang w:eastAsia="pt-BR"/>
          <w14:ligatures w14:val="none"/>
        </w:rPr>
        <w:t xml:space="preserve"> da Conferência das Partes na qualidade de reunião das Partes deste Protocolo devem ser realizadas anualmente e em conjunto com as sessões ordinárias da Conferência das Partes a menos que decidido de outra forma pela Conferência das Partes na qualidade de reunião das Partes deste Protocolo.</w:t>
      </w:r>
    </w:p>
    <w:p w14:paraId="316B7687"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7. As sessões extraordinárias da Conferência das Partes na qualidade de reunião das Partes deste Protocolo devem ser realizadas em outras datas quando julgado necessário pela Conferência das Partes na qualidade de reunião das Partes deste Protocolo, ou por solicitação escrita de qualquer Parte, desde que, dentro de seis meses após a solicitação ter sido comunicada às Partes pelo Secretariado, receba o apoio de pelo menos um terço das Partes.</w:t>
      </w:r>
    </w:p>
    <w:p w14:paraId="02AEF788"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8. As Nações Unidas, seus órgãos especializados e a Agência Internacional de Energia Atômica, bem como qualquer Estado-Membro dessas organizações ou observador junto às mesmas que não seja Parte desta Convenção podem se fazer representar como observadores nas sessões da Conferência das Partes na qualidade de reunião das Partes deste Protocolo. Qualquer outro órgão ou agência, nacional ou internacional, governamental ou não-governamental, competente em assuntos de que trata este Protocolo e que tenha informado ao Secretariado o seu desejo de se fazer representar como observador numa sessão da Conferência das Partes na qualidade de reunião das Partes deste Protocolo, pode ser admitido nessa qualidade, salvo se pelo menos um terço das Partes presentes objete. A admissão e participação dos observadores devem sujeitar-se às regras de procedimento a que se refere o parágrafo 5 acima.</w:t>
      </w:r>
    </w:p>
    <w:p w14:paraId="0D5AD1C2"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lastRenderedPageBreak/>
        <w:t>ARTIGO 14</w:t>
      </w:r>
    </w:p>
    <w:p w14:paraId="702DBF8A"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1. O Secretariado estabelecido pelo Artigo 8 da Convenção deve desempenhar a função de Secretariado deste Protocolo.</w:t>
      </w:r>
    </w:p>
    <w:p w14:paraId="261A0D97"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2. O Artigo 8, parágrafo 2, da Convenção, sobre as funções do Secretariado e o Artigo 8, parágrafo 3, da Convenção, sobre as providências tomadas para o seu funcionamento, devem ser aplicados mutatis mutandis a este Protocolo. O Secretariado deve, além disso, exercer as funções a ele atribuídas sob este Protocolo.</w:t>
      </w:r>
    </w:p>
    <w:p w14:paraId="50882874"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15</w:t>
      </w:r>
    </w:p>
    <w:p w14:paraId="1284D8BD"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1. O Órgão Subsidiário de Assessoramento Científico e Tecnológico e o Órgão Subsidiário de Implementação estabelecidos nos Artigos 9 e 10 da Convenção devem atuar, respectivamente, como o Órgão Subsidiário de Assessoramento Científico e Tecnológico e o Órgão Subsidiário de Implementação deste Protocolo. As disposições relacionadas com o funcionamento desses dois órgãos sob a Convenção devem ser aplicadas mutatis mutandis a este Protocolo. As sessões das reuniões do Órgão Subsidiário de Assessoramento Científico e Tecnológico e do Órgão Subsidiário de Implementação deste Protocolo devem ser realizadas conjuntamente com as reuniões do Órgão Subsidiário de Assessoramento Científico e Tecnológico e do Órgão Subsidiário de Implementação da Convenção, respectivamente.</w:t>
      </w:r>
    </w:p>
    <w:p w14:paraId="0D7B8209"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2. As Partes da Convenção que não são Partes deste Protocolo podem participar como observadoras das deliberações de qualquer sessão dos órgãos subsidiários. Quando os órgãos subsidiários atuarem como órgãos subsidiários deste Protocolo, as decisões sob este Protocolo devem ser tomadas somente por aquelas que sejam Partes deste Protocolo.</w:t>
      </w:r>
    </w:p>
    <w:p w14:paraId="56384FA9"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3. Quando os órgãos subsidiários estabelecidos pelos Artigos 9 e 10 da Convenção exerçam suas funções com relação a assuntos que dizem respeito a este Protocolo, qualquer membro das Mesas desses órgãos subsidiários representando uma Parte da Convenção, mas nessa ocasião, não uma Parte deste Protocolo, deve ser substituído por um outro membro escolhido entre as Partes deste Protocolo e por elas eleito.</w:t>
      </w:r>
    </w:p>
    <w:p w14:paraId="4954EFAB"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16</w:t>
      </w:r>
    </w:p>
    <w:p w14:paraId="5A7B54D4"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 Conferência das Partes na qualidade de reunião das Partes deste Protocolo deve, tão logo seja possível, considerar a aplicação a este Protocolo, e modificação conforme o caso, do processo multilateral de consultas a que se refere o Artigo 13 da Convenção, à luz de qualquer decisão pertinente que possa ser tomada pela Conferência das Partes. Qualquer processo multilateral de consultas que possa ser aplicado a este Protocolo deve operar sem prejuízo dos procedimentos e mecanismos estabelecidos em conformidade com o Artigo 18.</w:t>
      </w:r>
    </w:p>
    <w:p w14:paraId="48721D76"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17</w:t>
      </w:r>
    </w:p>
    <w:p w14:paraId="5CE1068A"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 Conferência das Partes deve definir os princípios, as modalidades, regras e diretrizes apropriados, em particular para verificação, elaboração de relatórios e prestação de contas do comércio de emissões. As Partes incluídas no Anexo B podem participar do comércio de emissões com o objetivo de cumprir os compromissos assumidos sob o Artigo 3. Tal comércio deve ser suplementar às ações domésticas com vistas a atender os compromissos quantificados de limitação e redução de emissões, assumidos sob esse Artigo.</w:t>
      </w:r>
    </w:p>
    <w:p w14:paraId="3FC4D1B2"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18</w:t>
      </w:r>
    </w:p>
    <w:p w14:paraId="7CAD7346"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 xml:space="preserve">A Conferência das Partes na qualidade de reunião das Partes deste Protocolo deve, em sua primeira sessão, aprovar procedimentos e mecanismos adequados e eficazes para determinar e tratar de casos de não-cumprimento das disposições deste Protocolo, inclusive por meio do desenvolvimento de uma lista indicando possíveis </w:t>
      </w:r>
      <w:proofErr w:type="spellStart"/>
      <w:r w:rsidRPr="00827374">
        <w:rPr>
          <w:rFonts w:ascii="Book Antiqua" w:eastAsia="Times New Roman" w:hAnsi="Book Antiqua" w:cs="Arial"/>
          <w:color w:val="000000"/>
          <w:kern w:val="0"/>
          <w:sz w:val="19"/>
          <w:szCs w:val="19"/>
          <w:lang w:eastAsia="pt-BR"/>
          <w14:ligatures w14:val="none"/>
        </w:rPr>
        <w:t>conseqüências</w:t>
      </w:r>
      <w:proofErr w:type="spellEnd"/>
      <w:r w:rsidRPr="00827374">
        <w:rPr>
          <w:rFonts w:ascii="Book Antiqua" w:eastAsia="Times New Roman" w:hAnsi="Book Antiqua" w:cs="Arial"/>
          <w:color w:val="000000"/>
          <w:kern w:val="0"/>
          <w:sz w:val="19"/>
          <w:szCs w:val="19"/>
          <w:lang w:eastAsia="pt-BR"/>
          <w14:ligatures w14:val="none"/>
        </w:rPr>
        <w:t xml:space="preserve">, levando em conta a causa, o tipo, o grau e a </w:t>
      </w:r>
      <w:proofErr w:type="spellStart"/>
      <w:r w:rsidRPr="00827374">
        <w:rPr>
          <w:rFonts w:ascii="Book Antiqua" w:eastAsia="Times New Roman" w:hAnsi="Book Antiqua" w:cs="Arial"/>
          <w:color w:val="000000"/>
          <w:kern w:val="0"/>
          <w:sz w:val="19"/>
          <w:szCs w:val="19"/>
          <w:lang w:eastAsia="pt-BR"/>
          <w14:ligatures w14:val="none"/>
        </w:rPr>
        <w:t>freqüência</w:t>
      </w:r>
      <w:proofErr w:type="spellEnd"/>
      <w:r w:rsidRPr="00827374">
        <w:rPr>
          <w:rFonts w:ascii="Book Antiqua" w:eastAsia="Times New Roman" w:hAnsi="Book Antiqua" w:cs="Arial"/>
          <w:color w:val="000000"/>
          <w:kern w:val="0"/>
          <w:sz w:val="19"/>
          <w:szCs w:val="19"/>
          <w:lang w:eastAsia="pt-BR"/>
          <w14:ligatures w14:val="none"/>
        </w:rPr>
        <w:t xml:space="preserve"> </w:t>
      </w:r>
      <w:r w:rsidRPr="00827374">
        <w:rPr>
          <w:rFonts w:ascii="Book Antiqua" w:eastAsia="Times New Roman" w:hAnsi="Book Antiqua" w:cs="Arial"/>
          <w:color w:val="000000"/>
          <w:kern w:val="0"/>
          <w:sz w:val="19"/>
          <w:szCs w:val="19"/>
          <w:lang w:eastAsia="pt-BR"/>
          <w14:ligatures w14:val="none"/>
        </w:rPr>
        <w:lastRenderedPageBreak/>
        <w:t xml:space="preserve">do não-cumprimento. Qualquer procedimento e mecanismo sob este Artigo que acarretem </w:t>
      </w:r>
      <w:proofErr w:type="spellStart"/>
      <w:r w:rsidRPr="00827374">
        <w:rPr>
          <w:rFonts w:ascii="Book Antiqua" w:eastAsia="Times New Roman" w:hAnsi="Book Antiqua" w:cs="Arial"/>
          <w:color w:val="000000"/>
          <w:kern w:val="0"/>
          <w:sz w:val="19"/>
          <w:szCs w:val="19"/>
          <w:lang w:eastAsia="pt-BR"/>
          <w14:ligatures w14:val="none"/>
        </w:rPr>
        <w:t>conseqüências</w:t>
      </w:r>
      <w:proofErr w:type="spellEnd"/>
      <w:r w:rsidRPr="00827374">
        <w:rPr>
          <w:rFonts w:ascii="Book Antiqua" w:eastAsia="Times New Roman" w:hAnsi="Book Antiqua" w:cs="Arial"/>
          <w:color w:val="000000"/>
          <w:kern w:val="0"/>
          <w:sz w:val="19"/>
          <w:szCs w:val="19"/>
          <w:lang w:eastAsia="pt-BR"/>
          <w14:ligatures w14:val="none"/>
        </w:rPr>
        <w:t xml:space="preserve"> de caráter vinculante devem ser adotados por meio de uma emenda a este Protocolo.</w:t>
      </w:r>
    </w:p>
    <w:p w14:paraId="252C4DED"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19</w:t>
      </w:r>
    </w:p>
    <w:p w14:paraId="2FB63C90"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As disposições do Artigo 14 da Convenção sobre a solução de controvérsias aplicam-se mutatis mutandis a este Protocolo.</w:t>
      </w:r>
    </w:p>
    <w:p w14:paraId="7D3E3461"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20</w:t>
      </w:r>
    </w:p>
    <w:p w14:paraId="566C65CC"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1. Qualquer Parte pode propor emendas a este Protocolo.</w:t>
      </w:r>
    </w:p>
    <w:p w14:paraId="178A26FE"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2. As emendas a este Protocolo devem ser adotadas em sessão ordinária da Conferência das Partes na qualidade de reunião das Partes deste Protocolo. O texto de qualquer emenda proposta a este Protocolo deve ser comunicado às Partes pelo Secretariado pelo menos seis meses antes da sessão em que será proposta sua adoção. O texto de qualquer emenda proposta deve também ser comunicado pelo Secretariado às Partes e aos signatários da Convenção e, para informação, ao Depositário.</w:t>
      </w:r>
    </w:p>
    <w:p w14:paraId="2A06969F"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3. As Partes devem fazer todo o possível para chegar a acordo por consenso sobre qualquer emenda proposta a este Protocolo. Uma vez exauridos todos os esforços para chegar a um consenso sem que se tenha chegado a um acordo, a emenda deve ser adotada, em última instância, por maioria de três quartos dos votos das Partes presentes e votantes na sessão. A emenda adotada deve ser comunicada pelo Secretariado ao Depositário, que deve comunicá-la a todas as Partes para aceitação.</w:t>
      </w:r>
    </w:p>
    <w:p w14:paraId="59CD1C04"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4. Os instrumentos de aceitação em relação a uma emenda devem ser depositados junto ao Depositário. Uma emenda adotada, em conformidade com o parágrafo 3 acima, deve entrar em vigor para as Partes que a tenham aceito no nonagésimo dia após a data de recebimento, pelo Depositário, dos instrumentos de aceitação de pelo menos três quartos das Partes deste Protocolo.</w:t>
      </w:r>
    </w:p>
    <w:p w14:paraId="2CB89F85"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5. A emenda deve entrar em vigor para qualquer outra Parte no nonagésimo dia após a data em que a Parte deposite, junto ao Depositário, seu instrumento de aceitação de tal emenda.</w:t>
      </w:r>
    </w:p>
    <w:p w14:paraId="41CC7188"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21</w:t>
      </w:r>
    </w:p>
    <w:p w14:paraId="5B2C3B6E"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1. Os anexos deste Protocolo constituem parte integrante do mesmo e, salvo se expressamente disposto de outro modo, qualquer referência a este Protocolo constitui ao mesmo tempo referência a qualquer de seus anexos. Qualquer anexo adotado após a entrada em vigor deste Protocolo deve conter apenas listas, formulários e qualquer outro material de natureza descritiva que trate de assuntos de caráter científico, técnico, administrativo ou de procedimento.</w:t>
      </w:r>
    </w:p>
    <w:p w14:paraId="4AF0E0AC"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2. Qualquer Parte pode elaborar propostas de anexo para este Protocolo e propor emendas a anexos deste Protocolo.</w:t>
      </w:r>
    </w:p>
    <w:p w14:paraId="15E80E0A"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3. Os anexos deste Protocolo e as emendas a anexos deste Protocolo devem ser adotados em sessão ordinária da Conferência das Partes na qualidade de reunião das Partes deste Protocolo. O texto de qualquer proposta de anexo ou de emenda a um anexo deve ser comunicado às Partes pelo Secretariado pelo menos seis meses antes da reunião em que será proposta sua adoção. O texto de qualquer proposta de anexo ou de emenda a um anexo deve também ser comunicado pelo Secretariado às Partes e aos signatários da Convenção e, para informação, ao Depositário.</w:t>
      </w:r>
    </w:p>
    <w:p w14:paraId="026F4A29"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4. As Partes devem fazer todo o possível para chegar a acordo por consenso sobre qualquer proposta de anexo ou de emenda a um anexo. Uma vez exauridos todos os esforços para chegar a um consenso sem que se tenha chegado a um acordo, o anexo ou a emenda a um anexo devem ser adotados, em última instância, por maioria de três quartos dos votos das Partes presentes e votantes na sessão. Os anexos ou emendas a um anexo adotados devem ser comunicados pelo Secretariado ao Depositário, que deve comunicá-los a todas as Partes para aceitação.</w:t>
      </w:r>
    </w:p>
    <w:p w14:paraId="027CC70A"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lastRenderedPageBreak/>
        <w:t>5. Um anexo, ou emenda a um anexo, que não Anexo A ou B, que tenha sido adotado em conformidade com os parágrafos 3 e 4 acima deve entrar em vigor para todas as Partes deste Protocolo seis meses após a data de comunicação a essas Partes, pelo Depositário, da adoção do anexo ou da emenda ao anexo, à exceção das Partes que notificarem o Depositário, por escrito, e no mesmo prazo, de sua não-aceitação do anexo ou da emenda ao anexo. O anexo ou a emenda a um anexo devem entrar em vigor para as Partes que tenham retirado sua notificação de não-aceitação no nonagésimo dia após a data de recebimento, pelo Depositário, da retirada dessa notificação.</w:t>
      </w:r>
    </w:p>
    <w:p w14:paraId="07EC6A55"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6. Se a adoção de um anexo ou de uma emenda a um anexo envolver uma emenda a este Protocolo, esse anexo ou emenda a um anexo não deve entrar em vigor até que entre em vigor a emenda a este Protocolo.</w:t>
      </w:r>
    </w:p>
    <w:p w14:paraId="13B802FD"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7. As emendas aos Anexos A e B deste Protocolo devem ser adotadas e entrar em vigor em conformidade com os procedimentos descritos no Artigo 20, desde que qualquer emenda ao Anexo B seja adotada mediante o consentimento por escrito da Parte envolvida.</w:t>
      </w:r>
    </w:p>
    <w:p w14:paraId="15575409"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22</w:t>
      </w:r>
    </w:p>
    <w:p w14:paraId="523FA06C"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1. Cada Parte tem direito a um voto, à exceção do disposto no parágrafo 2 abaixo.</w:t>
      </w:r>
    </w:p>
    <w:p w14:paraId="6DFA3DFF"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2. As organizações regionais de integração econômica devem exercer, em assuntos de sua competência, seu direito de voto com um número de votos igual ao número de seus Estados-Membros Partes deste Protocolo. Essas organizações não devem exercer seu direito de voto se qualquer de seus Estados-Membros exercer esse direito e vice-versa.</w:t>
      </w:r>
    </w:p>
    <w:p w14:paraId="34294371"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23</w:t>
      </w:r>
    </w:p>
    <w:p w14:paraId="2E0D1DCB"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O Secretário-Geral das Nações Unidas será o Depositário deste Protocolo.</w:t>
      </w:r>
    </w:p>
    <w:p w14:paraId="483CC31F"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24</w:t>
      </w:r>
    </w:p>
    <w:p w14:paraId="5E1655F3"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1. Este Protocolo estará aberto a assinatura e sujeito a ratificação, aceitação ou aprovação de Estados e organizações regionais de integração econômica que sejam Partes da Convenção. Estará aberto a assinatura na sede das Nações Unidas em Nova York de 16 de março de 1998 a 15 de março de 1999. Este Protocolo estará aberto a adesões a partir do dia seguinte à data em que não mais estiver aberto a assinaturas. Os instrumentos de ratificação, aceitação, aprovação ou adesão devem ser depositados junto ao Depositário.</w:t>
      </w:r>
    </w:p>
    <w:p w14:paraId="19EC3561"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2. Qualquer organização regional de integração econômica que se torne Parte deste Protocolo, sem que nenhum de seus Estados-Membros seja Parte, deve sujeitar-se a todas as obrigações previstas neste Protocolo. No caso de um ou mais Estados-Membros dessas organizações serem Partes deste Protocolo, a organização e seus Estados-Membros devem decidir sobre suas respectivas responsabilidades pelo desempenho de suas obrigações previstas neste Protocolo. Nesses casos, as organizações e os Estados-Membros não podem exercer simultaneamente direitos estabelecidos por este Protocolo.</w:t>
      </w:r>
    </w:p>
    <w:p w14:paraId="15C88582"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3. Em seus instrumentos de ratificação, aceitação, aprovação ou adesão, as organizações regionais de integração econômica devem declarar o âmbito de suas competências no tocante a assuntos regidos por este Protocolo. Essas organizações devem também informar ao Depositário qualquer modificação substancial no âmbito de suas competências, o qual, por sua vez, deve transmitir essas informações às Partes.</w:t>
      </w:r>
    </w:p>
    <w:p w14:paraId="48B699B4"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25</w:t>
      </w:r>
    </w:p>
    <w:p w14:paraId="20336130"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1. Este Protocolo entra em vigor no nonagésimo dia após a data em que pelo menos 55 Partes da Convenção, englobando as Partes incluídas no Anexo I que contabilizaram no total pelo menos 55 por cento das emissões totais de dióxido de carbono em 1990 das Partes incluídas no Anexo I, tenham depositado seus instrumentos de ratificação, aceitação, aprovação ou adesão.</w:t>
      </w:r>
    </w:p>
    <w:p w14:paraId="6E243D42"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lastRenderedPageBreak/>
        <w:t>2. Para os fins deste Artigo, "as emissões totais de dióxido de carbono em 1990 das Partes incluídas no Anexo I" significa a quantidade comunicada anteriormente ou na data de adoção deste Protocolo pelas Partes incluídas no Anexo I em sua primeira comunicação nacional, submetida em conformidade com o Artigo 12 da Convenção.</w:t>
      </w:r>
    </w:p>
    <w:p w14:paraId="7F4F1079"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3. Para cada Estado ou organização regional de integração econômica que ratifique, aceite, aprove ou adira a este Protocolo após terem sido reunidas as condições para entrada em vigor descritas no parágrafo 1 acima, este Protocolo entra em vigor no nonagésimo dia após a data de depósito de seu instrumento de ratificação, aceitação, aprovação ou adesão.</w:t>
      </w:r>
    </w:p>
    <w:p w14:paraId="1737E9C5"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4. Para os fins deste Artigo, qualquer instrumento depositado por uma organização regional de integração econômica não deve ser considerado como adicional aos depositados por Estados-Membros da organização.</w:t>
      </w:r>
    </w:p>
    <w:p w14:paraId="570FEF20"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26</w:t>
      </w:r>
    </w:p>
    <w:p w14:paraId="1955802F"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Nenhuma reserva pode ser feita a este Protocolo.</w:t>
      </w:r>
    </w:p>
    <w:p w14:paraId="00235196"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27</w:t>
      </w:r>
    </w:p>
    <w:p w14:paraId="65FD980B"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1. Após três anos da entrada em vigor deste Protocolo para uma Parte, essa Parte pode, a qualquer momento, denunciá-lo por meio de notificação por escrito ao Depositário.</w:t>
      </w:r>
    </w:p>
    <w:p w14:paraId="4CBED2CF"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2. Essa denúncia tem efeito um ano após a data de recebimento pelo Depositário da notificação de denúncia, ou em data posterior se assim nela for estipulado.</w:t>
      </w:r>
    </w:p>
    <w:p w14:paraId="4FAA3E3E"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3. Deve ser considerado que qualquer Parte que denuncie a Convenção denuncia também este Protocolo.</w:t>
      </w:r>
    </w:p>
    <w:p w14:paraId="5122B1B4"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ARTIGO 28</w:t>
      </w:r>
    </w:p>
    <w:p w14:paraId="3B0836C9"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O original deste Protocolo, cujos textos em árabe, chinês, inglês, francês, russo e espanhol são igualmente autênticos, deve ser depositado junto ao Secretário-Geral das Nações Unidas.</w:t>
      </w:r>
    </w:p>
    <w:p w14:paraId="452A822E"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FEITO em Quioto aos onze dias de dezembro de mil novecentos e noventa e sete.</w:t>
      </w:r>
    </w:p>
    <w:p w14:paraId="0AD0EB4B" w14:textId="77777777" w:rsidR="00827374" w:rsidRPr="00827374" w:rsidRDefault="00827374" w:rsidP="00827374">
      <w:pPr>
        <w:spacing w:before="100" w:beforeAutospacing="1" w:after="100" w:afterAutospacing="1" w:line="240" w:lineRule="auto"/>
        <w:ind w:firstLine="432"/>
        <w:jc w:val="both"/>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EM FÉ DO QUE, os abaixo assinados, devidamente autorizados para esse fim, firmam este Protocolo nas datas indicadas.</w:t>
      </w:r>
    </w:p>
    <w:p w14:paraId="0BDF41CA"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ANEXO A</w:t>
      </w:r>
    </w:p>
    <w:p w14:paraId="0EEB95F0"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Gases de efeito estufa</w:t>
      </w:r>
    </w:p>
    <w:p w14:paraId="7EE3CA76"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Dióxido de carbono (CO2)</w:t>
      </w:r>
      <w:r w:rsidRPr="00827374">
        <w:rPr>
          <w:rFonts w:ascii="Book Antiqua" w:eastAsia="Times New Roman" w:hAnsi="Book Antiqua" w:cs="Arial"/>
          <w:color w:val="000000"/>
          <w:kern w:val="0"/>
          <w:sz w:val="19"/>
          <w:szCs w:val="19"/>
          <w:lang w:eastAsia="pt-BR"/>
          <w14:ligatures w14:val="none"/>
        </w:rPr>
        <w:br/>
        <w:t>Metano (CH4)</w:t>
      </w:r>
      <w:r w:rsidRPr="00827374">
        <w:rPr>
          <w:rFonts w:ascii="Book Antiqua" w:eastAsia="Times New Roman" w:hAnsi="Book Antiqua" w:cs="Arial"/>
          <w:color w:val="000000"/>
          <w:kern w:val="0"/>
          <w:sz w:val="19"/>
          <w:szCs w:val="19"/>
          <w:lang w:eastAsia="pt-BR"/>
          <w14:ligatures w14:val="none"/>
        </w:rPr>
        <w:br/>
        <w:t>Óxido nitroso (N2O)</w:t>
      </w:r>
      <w:r w:rsidRPr="00827374">
        <w:rPr>
          <w:rFonts w:ascii="Book Antiqua" w:eastAsia="Times New Roman" w:hAnsi="Book Antiqua" w:cs="Arial"/>
          <w:color w:val="000000"/>
          <w:kern w:val="0"/>
          <w:sz w:val="19"/>
          <w:szCs w:val="19"/>
          <w:lang w:eastAsia="pt-BR"/>
          <w14:ligatures w14:val="none"/>
        </w:rPr>
        <w:br/>
        <w:t>Hidrofluorcarbonos (</w:t>
      </w:r>
      <w:proofErr w:type="spellStart"/>
      <w:r w:rsidRPr="00827374">
        <w:rPr>
          <w:rFonts w:ascii="Book Antiqua" w:eastAsia="Times New Roman" w:hAnsi="Book Antiqua" w:cs="Arial"/>
          <w:color w:val="000000"/>
          <w:kern w:val="0"/>
          <w:sz w:val="19"/>
          <w:szCs w:val="19"/>
          <w:lang w:eastAsia="pt-BR"/>
          <w14:ligatures w14:val="none"/>
        </w:rPr>
        <w:t>HFCs</w:t>
      </w:r>
      <w:proofErr w:type="spellEnd"/>
      <w:r w:rsidRPr="00827374">
        <w:rPr>
          <w:rFonts w:ascii="Book Antiqua" w:eastAsia="Times New Roman" w:hAnsi="Book Antiqua" w:cs="Arial"/>
          <w:color w:val="000000"/>
          <w:kern w:val="0"/>
          <w:sz w:val="19"/>
          <w:szCs w:val="19"/>
          <w:lang w:eastAsia="pt-BR"/>
          <w14:ligatures w14:val="none"/>
        </w:rPr>
        <w:t>)</w:t>
      </w:r>
      <w:r w:rsidRPr="00827374">
        <w:rPr>
          <w:rFonts w:ascii="Book Antiqua" w:eastAsia="Times New Roman" w:hAnsi="Book Antiqua" w:cs="Arial"/>
          <w:color w:val="000000"/>
          <w:kern w:val="0"/>
          <w:sz w:val="19"/>
          <w:szCs w:val="19"/>
          <w:lang w:eastAsia="pt-BR"/>
          <w14:ligatures w14:val="none"/>
        </w:rPr>
        <w:br/>
      </w:r>
      <w:proofErr w:type="spellStart"/>
      <w:r w:rsidRPr="00827374">
        <w:rPr>
          <w:rFonts w:ascii="Book Antiqua" w:eastAsia="Times New Roman" w:hAnsi="Book Antiqua" w:cs="Arial"/>
          <w:color w:val="000000"/>
          <w:kern w:val="0"/>
          <w:sz w:val="19"/>
          <w:szCs w:val="19"/>
          <w:lang w:eastAsia="pt-BR"/>
          <w14:ligatures w14:val="none"/>
        </w:rPr>
        <w:t>Perfluorcarbonos</w:t>
      </w:r>
      <w:proofErr w:type="spellEnd"/>
      <w:r w:rsidRPr="00827374">
        <w:rPr>
          <w:rFonts w:ascii="Book Antiqua" w:eastAsia="Times New Roman" w:hAnsi="Book Antiqua" w:cs="Arial"/>
          <w:color w:val="000000"/>
          <w:kern w:val="0"/>
          <w:sz w:val="19"/>
          <w:szCs w:val="19"/>
          <w:lang w:eastAsia="pt-BR"/>
          <w14:ligatures w14:val="none"/>
        </w:rPr>
        <w:t xml:space="preserve"> (</w:t>
      </w:r>
      <w:proofErr w:type="spellStart"/>
      <w:r w:rsidRPr="00827374">
        <w:rPr>
          <w:rFonts w:ascii="Book Antiqua" w:eastAsia="Times New Roman" w:hAnsi="Book Antiqua" w:cs="Arial"/>
          <w:color w:val="000000"/>
          <w:kern w:val="0"/>
          <w:sz w:val="19"/>
          <w:szCs w:val="19"/>
          <w:lang w:eastAsia="pt-BR"/>
          <w14:ligatures w14:val="none"/>
        </w:rPr>
        <w:t>PFCs</w:t>
      </w:r>
      <w:proofErr w:type="spellEnd"/>
      <w:r w:rsidRPr="00827374">
        <w:rPr>
          <w:rFonts w:ascii="Book Antiqua" w:eastAsia="Times New Roman" w:hAnsi="Book Antiqua" w:cs="Arial"/>
          <w:color w:val="000000"/>
          <w:kern w:val="0"/>
          <w:sz w:val="19"/>
          <w:szCs w:val="19"/>
          <w:lang w:eastAsia="pt-BR"/>
          <w14:ligatures w14:val="none"/>
        </w:rPr>
        <w:t>)</w:t>
      </w:r>
      <w:r w:rsidRPr="00827374">
        <w:rPr>
          <w:rFonts w:ascii="Book Antiqua" w:eastAsia="Times New Roman" w:hAnsi="Book Antiqua" w:cs="Arial"/>
          <w:color w:val="000000"/>
          <w:kern w:val="0"/>
          <w:sz w:val="19"/>
          <w:szCs w:val="19"/>
          <w:lang w:eastAsia="pt-BR"/>
          <w14:ligatures w14:val="none"/>
        </w:rPr>
        <w:br/>
        <w:t>Hexafluoreto de enxofre (SF6)</w:t>
      </w:r>
    </w:p>
    <w:p w14:paraId="03DB0C81"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Setores/categorias de fontes</w:t>
      </w:r>
    </w:p>
    <w:p w14:paraId="057B5941"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Energia</w:t>
      </w:r>
    </w:p>
    <w:p w14:paraId="681BC26A"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Queima de combustível</w:t>
      </w:r>
      <w:r w:rsidRPr="00827374">
        <w:rPr>
          <w:rFonts w:ascii="Book Antiqua" w:eastAsia="Times New Roman" w:hAnsi="Book Antiqua" w:cs="Arial"/>
          <w:color w:val="000000"/>
          <w:kern w:val="0"/>
          <w:sz w:val="19"/>
          <w:szCs w:val="19"/>
          <w:lang w:eastAsia="pt-BR"/>
          <w14:ligatures w14:val="none"/>
        </w:rPr>
        <w:br/>
        <w:t>Setor energético</w:t>
      </w:r>
      <w:r w:rsidRPr="00827374">
        <w:rPr>
          <w:rFonts w:ascii="Book Antiqua" w:eastAsia="Times New Roman" w:hAnsi="Book Antiqua" w:cs="Arial"/>
          <w:color w:val="000000"/>
          <w:kern w:val="0"/>
          <w:sz w:val="19"/>
          <w:szCs w:val="19"/>
          <w:lang w:eastAsia="pt-BR"/>
          <w14:ligatures w14:val="none"/>
        </w:rPr>
        <w:br/>
        <w:t>Indústrias de transformação e de construção</w:t>
      </w:r>
      <w:r w:rsidRPr="00827374">
        <w:rPr>
          <w:rFonts w:ascii="Book Antiqua" w:eastAsia="Times New Roman" w:hAnsi="Book Antiqua" w:cs="Arial"/>
          <w:color w:val="000000"/>
          <w:kern w:val="0"/>
          <w:sz w:val="19"/>
          <w:szCs w:val="19"/>
          <w:lang w:eastAsia="pt-BR"/>
          <w14:ligatures w14:val="none"/>
        </w:rPr>
        <w:br/>
      </w:r>
      <w:r w:rsidRPr="00827374">
        <w:rPr>
          <w:rFonts w:ascii="Book Antiqua" w:eastAsia="Times New Roman" w:hAnsi="Book Antiqua" w:cs="Arial"/>
          <w:color w:val="000000"/>
          <w:kern w:val="0"/>
          <w:sz w:val="19"/>
          <w:szCs w:val="19"/>
          <w:lang w:eastAsia="pt-BR"/>
          <w14:ligatures w14:val="none"/>
        </w:rPr>
        <w:lastRenderedPageBreak/>
        <w:t>Transporte</w:t>
      </w:r>
      <w:r w:rsidRPr="00827374">
        <w:rPr>
          <w:rFonts w:ascii="Book Antiqua" w:eastAsia="Times New Roman" w:hAnsi="Book Antiqua" w:cs="Arial"/>
          <w:color w:val="000000"/>
          <w:kern w:val="0"/>
          <w:sz w:val="19"/>
          <w:szCs w:val="19"/>
          <w:lang w:eastAsia="pt-BR"/>
          <w14:ligatures w14:val="none"/>
        </w:rPr>
        <w:br/>
        <w:t>Outros setores</w:t>
      </w:r>
      <w:r w:rsidRPr="00827374">
        <w:rPr>
          <w:rFonts w:ascii="Book Antiqua" w:eastAsia="Times New Roman" w:hAnsi="Book Antiqua" w:cs="Arial"/>
          <w:color w:val="000000"/>
          <w:kern w:val="0"/>
          <w:sz w:val="19"/>
          <w:szCs w:val="19"/>
          <w:lang w:eastAsia="pt-BR"/>
          <w14:ligatures w14:val="none"/>
        </w:rPr>
        <w:br/>
        <w:t>Outros</w:t>
      </w:r>
      <w:r w:rsidRPr="00827374">
        <w:rPr>
          <w:rFonts w:ascii="Book Antiqua" w:eastAsia="Times New Roman" w:hAnsi="Book Antiqua" w:cs="Arial"/>
          <w:color w:val="000000"/>
          <w:kern w:val="0"/>
          <w:sz w:val="19"/>
          <w:szCs w:val="19"/>
          <w:lang w:eastAsia="pt-BR"/>
          <w14:ligatures w14:val="none"/>
        </w:rPr>
        <w:br/>
        <w:t>Emissões fugitivas de combustíveis</w:t>
      </w:r>
      <w:r w:rsidRPr="00827374">
        <w:rPr>
          <w:rFonts w:ascii="Book Antiqua" w:eastAsia="Times New Roman" w:hAnsi="Book Antiqua" w:cs="Arial"/>
          <w:color w:val="000000"/>
          <w:kern w:val="0"/>
          <w:sz w:val="19"/>
          <w:szCs w:val="19"/>
          <w:lang w:eastAsia="pt-BR"/>
          <w14:ligatures w14:val="none"/>
        </w:rPr>
        <w:br/>
      </w:r>
      <w:proofErr w:type="spellStart"/>
      <w:r w:rsidRPr="00827374">
        <w:rPr>
          <w:rFonts w:ascii="Book Antiqua" w:eastAsia="Times New Roman" w:hAnsi="Book Antiqua" w:cs="Arial"/>
          <w:color w:val="000000"/>
          <w:kern w:val="0"/>
          <w:sz w:val="19"/>
          <w:szCs w:val="19"/>
          <w:lang w:eastAsia="pt-BR"/>
          <w14:ligatures w14:val="none"/>
        </w:rPr>
        <w:t>Combustíveis</w:t>
      </w:r>
      <w:proofErr w:type="spellEnd"/>
      <w:r w:rsidRPr="00827374">
        <w:rPr>
          <w:rFonts w:ascii="Book Antiqua" w:eastAsia="Times New Roman" w:hAnsi="Book Antiqua" w:cs="Arial"/>
          <w:color w:val="000000"/>
          <w:kern w:val="0"/>
          <w:sz w:val="19"/>
          <w:szCs w:val="19"/>
          <w:lang w:eastAsia="pt-BR"/>
          <w14:ligatures w14:val="none"/>
        </w:rPr>
        <w:t xml:space="preserve"> sólidos</w:t>
      </w:r>
      <w:r w:rsidRPr="00827374">
        <w:rPr>
          <w:rFonts w:ascii="Book Antiqua" w:eastAsia="Times New Roman" w:hAnsi="Book Antiqua" w:cs="Arial"/>
          <w:color w:val="000000"/>
          <w:kern w:val="0"/>
          <w:sz w:val="19"/>
          <w:szCs w:val="19"/>
          <w:lang w:eastAsia="pt-BR"/>
          <w14:ligatures w14:val="none"/>
        </w:rPr>
        <w:br/>
        <w:t>Petróleo e gás natural</w:t>
      </w:r>
      <w:r w:rsidRPr="00827374">
        <w:rPr>
          <w:rFonts w:ascii="Book Antiqua" w:eastAsia="Times New Roman" w:hAnsi="Book Antiqua" w:cs="Arial"/>
          <w:color w:val="000000"/>
          <w:kern w:val="0"/>
          <w:sz w:val="19"/>
          <w:szCs w:val="19"/>
          <w:lang w:eastAsia="pt-BR"/>
          <w14:ligatures w14:val="none"/>
        </w:rPr>
        <w:br/>
        <w:t>Outros</w:t>
      </w:r>
    </w:p>
    <w:p w14:paraId="0BFE585E"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Processos industriais</w:t>
      </w:r>
    </w:p>
    <w:p w14:paraId="3790CB4A"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Produtos minerais</w:t>
      </w:r>
      <w:r w:rsidRPr="00827374">
        <w:rPr>
          <w:rFonts w:ascii="Book Antiqua" w:eastAsia="Times New Roman" w:hAnsi="Book Antiqua" w:cs="Arial"/>
          <w:color w:val="000000"/>
          <w:kern w:val="0"/>
          <w:sz w:val="19"/>
          <w:szCs w:val="19"/>
          <w:lang w:eastAsia="pt-BR"/>
          <w14:ligatures w14:val="none"/>
        </w:rPr>
        <w:br/>
        <w:t>Indústria química</w:t>
      </w:r>
      <w:r w:rsidRPr="00827374">
        <w:rPr>
          <w:rFonts w:ascii="Book Antiqua" w:eastAsia="Times New Roman" w:hAnsi="Book Antiqua" w:cs="Arial"/>
          <w:color w:val="000000"/>
          <w:kern w:val="0"/>
          <w:sz w:val="19"/>
          <w:szCs w:val="19"/>
          <w:lang w:eastAsia="pt-BR"/>
          <w14:ligatures w14:val="none"/>
        </w:rPr>
        <w:br/>
        <w:t>Produção de metais</w:t>
      </w:r>
      <w:r w:rsidRPr="00827374">
        <w:rPr>
          <w:rFonts w:ascii="Book Antiqua" w:eastAsia="Times New Roman" w:hAnsi="Book Antiqua" w:cs="Arial"/>
          <w:color w:val="000000"/>
          <w:kern w:val="0"/>
          <w:sz w:val="19"/>
          <w:szCs w:val="19"/>
          <w:lang w:eastAsia="pt-BR"/>
          <w14:ligatures w14:val="none"/>
        </w:rPr>
        <w:br/>
        <w:t>Outras produções</w:t>
      </w:r>
      <w:r w:rsidRPr="00827374">
        <w:rPr>
          <w:rFonts w:ascii="Book Antiqua" w:eastAsia="Times New Roman" w:hAnsi="Book Antiqua" w:cs="Arial"/>
          <w:color w:val="000000"/>
          <w:kern w:val="0"/>
          <w:sz w:val="19"/>
          <w:szCs w:val="19"/>
          <w:lang w:eastAsia="pt-BR"/>
          <w14:ligatures w14:val="none"/>
        </w:rPr>
        <w:br/>
        <w:t>Produção de halocarbonos e hexafluoreto de enxofre</w:t>
      </w:r>
      <w:r w:rsidRPr="00827374">
        <w:rPr>
          <w:rFonts w:ascii="Book Antiqua" w:eastAsia="Times New Roman" w:hAnsi="Book Antiqua" w:cs="Arial"/>
          <w:color w:val="000000"/>
          <w:kern w:val="0"/>
          <w:sz w:val="19"/>
          <w:szCs w:val="19"/>
          <w:lang w:eastAsia="pt-BR"/>
          <w14:ligatures w14:val="none"/>
        </w:rPr>
        <w:br/>
        <w:t>Consumo de halocarbonos e hexafluoreto de enxofre</w:t>
      </w:r>
      <w:r w:rsidRPr="00827374">
        <w:rPr>
          <w:rFonts w:ascii="Book Antiqua" w:eastAsia="Times New Roman" w:hAnsi="Book Antiqua" w:cs="Arial"/>
          <w:color w:val="000000"/>
          <w:kern w:val="0"/>
          <w:sz w:val="19"/>
          <w:szCs w:val="19"/>
          <w:lang w:eastAsia="pt-BR"/>
          <w14:ligatures w14:val="none"/>
        </w:rPr>
        <w:br/>
        <w:t>Outros</w:t>
      </w:r>
    </w:p>
    <w:p w14:paraId="48D3B81D"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Uso de solventes e outros produtos</w:t>
      </w:r>
    </w:p>
    <w:p w14:paraId="7D4B0F64"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Agricultura</w:t>
      </w:r>
    </w:p>
    <w:p w14:paraId="439A6DE2"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Fermentação entérica</w:t>
      </w:r>
      <w:r w:rsidRPr="00827374">
        <w:rPr>
          <w:rFonts w:ascii="Book Antiqua" w:eastAsia="Times New Roman" w:hAnsi="Book Antiqua" w:cs="Arial"/>
          <w:color w:val="000000"/>
          <w:kern w:val="0"/>
          <w:sz w:val="19"/>
          <w:szCs w:val="19"/>
          <w:lang w:eastAsia="pt-BR"/>
          <w14:ligatures w14:val="none"/>
        </w:rPr>
        <w:br/>
        <w:t>Tratamento de dejetos</w:t>
      </w:r>
      <w:r w:rsidRPr="00827374">
        <w:rPr>
          <w:rFonts w:ascii="Book Antiqua" w:eastAsia="Times New Roman" w:hAnsi="Book Antiqua" w:cs="Arial"/>
          <w:color w:val="000000"/>
          <w:kern w:val="0"/>
          <w:sz w:val="19"/>
          <w:szCs w:val="19"/>
          <w:lang w:eastAsia="pt-BR"/>
          <w14:ligatures w14:val="none"/>
        </w:rPr>
        <w:br/>
        <w:t>Cultivo de arroz</w:t>
      </w:r>
      <w:r w:rsidRPr="00827374">
        <w:rPr>
          <w:rFonts w:ascii="Book Antiqua" w:eastAsia="Times New Roman" w:hAnsi="Book Antiqua" w:cs="Arial"/>
          <w:color w:val="000000"/>
          <w:kern w:val="0"/>
          <w:sz w:val="19"/>
          <w:szCs w:val="19"/>
          <w:lang w:eastAsia="pt-BR"/>
          <w14:ligatures w14:val="none"/>
        </w:rPr>
        <w:br/>
        <w:t>Solos agrícolas</w:t>
      </w:r>
      <w:r w:rsidRPr="00827374">
        <w:rPr>
          <w:rFonts w:ascii="Book Antiqua" w:eastAsia="Times New Roman" w:hAnsi="Book Antiqua" w:cs="Arial"/>
          <w:color w:val="000000"/>
          <w:kern w:val="0"/>
          <w:sz w:val="19"/>
          <w:szCs w:val="19"/>
          <w:lang w:eastAsia="pt-BR"/>
          <w14:ligatures w14:val="none"/>
        </w:rPr>
        <w:br/>
        <w:t>Queimadas prescritas de savana</w:t>
      </w:r>
      <w:r w:rsidRPr="00827374">
        <w:rPr>
          <w:rFonts w:ascii="Book Antiqua" w:eastAsia="Times New Roman" w:hAnsi="Book Antiqua" w:cs="Arial"/>
          <w:color w:val="000000"/>
          <w:kern w:val="0"/>
          <w:sz w:val="19"/>
          <w:szCs w:val="19"/>
          <w:lang w:eastAsia="pt-BR"/>
          <w14:ligatures w14:val="none"/>
        </w:rPr>
        <w:br/>
        <w:t>Queima de resíduos agrícolas</w:t>
      </w:r>
      <w:r w:rsidRPr="00827374">
        <w:rPr>
          <w:rFonts w:ascii="Book Antiqua" w:eastAsia="Times New Roman" w:hAnsi="Book Antiqua" w:cs="Arial"/>
          <w:color w:val="000000"/>
          <w:kern w:val="0"/>
          <w:sz w:val="19"/>
          <w:szCs w:val="19"/>
          <w:lang w:eastAsia="pt-BR"/>
          <w14:ligatures w14:val="none"/>
        </w:rPr>
        <w:br/>
        <w:t>Outros</w:t>
      </w:r>
    </w:p>
    <w:p w14:paraId="16764900"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Resíduos</w:t>
      </w:r>
    </w:p>
    <w:p w14:paraId="52DB4CEE"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Disposição de resíduos sólidos na terra</w:t>
      </w:r>
      <w:r w:rsidRPr="00827374">
        <w:rPr>
          <w:rFonts w:ascii="Book Antiqua" w:eastAsia="Times New Roman" w:hAnsi="Book Antiqua" w:cs="Arial"/>
          <w:color w:val="000000"/>
          <w:kern w:val="0"/>
          <w:sz w:val="19"/>
          <w:szCs w:val="19"/>
          <w:lang w:eastAsia="pt-BR"/>
          <w14:ligatures w14:val="none"/>
        </w:rPr>
        <w:br/>
        <w:t>Tratamento de esgoto</w:t>
      </w:r>
      <w:r w:rsidRPr="00827374">
        <w:rPr>
          <w:rFonts w:ascii="Book Antiqua" w:eastAsia="Times New Roman" w:hAnsi="Book Antiqua" w:cs="Arial"/>
          <w:color w:val="000000"/>
          <w:kern w:val="0"/>
          <w:sz w:val="19"/>
          <w:szCs w:val="19"/>
          <w:lang w:eastAsia="pt-BR"/>
          <w14:ligatures w14:val="none"/>
        </w:rPr>
        <w:br/>
        <w:t>Incineração de resíduos</w:t>
      </w:r>
      <w:r w:rsidRPr="00827374">
        <w:rPr>
          <w:rFonts w:ascii="Book Antiqua" w:eastAsia="Times New Roman" w:hAnsi="Book Antiqua" w:cs="Arial"/>
          <w:color w:val="000000"/>
          <w:kern w:val="0"/>
          <w:sz w:val="19"/>
          <w:szCs w:val="19"/>
          <w:lang w:eastAsia="pt-BR"/>
          <w14:ligatures w14:val="none"/>
        </w:rPr>
        <w:br/>
        <w:t>Outros</w:t>
      </w:r>
    </w:p>
    <w:p w14:paraId="42232EB0"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ANEXO B</w:t>
      </w:r>
    </w:p>
    <w:tbl>
      <w:tblPr>
        <w:tblW w:w="8850" w:type="dxa"/>
        <w:jc w:val="center"/>
        <w:tblCellSpacing w:w="0" w:type="dxa"/>
        <w:tblCellMar>
          <w:left w:w="0" w:type="dxa"/>
          <w:right w:w="0" w:type="dxa"/>
        </w:tblCellMar>
        <w:tblLook w:val="04A0" w:firstRow="1" w:lastRow="0" w:firstColumn="1" w:lastColumn="0" w:noHBand="0" w:noVBand="1"/>
      </w:tblPr>
      <w:tblGrid>
        <w:gridCol w:w="7876"/>
        <w:gridCol w:w="974"/>
      </w:tblGrid>
      <w:tr w:rsidR="00827374" w:rsidRPr="00827374" w14:paraId="21C22F69" w14:textId="77777777" w:rsidTr="00827374">
        <w:trPr>
          <w:tblCellSpacing w:w="0" w:type="dxa"/>
          <w:jc w:val="center"/>
        </w:trPr>
        <w:tc>
          <w:tcPr>
            <w:tcW w:w="0" w:type="auto"/>
            <w:gridSpan w:val="2"/>
            <w:hideMark/>
          </w:tcPr>
          <w:p w14:paraId="5AC2E2D0"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Parte</w:t>
            </w:r>
            <w:r w:rsidRPr="00827374">
              <w:rPr>
                <w:rFonts w:ascii="Book Antiqua" w:eastAsia="Times New Roman" w:hAnsi="Book Antiqua" w:cs="Times New Roman"/>
                <w:kern w:val="0"/>
                <w:sz w:val="19"/>
                <w:szCs w:val="19"/>
                <w:lang w:eastAsia="pt-BR"/>
                <w14:ligatures w14:val="none"/>
              </w:rPr>
              <w:br/>
              <w:t>Compromisso de redução ou</w:t>
            </w:r>
          </w:p>
          <w:p w14:paraId="01842D58"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limitação quantificada de emissões</w:t>
            </w:r>
          </w:p>
          <w:p w14:paraId="46CC2C09" w14:textId="77777777" w:rsidR="00827374" w:rsidRPr="00827374" w:rsidRDefault="00827374" w:rsidP="00827374">
            <w:pPr>
              <w:spacing w:before="100" w:beforeAutospacing="1" w:after="100" w:afterAutospacing="1" w:line="240" w:lineRule="auto"/>
              <w:ind w:firstLine="432"/>
              <w:jc w:val="center"/>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(porcentagem do ano base ou período)</w:t>
            </w:r>
          </w:p>
        </w:tc>
      </w:tr>
      <w:tr w:rsidR="00827374" w:rsidRPr="00827374" w14:paraId="4D20913B" w14:textId="77777777" w:rsidTr="00827374">
        <w:trPr>
          <w:tblCellSpacing w:w="0" w:type="dxa"/>
          <w:jc w:val="center"/>
        </w:trPr>
        <w:tc>
          <w:tcPr>
            <w:tcW w:w="4450" w:type="pct"/>
            <w:hideMark/>
          </w:tcPr>
          <w:p w14:paraId="31A1A1CB"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Alemanha..................................................................................................................</w:t>
            </w:r>
          </w:p>
        </w:tc>
        <w:tc>
          <w:tcPr>
            <w:tcW w:w="550" w:type="pct"/>
            <w:hideMark/>
          </w:tcPr>
          <w:p w14:paraId="20C8A9A3"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390D5F5C" w14:textId="77777777" w:rsidTr="00827374">
        <w:trPr>
          <w:tblCellSpacing w:w="0" w:type="dxa"/>
          <w:jc w:val="center"/>
        </w:trPr>
        <w:tc>
          <w:tcPr>
            <w:tcW w:w="4450" w:type="pct"/>
            <w:hideMark/>
          </w:tcPr>
          <w:p w14:paraId="7570550E"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Austrália....................................................................................................................</w:t>
            </w:r>
          </w:p>
        </w:tc>
        <w:tc>
          <w:tcPr>
            <w:tcW w:w="550" w:type="pct"/>
            <w:hideMark/>
          </w:tcPr>
          <w:p w14:paraId="717BE502"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108</w:t>
            </w:r>
          </w:p>
        </w:tc>
      </w:tr>
      <w:tr w:rsidR="00827374" w:rsidRPr="00827374" w14:paraId="1DA3386A" w14:textId="77777777" w:rsidTr="00827374">
        <w:trPr>
          <w:tblCellSpacing w:w="0" w:type="dxa"/>
          <w:jc w:val="center"/>
        </w:trPr>
        <w:tc>
          <w:tcPr>
            <w:tcW w:w="4450" w:type="pct"/>
            <w:hideMark/>
          </w:tcPr>
          <w:p w14:paraId="511019F9"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Áustria.......................................................................................................................</w:t>
            </w:r>
          </w:p>
        </w:tc>
        <w:tc>
          <w:tcPr>
            <w:tcW w:w="550" w:type="pct"/>
            <w:hideMark/>
          </w:tcPr>
          <w:p w14:paraId="71C13F38"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56B62244" w14:textId="77777777" w:rsidTr="00827374">
        <w:trPr>
          <w:tblCellSpacing w:w="0" w:type="dxa"/>
          <w:jc w:val="center"/>
        </w:trPr>
        <w:tc>
          <w:tcPr>
            <w:tcW w:w="4450" w:type="pct"/>
            <w:hideMark/>
          </w:tcPr>
          <w:p w14:paraId="19B7F1BC"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Bélgica......................................................................................................................</w:t>
            </w:r>
          </w:p>
        </w:tc>
        <w:tc>
          <w:tcPr>
            <w:tcW w:w="550" w:type="pct"/>
            <w:hideMark/>
          </w:tcPr>
          <w:p w14:paraId="40C167C1"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20A968A0" w14:textId="77777777" w:rsidTr="00827374">
        <w:trPr>
          <w:tblCellSpacing w:w="0" w:type="dxa"/>
          <w:jc w:val="center"/>
        </w:trPr>
        <w:tc>
          <w:tcPr>
            <w:tcW w:w="4450" w:type="pct"/>
            <w:hideMark/>
          </w:tcPr>
          <w:p w14:paraId="244D6BAA"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Bulgária*...................................................................................................................</w:t>
            </w:r>
          </w:p>
        </w:tc>
        <w:tc>
          <w:tcPr>
            <w:tcW w:w="550" w:type="pct"/>
            <w:hideMark/>
          </w:tcPr>
          <w:p w14:paraId="49280DE2"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4E44F1CD" w14:textId="77777777" w:rsidTr="00827374">
        <w:trPr>
          <w:tblCellSpacing w:w="0" w:type="dxa"/>
          <w:jc w:val="center"/>
        </w:trPr>
        <w:tc>
          <w:tcPr>
            <w:tcW w:w="4450" w:type="pct"/>
            <w:hideMark/>
          </w:tcPr>
          <w:p w14:paraId="1E1F8D95"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Canadá......................................................................................................................</w:t>
            </w:r>
          </w:p>
        </w:tc>
        <w:tc>
          <w:tcPr>
            <w:tcW w:w="550" w:type="pct"/>
            <w:hideMark/>
          </w:tcPr>
          <w:p w14:paraId="3B873D3C"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94</w:t>
            </w:r>
          </w:p>
        </w:tc>
      </w:tr>
      <w:tr w:rsidR="00827374" w:rsidRPr="00827374" w14:paraId="63588EA2" w14:textId="77777777" w:rsidTr="00827374">
        <w:trPr>
          <w:tblCellSpacing w:w="0" w:type="dxa"/>
          <w:jc w:val="center"/>
        </w:trPr>
        <w:tc>
          <w:tcPr>
            <w:tcW w:w="4450" w:type="pct"/>
            <w:hideMark/>
          </w:tcPr>
          <w:p w14:paraId="45FD187E"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Comunidade Européia............................................................................................</w:t>
            </w:r>
          </w:p>
        </w:tc>
        <w:tc>
          <w:tcPr>
            <w:tcW w:w="550" w:type="pct"/>
            <w:hideMark/>
          </w:tcPr>
          <w:p w14:paraId="19A17D81"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67B6E994" w14:textId="77777777" w:rsidTr="00827374">
        <w:trPr>
          <w:tblCellSpacing w:w="0" w:type="dxa"/>
          <w:jc w:val="center"/>
        </w:trPr>
        <w:tc>
          <w:tcPr>
            <w:tcW w:w="4450" w:type="pct"/>
            <w:hideMark/>
          </w:tcPr>
          <w:p w14:paraId="5764D5B6"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Croácia*....................................................................................................................</w:t>
            </w:r>
          </w:p>
        </w:tc>
        <w:tc>
          <w:tcPr>
            <w:tcW w:w="550" w:type="pct"/>
            <w:hideMark/>
          </w:tcPr>
          <w:p w14:paraId="5267806E"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95</w:t>
            </w:r>
          </w:p>
        </w:tc>
      </w:tr>
      <w:tr w:rsidR="00827374" w:rsidRPr="00827374" w14:paraId="6E714635" w14:textId="77777777" w:rsidTr="00827374">
        <w:trPr>
          <w:tblCellSpacing w:w="0" w:type="dxa"/>
          <w:jc w:val="center"/>
        </w:trPr>
        <w:tc>
          <w:tcPr>
            <w:tcW w:w="4450" w:type="pct"/>
            <w:hideMark/>
          </w:tcPr>
          <w:p w14:paraId="6F2BC900"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Dinamarca.................................................................................................................</w:t>
            </w:r>
          </w:p>
        </w:tc>
        <w:tc>
          <w:tcPr>
            <w:tcW w:w="550" w:type="pct"/>
            <w:hideMark/>
          </w:tcPr>
          <w:p w14:paraId="7DCAF6F6"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28E13C02" w14:textId="77777777" w:rsidTr="00827374">
        <w:trPr>
          <w:tblCellSpacing w:w="0" w:type="dxa"/>
          <w:jc w:val="center"/>
        </w:trPr>
        <w:tc>
          <w:tcPr>
            <w:tcW w:w="4450" w:type="pct"/>
            <w:hideMark/>
          </w:tcPr>
          <w:p w14:paraId="0A9F4F6D"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Eslováquia*...............................................................................................................</w:t>
            </w:r>
          </w:p>
        </w:tc>
        <w:tc>
          <w:tcPr>
            <w:tcW w:w="550" w:type="pct"/>
            <w:hideMark/>
          </w:tcPr>
          <w:p w14:paraId="1CB6B8EE"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54AC29B6" w14:textId="77777777" w:rsidTr="00827374">
        <w:trPr>
          <w:tblCellSpacing w:w="0" w:type="dxa"/>
          <w:jc w:val="center"/>
        </w:trPr>
        <w:tc>
          <w:tcPr>
            <w:tcW w:w="4450" w:type="pct"/>
            <w:hideMark/>
          </w:tcPr>
          <w:p w14:paraId="63C7DF62"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Eslovênia*.................................................................................................................</w:t>
            </w:r>
          </w:p>
        </w:tc>
        <w:tc>
          <w:tcPr>
            <w:tcW w:w="550" w:type="pct"/>
            <w:hideMark/>
          </w:tcPr>
          <w:p w14:paraId="05D19775"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5CE51944" w14:textId="77777777" w:rsidTr="00827374">
        <w:trPr>
          <w:tblCellSpacing w:w="0" w:type="dxa"/>
          <w:jc w:val="center"/>
        </w:trPr>
        <w:tc>
          <w:tcPr>
            <w:tcW w:w="4450" w:type="pct"/>
            <w:hideMark/>
          </w:tcPr>
          <w:p w14:paraId="6BC90C86"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Espanha.....................................................................................................................</w:t>
            </w:r>
          </w:p>
        </w:tc>
        <w:tc>
          <w:tcPr>
            <w:tcW w:w="550" w:type="pct"/>
            <w:hideMark/>
          </w:tcPr>
          <w:p w14:paraId="1AF24F9E"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6D442D92" w14:textId="77777777" w:rsidTr="00827374">
        <w:trPr>
          <w:tblCellSpacing w:w="0" w:type="dxa"/>
          <w:jc w:val="center"/>
        </w:trPr>
        <w:tc>
          <w:tcPr>
            <w:tcW w:w="4450" w:type="pct"/>
            <w:hideMark/>
          </w:tcPr>
          <w:p w14:paraId="5C0740BC"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Estados Unidos da América..................................................................................</w:t>
            </w:r>
          </w:p>
        </w:tc>
        <w:tc>
          <w:tcPr>
            <w:tcW w:w="550" w:type="pct"/>
            <w:hideMark/>
          </w:tcPr>
          <w:p w14:paraId="1D4B4FE1"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93</w:t>
            </w:r>
          </w:p>
        </w:tc>
      </w:tr>
      <w:tr w:rsidR="00827374" w:rsidRPr="00827374" w14:paraId="4F90E430" w14:textId="77777777" w:rsidTr="00827374">
        <w:trPr>
          <w:tblCellSpacing w:w="0" w:type="dxa"/>
          <w:jc w:val="center"/>
        </w:trPr>
        <w:tc>
          <w:tcPr>
            <w:tcW w:w="4450" w:type="pct"/>
            <w:hideMark/>
          </w:tcPr>
          <w:p w14:paraId="6B953B23"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Estônia*.....................................................................................................................</w:t>
            </w:r>
          </w:p>
        </w:tc>
        <w:tc>
          <w:tcPr>
            <w:tcW w:w="550" w:type="pct"/>
            <w:hideMark/>
          </w:tcPr>
          <w:p w14:paraId="570AACB8"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5024B2DA" w14:textId="77777777" w:rsidTr="00827374">
        <w:trPr>
          <w:tblCellSpacing w:w="0" w:type="dxa"/>
          <w:jc w:val="center"/>
        </w:trPr>
        <w:tc>
          <w:tcPr>
            <w:tcW w:w="4450" w:type="pct"/>
            <w:hideMark/>
          </w:tcPr>
          <w:p w14:paraId="048EDB02"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lastRenderedPageBreak/>
              <w:t>Federação Russa*.................................................................................................</w:t>
            </w:r>
          </w:p>
        </w:tc>
        <w:tc>
          <w:tcPr>
            <w:tcW w:w="550" w:type="pct"/>
            <w:hideMark/>
          </w:tcPr>
          <w:p w14:paraId="77749FD5"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100</w:t>
            </w:r>
          </w:p>
        </w:tc>
      </w:tr>
      <w:tr w:rsidR="00827374" w:rsidRPr="00827374" w14:paraId="2C15E812" w14:textId="77777777" w:rsidTr="00827374">
        <w:trPr>
          <w:tblCellSpacing w:w="0" w:type="dxa"/>
          <w:jc w:val="center"/>
        </w:trPr>
        <w:tc>
          <w:tcPr>
            <w:tcW w:w="4450" w:type="pct"/>
            <w:hideMark/>
          </w:tcPr>
          <w:p w14:paraId="2AEE346E"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Finlândia....................................................................................................................</w:t>
            </w:r>
          </w:p>
        </w:tc>
        <w:tc>
          <w:tcPr>
            <w:tcW w:w="550" w:type="pct"/>
            <w:hideMark/>
          </w:tcPr>
          <w:p w14:paraId="0F5E34A2"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2448ED9A" w14:textId="77777777" w:rsidTr="00827374">
        <w:trPr>
          <w:tblCellSpacing w:w="0" w:type="dxa"/>
          <w:jc w:val="center"/>
        </w:trPr>
        <w:tc>
          <w:tcPr>
            <w:tcW w:w="4450" w:type="pct"/>
            <w:hideMark/>
          </w:tcPr>
          <w:p w14:paraId="5F74BD60"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França........................................................................................................................</w:t>
            </w:r>
          </w:p>
        </w:tc>
        <w:tc>
          <w:tcPr>
            <w:tcW w:w="550" w:type="pct"/>
            <w:hideMark/>
          </w:tcPr>
          <w:p w14:paraId="1C91E69E"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30C79288" w14:textId="77777777" w:rsidTr="00827374">
        <w:trPr>
          <w:tblCellSpacing w:w="0" w:type="dxa"/>
          <w:jc w:val="center"/>
        </w:trPr>
        <w:tc>
          <w:tcPr>
            <w:tcW w:w="4450" w:type="pct"/>
            <w:hideMark/>
          </w:tcPr>
          <w:p w14:paraId="1CCFFB3F"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Grécia........................................................................................................................</w:t>
            </w:r>
          </w:p>
        </w:tc>
        <w:tc>
          <w:tcPr>
            <w:tcW w:w="550" w:type="pct"/>
            <w:hideMark/>
          </w:tcPr>
          <w:p w14:paraId="71E6729B"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554E0389" w14:textId="77777777" w:rsidTr="00827374">
        <w:trPr>
          <w:tblCellSpacing w:w="0" w:type="dxa"/>
          <w:jc w:val="center"/>
        </w:trPr>
        <w:tc>
          <w:tcPr>
            <w:tcW w:w="4450" w:type="pct"/>
            <w:hideMark/>
          </w:tcPr>
          <w:p w14:paraId="734D265F"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Hungria*....................................................................................................................</w:t>
            </w:r>
          </w:p>
        </w:tc>
        <w:tc>
          <w:tcPr>
            <w:tcW w:w="550" w:type="pct"/>
            <w:hideMark/>
          </w:tcPr>
          <w:p w14:paraId="71C608D7"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94</w:t>
            </w:r>
          </w:p>
        </w:tc>
      </w:tr>
      <w:tr w:rsidR="00827374" w:rsidRPr="00827374" w14:paraId="5ADCB12C" w14:textId="77777777" w:rsidTr="00827374">
        <w:trPr>
          <w:tblCellSpacing w:w="0" w:type="dxa"/>
          <w:jc w:val="center"/>
        </w:trPr>
        <w:tc>
          <w:tcPr>
            <w:tcW w:w="4450" w:type="pct"/>
            <w:hideMark/>
          </w:tcPr>
          <w:p w14:paraId="2CEA7A1C"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Irlanda.......................................................................................................................</w:t>
            </w:r>
          </w:p>
        </w:tc>
        <w:tc>
          <w:tcPr>
            <w:tcW w:w="550" w:type="pct"/>
            <w:hideMark/>
          </w:tcPr>
          <w:p w14:paraId="3A5B47C2"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6105678E" w14:textId="77777777" w:rsidTr="00827374">
        <w:trPr>
          <w:tblCellSpacing w:w="0" w:type="dxa"/>
          <w:jc w:val="center"/>
        </w:trPr>
        <w:tc>
          <w:tcPr>
            <w:tcW w:w="4450" w:type="pct"/>
            <w:hideMark/>
          </w:tcPr>
          <w:p w14:paraId="5F85BAB3"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Islândia......................................................................................................................</w:t>
            </w:r>
          </w:p>
        </w:tc>
        <w:tc>
          <w:tcPr>
            <w:tcW w:w="550" w:type="pct"/>
            <w:hideMark/>
          </w:tcPr>
          <w:p w14:paraId="28585D70"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110</w:t>
            </w:r>
          </w:p>
        </w:tc>
      </w:tr>
      <w:tr w:rsidR="00827374" w:rsidRPr="00827374" w14:paraId="3CC2327E" w14:textId="77777777" w:rsidTr="00827374">
        <w:trPr>
          <w:tblCellSpacing w:w="0" w:type="dxa"/>
          <w:jc w:val="center"/>
        </w:trPr>
        <w:tc>
          <w:tcPr>
            <w:tcW w:w="4450" w:type="pct"/>
            <w:hideMark/>
          </w:tcPr>
          <w:p w14:paraId="27629292"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Itália..........................................................................................................................</w:t>
            </w:r>
          </w:p>
        </w:tc>
        <w:tc>
          <w:tcPr>
            <w:tcW w:w="550" w:type="pct"/>
            <w:hideMark/>
          </w:tcPr>
          <w:p w14:paraId="0B9DB8AB"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028F7040" w14:textId="77777777" w:rsidTr="00827374">
        <w:trPr>
          <w:tblCellSpacing w:w="0" w:type="dxa"/>
          <w:jc w:val="center"/>
        </w:trPr>
        <w:tc>
          <w:tcPr>
            <w:tcW w:w="4450" w:type="pct"/>
            <w:hideMark/>
          </w:tcPr>
          <w:p w14:paraId="0117D25C"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Japão.........................................................................................................................</w:t>
            </w:r>
          </w:p>
        </w:tc>
        <w:tc>
          <w:tcPr>
            <w:tcW w:w="550" w:type="pct"/>
            <w:hideMark/>
          </w:tcPr>
          <w:p w14:paraId="09EDCAF3"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94</w:t>
            </w:r>
          </w:p>
        </w:tc>
      </w:tr>
      <w:tr w:rsidR="00827374" w:rsidRPr="00827374" w14:paraId="4B603D94" w14:textId="77777777" w:rsidTr="00827374">
        <w:trPr>
          <w:tblCellSpacing w:w="0" w:type="dxa"/>
          <w:jc w:val="center"/>
        </w:trPr>
        <w:tc>
          <w:tcPr>
            <w:tcW w:w="4450" w:type="pct"/>
            <w:hideMark/>
          </w:tcPr>
          <w:p w14:paraId="53D1E70E"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Letônia*....................................................................................................................</w:t>
            </w:r>
          </w:p>
        </w:tc>
        <w:tc>
          <w:tcPr>
            <w:tcW w:w="550" w:type="pct"/>
            <w:hideMark/>
          </w:tcPr>
          <w:p w14:paraId="3699F532"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45501668" w14:textId="77777777" w:rsidTr="00827374">
        <w:trPr>
          <w:tblCellSpacing w:w="0" w:type="dxa"/>
          <w:jc w:val="center"/>
        </w:trPr>
        <w:tc>
          <w:tcPr>
            <w:tcW w:w="4450" w:type="pct"/>
            <w:hideMark/>
          </w:tcPr>
          <w:p w14:paraId="46273C5E"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Liechtenstein.............................................................................................................</w:t>
            </w:r>
          </w:p>
        </w:tc>
        <w:tc>
          <w:tcPr>
            <w:tcW w:w="550" w:type="pct"/>
            <w:hideMark/>
          </w:tcPr>
          <w:p w14:paraId="6A43C7AD"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6266D0CF" w14:textId="77777777" w:rsidTr="00827374">
        <w:trPr>
          <w:tblCellSpacing w:w="0" w:type="dxa"/>
          <w:jc w:val="center"/>
        </w:trPr>
        <w:tc>
          <w:tcPr>
            <w:tcW w:w="4450" w:type="pct"/>
            <w:hideMark/>
          </w:tcPr>
          <w:p w14:paraId="2C787677"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Lituânia*...................................................................................................................</w:t>
            </w:r>
          </w:p>
        </w:tc>
        <w:tc>
          <w:tcPr>
            <w:tcW w:w="550" w:type="pct"/>
            <w:hideMark/>
          </w:tcPr>
          <w:p w14:paraId="24656F2D"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398F0C2A" w14:textId="77777777" w:rsidTr="00827374">
        <w:trPr>
          <w:tblCellSpacing w:w="0" w:type="dxa"/>
          <w:jc w:val="center"/>
        </w:trPr>
        <w:tc>
          <w:tcPr>
            <w:tcW w:w="4450" w:type="pct"/>
            <w:hideMark/>
          </w:tcPr>
          <w:p w14:paraId="1D658FA2"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Luxemburgo..............................................................................................................</w:t>
            </w:r>
          </w:p>
        </w:tc>
        <w:tc>
          <w:tcPr>
            <w:tcW w:w="550" w:type="pct"/>
            <w:hideMark/>
          </w:tcPr>
          <w:p w14:paraId="5C440C0C"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1A5EC991" w14:textId="77777777" w:rsidTr="00827374">
        <w:trPr>
          <w:tblCellSpacing w:w="0" w:type="dxa"/>
          <w:jc w:val="center"/>
        </w:trPr>
        <w:tc>
          <w:tcPr>
            <w:tcW w:w="4450" w:type="pct"/>
            <w:hideMark/>
          </w:tcPr>
          <w:p w14:paraId="3FD27F00"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Mônaco......................................................................................................................</w:t>
            </w:r>
          </w:p>
        </w:tc>
        <w:tc>
          <w:tcPr>
            <w:tcW w:w="550" w:type="pct"/>
            <w:hideMark/>
          </w:tcPr>
          <w:p w14:paraId="095EF161"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36DA83C5" w14:textId="77777777" w:rsidTr="00827374">
        <w:trPr>
          <w:tblCellSpacing w:w="0" w:type="dxa"/>
          <w:jc w:val="center"/>
        </w:trPr>
        <w:tc>
          <w:tcPr>
            <w:tcW w:w="4450" w:type="pct"/>
            <w:hideMark/>
          </w:tcPr>
          <w:p w14:paraId="41678369"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Noruega.....................................................................................................................</w:t>
            </w:r>
          </w:p>
        </w:tc>
        <w:tc>
          <w:tcPr>
            <w:tcW w:w="550" w:type="pct"/>
            <w:hideMark/>
          </w:tcPr>
          <w:p w14:paraId="3B2934C7"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101</w:t>
            </w:r>
          </w:p>
        </w:tc>
      </w:tr>
      <w:tr w:rsidR="00827374" w:rsidRPr="00827374" w14:paraId="6CE2EACE" w14:textId="77777777" w:rsidTr="00827374">
        <w:trPr>
          <w:tblCellSpacing w:w="0" w:type="dxa"/>
          <w:jc w:val="center"/>
        </w:trPr>
        <w:tc>
          <w:tcPr>
            <w:tcW w:w="4450" w:type="pct"/>
            <w:hideMark/>
          </w:tcPr>
          <w:p w14:paraId="77FDEF5C"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Nova Zelândia...........................................................................................................</w:t>
            </w:r>
          </w:p>
        </w:tc>
        <w:tc>
          <w:tcPr>
            <w:tcW w:w="550" w:type="pct"/>
            <w:hideMark/>
          </w:tcPr>
          <w:p w14:paraId="63D4919C"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100</w:t>
            </w:r>
          </w:p>
        </w:tc>
      </w:tr>
      <w:tr w:rsidR="00827374" w:rsidRPr="00827374" w14:paraId="4196A1D2" w14:textId="77777777" w:rsidTr="00827374">
        <w:trPr>
          <w:tblCellSpacing w:w="0" w:type="dxa"/>
          <w:jc w:val="center"/>
        </w:trPr>
        <w:tc>
          <w:tcPr>
            <w:tcW w:w="4450" w:type="pct"/>
            <w:hideMark/>
          </w:tcPr>
          <w:p w14:paraId="5856D892"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Países Baixos..........................................................................................................</w:t>
            </w:r>
          </w:p>
        </w:tc>
        <w:tc>
          <w:tcPr>
            <w:tcW w:w="550" w:type="pct"/>
            <w:hideMark/>
          </w:tcPr>
          <w:p w14:paraId="16BF3D12"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09F7C994" w14:textId="77777777" w:rsidTr="00827374">
        <w:trPr>
          <w:tblCellSpacing w:w="0" w:type="dxa"/>
          <w:jc w:val="center"/>
        </w:trPr>
        <w:tc>
          <w:tcPr>
            <w:tcW w:w="4450" w:type="pct"/>
            <w:hideMark/>
          </w:tcPr>
          <w:p w14:paraId="4ACADDAA"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Polônia*....................................................................................................................</w:t>
            </w:r>
          </w:p>
        </w:tc>
        <w:tc>
          <w:tcPr>
            <w:tcW w:w="550" w:type="pct"/>
            <w:hideMark/>
          </w:tcPr>
          <w:p w14:paraId="63A69D92"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94</w:t>
            </w:r>
          </w:p>
        </w:tc>
      </w:tr>
      <w:tr w:rsidR="00827374" w:rsidRPr="00827374" w14:paraId="1226A669" w14:textId="77777777" w:rsidTr="00827374">
        <w:trPr>
          <w:tblCellSpacing w:w="0" w:type="dxa"/>
          <w:jc w:val="center"/>
        </w:trPr>
        <w:tc>
          <w:tcPr>
            <w:tcW w:w="4450" w:type="pct"/>
            <w:hideMark/>
          </w:tcPr>
          <w:p w14:paraId="01FCD696"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Portugal.....................................................................................................................</w:t>
            </w:r>
          </w:p>
        </w:tc>
        <w:tc>
          <w:tcPr>
            <w:tcW w:w="550" w:type="pct"/>
            <w:hideMark/>
          </w:tcPr>
          <w:p w14:paraId="5BC0E539"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4CAB0177" w14:textId="77777777" w:rsidTr="00827374">
        <w:trPr>
          <w:tblCellSpacing w:w="0" w:type="dxa"/>
          <w:jc w:val="center"/>
        </w:trPr>
        <w:tc>
          <w:tcPr>
            <w:tcW w:w="4450" w:type="pct"/>
            <w:hideMark/>
          </w:tcPr>
          <w:p w14:paraId="6FCAC76F"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Reino Unido da Grã-Bretanha e Irlanda do Norte.................................................</w:t>
            </w:r>
          </w:p>
        </w:tc>
        <w:tc>
          <w:tcPr>
            <w:tcW w:w="550" w:type="pct"/>
            <w:hideMark/>
          </w:tcPr>
          <w:p w14:paraId="5151DD7E"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1000D227" w14:textId="77777777" w:rsidTr="00827374">
        <w:trPr>
          <w:tblCellSpacing w:w="0" w:type="dxa"/>
          <w:jc w:val="center"/>
        </w:trPr>
        <w:tc>
          <w:tcPr>
            <w:tcW w:w="4450" w:type="pct"/>
            <w:hideMark/>
          </w:tcPr>
          <w:p w14:paraId="57641223"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República Tcheca*..................................................................................................</w:t>
            </w:r>
          </w:p>
        </w:tc>
        <w:tc>
          <w:tcPr>
            <w:tcW w:w="550" w:type="pct"/>
            <w:hideMark/>
          </w:tcPr>
          <w:p w14:paraId="3518B5BD"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6C6F8517" w14:textId="77777777" w:rsidTr="00827374">
        <w:trPr>
          <w:tblCellSpacing w:w="0" w:type="dxa"/>
          <w:jc w:val="center"/>
        </w:trPr>
        <w:tc>
          <w:tcPr>
            <w:tcW w:w="4450" w:type="pct"/>
            <w:hideMark/>
          </w:tcPr>
          <w:p w14:paraId="0A8AE861"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Romênia*..................................................................................................................</w:t>
            </w:r>
          </w:p>
        </w:tc>
        <w:tc>
          <w:tcPr>
            <w:tcW w:w="550" w:type="pct"/>
            <w:hideMark/>
          </w:tcPr>
          <w:p w14:paraId="0E018C49"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63D2011C" w14:textId="77777777" w:rsidTr="00827374">
        <w:trPr>
          <w:tblCellSpacing w:w="0" w:type="dxa"/>
          <w:jc w:val="center"/>
        </w:trPr>
        <w:tc>
          <w:tcPr>
            <w:tcW w:w="4450" w:type="pct"/>
            <w:hideMark/>
          </w:tcPr>
          <w:p w14:paraId="0D51A285"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Suécia........................................................................................................................</w:t>
            </w:r>
          </w:p>
        </w:tc>
        <w:tc>
          <w:tcPr>
            <w:tcW w:w="550" w:type="pct"/>
            <w:hideMark/>
          </w:tcPr>
          <w:p w14:paraId="0FD46FCF"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4CF57163" w14:textId="77777777" w:rsidTr="00827374">
        <w:trPr>
          <w:tblCellSpacing w:w="0" w:type="dxa"/>
          <w:jc w:val="center"/>
        </w:trPr>
        <w:tc>
          <w:tcPr>
            <w:tcW w:w="4450" w:type="pct"/>
            <w:hideMark/>
          </w:tcPr>
          <w:p w14:paraId="0A816FC2"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Suíça..........................................................................................................................</w:t>
            </w:r>
          </w:p>
        </w:tc>
        <w:tc>
          <w:tcPr>
            <w:tcW w:w="550" w:type="pct"/>
            <w:hideMark/>
          </w:tcPr>
          <w:p w14:paraId="22A91E20"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92</w:t>
            </w:r>
          </w:p>
        </w:tc>
      </w:tr>
      <w:tr w:rsidR="00827374" w:rsidRPr="00827374" w14:paraId="3745E670" w14:textId="77777777" w:rsidTr="00827374">
        <w:trPr>
          <w:tblCellSpacing w:w="0" w:type="dxa"/>
          <w:jc w:val="center"/>
        </w:trPr>
        <w:tc>
          <w:tcPr>
            <w:tcW w:w="4450" w:type="pct"/>
            <w:hideMark/>
          </w:tcPr>
          <w:p w14:paraId="7F0BD2E7"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Ucrânia*....................................................................................................................</w:t>
            </w:r>
          </w:p>
        </w:tc>
        <w:tc>
          <w:tcPr>
            <w:tcW w:w="550" w:type="pct"/>
            <w:hideMark/>
          </w:tcPr>
          <w:p w14:paraId="03A6F65C"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Times New Roman"/>
                <w:kern w:val="0"/>
                <w:sz w:val="19"/>
                <w:szCs w:val="19"/>
                <w:lang w:eastAsia="pt-BR"/>
                <w14:ligatures w14:val="none"/>
              </w:rPr>
            </w:pPr>
            <w:r w:rsidRPr="00827374">
              <w:rPr>
                <w:rFonts w:ascii="Book Antiqua" w:eastAsia="Times New Roman" w:hAnsi="Book Antiqua" w:cs="Times New Roman"/>
                <w:kern w:val="0"/>
                <w:sz w:val="19"/>
                <w:szCs w:val="19"/>
                <w:lang w:eastAsia="pt-BR"/>
                <w14:ligatures w14:val="none"/>
              </w:rPr>
              <w:t>100</w:t>
            </w:r>
          </w:p>
        </w:tc>
      </w:tr>
    </w:tbl>
    <w:p w14:paraId="0FA62750" w14:textId="77777777" w:rsidR="00827374" w:rsidRPr="00827374" w:rsidRDefault="00827374" w:rsidP="00827374">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827374">
        <w:rPr>
          <w:rFonts w:ascii="Book Antiqua" w:eastAsia="Times New Roman" w:hAnsi="Book Antiqua" w:cs="Arial"/>
          <w:color w:val="000000"/>
          <w:kern w:val="0"/>
          <w:sz w:val="19"/>
          <w:szCs w:val="19"/>
          <w:lang w:eastAsia="pt-BR"/>
          <w14:ligatures w14:val="none"/>
        </w:rPr>
        <w:t>* Países em processo de transição para uma economia de mercado.</w:t>
      </w:r>
    </w:p>
    <w:p w14:paraId="0DF6E96D" w14:textId="77777777" w:rsidR="00BB7FE6" w:rsidRPr="00827374" w:rsidRDefault="00BB7FE6">
      <w:pPr>
        <w:rPr>
          <w:rFonts w:ascii="Book Antiqua" w:hAnsi="Book Antiqua"/>
          <w:sz w:val="19"/>
          <w:szCs w:val="19"/>
        </w:rPr>
      </w:pPr>
    </w:p>
    <w:sectPr w:rsidR="00BB7FE6" w:rsidRPr="00827374" w:rsidSect="00827374">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727F6"/>
    <w:multiLevelType w:val="multilevel"/>
    <w:tmpl w:val="7B107D9A"/>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948462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EEF"/>
    <w:rsid w:val="00056442"/>
    <w:rsid w:val="00095DB1"/>
    <w:rsid w:val="00533FB1"/>
    <w:rsid w:val="00655EEF"/>
    <w:rsid w:val="00827374"/>
    <w:rsid w:val="00BB7FE6"/>
    <w:rsid w:val="00CD2A0E"/>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3C456"/>
  <w15:chartTrackingRefBased/>
  <w15:docId w15:val="{0759B00C-A8A5-4FDA-9B9B-538F44096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55E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655E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655EE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655EE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655EE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55E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55E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55E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55EE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55EEF"/>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655EEF"/>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655EEF"/>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655EEF"/>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655EEF"/>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655EE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55EE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55EE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55EEF"/>
    <w:rPr>
      <w:rFonts w:eastAsiaTheme="majorEastAsia" w:cstheme="majorBidi"/>
      <w:color w:val="272727" w:themeColor="text1" w:themeTint="D8"/>
    </w:rPr>
  </w:style>
  <w:style w:type="paragraph" w:styleId="Ttulo">
    <w:name w:val="Title"/>
    <w:basedOn w:val="Normal"/>
    <w:next w:val="Normal"/>
    <w:link w:val="TtuloChar"/>
    <w:uiPriority w:val="10"/>
    <w:qFormat/>
    <w:rsid w:val="00655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55E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55EE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55EE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55EEF"/>
    <w:pPr>
      <w:spacing w:before="160"/>
      <w:jc w:val="center"/>
    </w:pPr>
    <w:rPr>
      <w:i/>
      <w:iCs/>
      <w:color w:val="404040" w:themeColor="text1" w:themeTint="BF"/>
    </w:rPr>
  </w:style>
  <w:style w:type="character" w:customStyle="1" w:styleId="CitaoChar">
    <w:name w:val="Citação Char"/>
    <w:basedOn w:val="Fontepargpadro"/>
    <w:link w:val="Citao"/>
    <w:uiPriority w:val="29"/>
    <w:rsid w:val="00655EEF"/>
    <w:rPr>
      <w:i/>
      <w:iCs/>
      <w:color w:val="404040" w:themeColor="text1" w:themeTint="BF"/>
    </w:rPr>
  </w:style>
  <w:style w:type="paragraph" w:styleId="PargrafodaLista">
    <w:name w:val="List Paragraph"/>
    <w:basedOn w:val="Normal"/>
    <w:uiPriority w:val="34"/>
    <w:qFormat/>
    <w:rsid w:val="00655EEF"/>
    <w:pPr>
      <w:ind w:left="720"/>
      <w:contextualSpacing/>
    </w:pPr>
  </w:style>
  <w:style w:type="character" w:styleId="nfaseIntensa">
    <w:name w:val="Intense Emphasis"/>
    <w:basedOn w:val="Fontepargpadro"/>
    <w:uiPriority w:val="21"/>
    <w:qFormat/>
    <w:rsid w:val="00655EEF"/>
    <w:rPr>
      <w:i/>
      <w:iCs/>
      <w:color w:val="2F5496" w:themeColor="accent1" w:themeShade="BF"/>
    </w:rPr>
  </w:style>
  <w:style w:type="paragraph" w:styleId="CitaoIntensa">
    <w:name w:val="Intense Quote"/>
    <w:basedOn w:val="Normal"/>
    <w:next w:val="Normal"/>
    <w:link w:val="CitaoIntensaChar"/>
    <w:uiPriority w:val="30"/>
    <w:qFormat/>
    <w:rsid w:val="00655E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55EEF"/>
    <w:rPr>
      <w:i/>
      <w:iCs/>
      <w:color w:val="2F5496" w:themeColor="accent1" w:themeShade="BF"/>
    </w:rPr>
  </w:style>
  <w:style w:type="character" w:styleId="RefernciaIntensa">
    <w:name w:val="Intense Reference"/>
    <w:basedOn w:val="Fontepargpadro"/>
    <w:uiPriority w:val="32"/>
    <w:qFormat/>
    <w:rsid w:val="00655EEF"/>
    <w:rPr>
      <w:b/>
      <w:bCs/>
      <w:smallCaps/>
      <w:color w:val="2F5496" w:themeColor="accent1" w:themeShade="BF"/>
      <w:spacing w:val="5"/>
    </w:rPr>
  </w:style>
  <w:style w:type="table" w:styleId="Tabelacomgrade">
    <w:name w:val="Table Grid"/>
    <w:basedOn w:val="Tabelanormal"/>
    <w:uiPriority w:val="39"/>
    <w:rsid w:val="00533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931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lanalto.gov.br/ccivil_03/Constituicao/Constitui%C3%A7ao.ht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9844</Words>
  <Characters>53163</Characters>
  <Application>Microsoft Office Word</Application>
  <DocSecurity>0</DocSecurity>
  <Lines>443</Lines>
  <Paragraphs>125</Paragraphs>
  <ScaleCrop>false</ScaleCrop>
  <Company/>
  <LinksUpToDate>false</LinksUpToDate>
  <CharactersWithSpaces>62882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2025-07-24T17:52:00Z</dcterms:created>
  <dcterms:modified xsi:type="dcterms:W3CDTF">2025-07-24T18:01:00Z</dcterms:modified>
</cp:coreProperties>
</file>