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8640"/>
      </w:tblGrid>
      <w:tr w:rsidR="00622CE5" w:rsidRPr="003D2BFE" w14:paraId="7960C086" w14:textId="77777777" w:rsidTr="00622CE5">
        <w:trPr>
          <w:tblCellSpacing w:w="15" w:type="dxa"/>
        </w:trPr>
        <w:tc>
          <w:tcPr>
            <w:tcW w:w="0" w:type="auto"/>
            <w:vAlign w:val="center"/>
            <w:hideMark/>
          </w:tcPr>
          <w:p w14:paraId="073F9BAF" w14:textId="77777777" w:rsidR="00622CE5" w:rsidRPr="003D2BFE" w:rsidRDefault="00622CE5" w:rsidP="006D1C3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b/>
                <w:bCs/>
                <w:color w:val="000000"/>
                <w:sz w:val="19"/>
                <w:szCs w:val="19"/>
                <w:lang w:eastAsia="pt-BR"/>
              </w:rPr>
              <w:t xml:space="preserve">RESOLUÇÃO Nº </w:t>
            </w:r>
            <w:proofErr w:type="gramStart"/>
            <w:r w:rsidRPr="003D2BFE">
              <w:rPr>
                <w:rFonts w:ascii="Book Antiqua" w:eastAsia="Times New Roman" w:hAnsi="Book Antiqua" w:cs="Times New Roman"/>
                <w:b/>
                <w:bCs/>
                <w:color w:val="000000"/>
                <w:sz w:val="19"/>
                <w:szCs w:val="19"/>
                <w:lang w:eastAsia="pt-BR"/>
              </w:rPr>
              <w:t>279 ,</w:t>
            </w:r>
            <w:proofErr w:type="gramEnd"/>
            <w:r w:rsidRPr="003D2BFE">
              <w:rPr>
                <w:rFonts w:ascii="Book Antiqua" w:eastAsia="Times New Roman" w:hAnsi="Book Antiqua" w:cs="Times New Roman"/>
                <w:b/>
                <w:bCs/>
                <w:color w:val="000000"/>
                <w:sz w:val="19"/>
                <w:szCs w:val="19"/>
                <w:lang w:eastAsia="pt-BR"/>
              </w:rPr>
              <w:t xml:space="preserve"> DE 27 DE JUNHO DE 2001</w:t>
            </w:r>
          </w:p>
          <w:p w14:paraId="2E443AED"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O Conselho Nacional do Meio Ambiente-CONAMA, no uso das competências que lhe são conferidas pela Lei n° 6.938, de 31 de agosto de 1981, regulamentada pelo Decreto n° 99.274, de 6 de junho de 1990, e tendo em vista o disposto no seu Regimento Interno, e</w:t>
            </w:r>
          </w:p>
          <w:p w14:paraId="0A95725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a necessidade de estabelecer procedimento simplificado para o licenciamento ambiental, com prazo máximo de sessenta dias de tramitação, dos empreendimentos com impacto ambiental de pequeno porte, necessários ao incremento da oferta de energia elétrica no País, nos termos do Art. 8o, § 3º, da Medida Provisória nº 2.152-2, de 1º de junho de 2001;</w:t>
            </w:r>
          </w:p>
          <w:p w14:paraId="225017B9"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a crise de energia elétrica e a necessidade de atender a celeridade estabelecida pela Medida Provisória nº 2.152-2, de 1° de junho de 2001;</w:t>
            </w:r>
          </w:p>
          <w:p w14:paraId="75AADCCF"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a dificuldade de definir-se, a priori, impacto ambiental de pequeno porte, antes da análise dos estudos ambientais que subsidiam o processo de licenciamento ambiental e, tendo em vista as diversidades e peculiaridades regionais, bem como as complexidades de avaliação dos efeitos sobre o meio ambiente decorrentes da implantação de projetos de energia elétrica;</w:t>
            </w:r>
          </w:p>
          <w:p w14:paraId="36E5F1C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as situações de restrição, previstas em leis e regulamentos, tais como, unidades de conservação de uso indireto, terras indígenas, questões de saúde pública, espécies ameaçadas de extinção, sítios de ocorrência de patrimônio histórico e arqueológico, entre outras, e a necessidade de cumprimento das exigências que regulamentam outras atividades correlatas com o processo de licenciamento ambiental;</w:t>
            </w:r>
          </w:p>
          <w:p w14:paraId="2E792D72"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os dispositivos constitucionais, em especial o Artigo 225, relativos à garantia de um ambiente ecologicamente equilibrado e essencial à sadia qualidade de vida, impondo-se ao poder público e a coletividade o dever de defendê-lo e preservá-lo para as gerações futuras;</w:t>
            </w:r>
          </w:p>
          <w:p w14:paraId="79D13332"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os princípios da eficiência, publicidade, participação e precaução;</w:t>
            </w:r>
          </w:p>
          <w:p w14:paraId="69A5FBA0"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Considerando que os procedimentos de licenciamento ambiental atuais são estabelecidos nas Resoluções CONAMA n</w:t>
            </w:r>
            <w:r w:rsidRPr="003D2BFE">
              <w:rPr>
                <w:rFonts w:ascii="Book Antiqua" w:eastAsia="Times New Roman" w:hAnsi="Book Antiqua" w:cs="Times New Roman"/>
                <w:color w:val="000000"/>
                <w:sz w:val="19"/>
                <w:szCs w:val="19"/>
                <w:vertAlign w:val="superscript"/>
                <w:lang w:eastAsia="pt-BR"/>
              </w:rPr>
              <w:t>os</w:t>
            </w:r>
            <w:r w:rsidRPr="003D2BFE">
              <w:rPr>
                <w:rFonts w:ascii="Book Antiqua" w:eastAsia="Times New Roman" w:hAnsi="Book Antiqua" w:cs="Times New Roman"/>
                <w:color w:val="000000"/>
                <w:sz w:val="19"/>
                <w:szCs w:val="19"/>
                <w:lang w:eastAsia="pt-BR"/>
              </w:rPr>
              <w:t xml:space="preserve"> 001, de 23 de janeiro de 1986, e 237, de 19 de dezembro de 1997 e, para empreendimentos do setor elétrico, de forma complementar, na Resolução CONAMA nº 006, de 16 de setembro de 1987, resolve:</w:t>
            </w:r>
          </w:p>
          <w:p w14:paraId="1FB309B6" w14:textId="77777777" w:rsidR="00622CE5" w:rsidRPr="005170E2" w:rsidRDefault="00622CE5" w:rsidP="00622CE5">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3D2BFE">
              <w:rPr>
                <w:rFonts w:ascii="Book Antiqua" w:eastAsia="Times New Roman" w:hAnsi="Book Antiqua" w:cs="Times New Roman"/>
                <w:color w:val="000000"/>
                <w:sz w:val="19"/>
                <w:szCs w:val="19"/>
                <w:lang w:eastAsia="pt-BR"/>
              </w:rPr>
              <w:br/>
            </w:r>
            <w:r w:rsidRPr="003D2BFE">
              <w:rPr>
                <w:rFonts w:ascii="Book Antiqua" w:eastAsia="Times New Roman" w:hAnsi="Book Antiqua" w:cs="Times New Roman"/>
                <w:b/>
                <w:bCs/>
                <w:color w:val="000000"/>
                <w:sz w:val="19"/>
                <w:szCs w:val="19"/>
                <w:highlight w:val="magenta"/>
                <w:lang w:eastAsia="pt-BR"/>
              </w:rPr>
              <w:t>Art. 1o</w:t>
            </w:r>
            <w:r w:rsidRPr="003D2BFE">
              <w:rPr>
                <w:rFonts w:ascii="Book Antiqua" w:eastAsia="Times New Roman" w:hAnsi="Book Antiqua" w:cs="Times New Roman"/>
                <w:color w:val="000000"/>
                <w:sz w:val="19"/>
                <w:szCs w:val="19"/>
                <w:lang w:eastAsia="pt-BR"/>
              </w:rPr>
              <w:t xml:space="preserve"> Os procedimentos e prazos estabelecidos nesta Resolução, aplicam-se, em qualquer nível de competência, ao </w:t>
            </w:r>
            <w:r w:rsidRPr="003D2BFE">
              <w:rPr>
                <w:rFonts w:ascii="Book Antiqua" w:eastAsia="Times New Roman" w:hAnsi="Book Antiqua" w:cs="Times New Roman"/>
                <w:b/>
                <w:bCs/>
                <w:color w:val="000000"/>
                <w:sz w:val="19"/>
                <w:szCs w:val="19"/>
                <w:highlight w:val="cyan"/>
                <w:lang w:eastAsia="pt-BR"/>
              </w:rPr>
              <w:t>licenciamento ambiental simplificado de empreendimentos elétricos com pequeno potencial de impacto ambiental</w:t>
            </w:r>
            <w:r w:rsidRPr="003D2BFE">
              <w:rPr>
                <w:rFonts w:ascii="Book Antiqua" w:eastAsia="Times New Roman" w:hAnsi="Book Antiqua" w:cs="Times New Roman"/>
                <w:color w:val="000000"/>
                <w:sz w:val="19"/>
                <w:szCs w:val="19"/>
                <w:lang w:eastAsia="pt-BR"/>
              </w:rPr>
              <w:t>, aí incluídos</w:t>
            </w:r>
            <w:r w:rsidRPr="005170E2">
              <w:rPr>
                <w:rFonts w:ascii="Book Antiqua" w:eastAsia="Times New Roman" w:hAnsi="Book Antiqua" w:cs="Times New Roman"/>
                <w:color w:val="000000"/>
                <w:sz w:val="16"/>
                <w:szCs w:val="16"/>
                <w:lang w:eastAsia="pt-BR"/>
              </w:rPr>
              <w:t>:</w:t>
            </w:r>
            <w:r w:rsidR="00097F2A" w:rsidRPr="005170E2">
              <w:rPr>
                <w:rFonts w:ascii="Book Antiqua" w:eastAsia="Times New Roman" w:hAnsi="Book Antiqua" w:cs="Times New Roman"/>
                <w:color w:val="000000"/>
                <w:sz w:val="16"/>
                <w:szCs w:val="16"/>
                <w:lang w:eastAsia="pt-BR"/>
              </w:rPr>
              <w:t xml:space="preserve"> </w:t>
            </w:r>
            <w:r w:rsidR="00097F2A" w:rsidRPr="005170E2">
              <w:rPr>
                <w:rFonts w:ascii="Book Antiqua" w:eastAsia="Times New Roman" w:hAnsi="Book Antiqua" w:cs="Times New Roman"/>
                <w:b/>
                <w:bCs/>
                <w:color w:val="FF0000"/>
                <w:sz w:val="16"/>
                <w:szCs w:val="16"/>
                <w:u w:val="single"/>
                <w:lang w:eastAsia="pt-BR"/>
              </w:rPr>
              <w:t>(TJPA-2012)</w:t>
            </w:r>
          </w:p>
          <w:p w14:paraId="2F505B61"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 - Usinas hidrelétricas e sistemas associados;</w:t>
            </w:r>
          </w:p>
          <w:p w14:paraId="08C131C3"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II - Usinas termelétricas e sistemas associados;</w:t>
            </w:r>
          </w:p>
          <w:p w14:paraId="392AD96E"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III - Sistemas de transmissão de energia elétrica (linhas de transmissão e subestações).</w:t>
            </w:r>
          </w:p>
          <w:p w14:paraId="43736611"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IV - Usinas Eólicas e outras fontes alternativas de energia.</w:t>
            </w:r>
          </w:p>
          <w:p w14:paraId="328843C4" w14:textId="3B5EEB3D"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Parágrafo único. Para fins de aplicação desta Resolução, os sistemas associados serão analisados conjuntamente aos empreendimentos principais.</w:t>
            </w:r>
          </w:p>
          <w:tbl>
            <w:tblPr>
              <w:tblStyle w:val="Tabelacomgrade"/>
              <w:tblW w:w="0" w:type="auto"/>
              <w:shd w:val="clear" w:color="auto" w:fill="CCFFFF"/>
              <w:tblLook w:val="04A0" w:firstRow="1" w:lastRow="0" w:firstColumn="1" w:lastColumn="0" w:noHBand="0" w:noVBand="1"/>
            </w:tblPr>
            <w:tblGrid>
              <w:gridCol w:w="8540"/>
            </w:tblGrid>
            <w:tr w:rsidR="00622CE5" w:rsidRPr="003D2BFE" w14:paraId="7D6674AB" w14:textId="77777777" w:rsidTr="00622CE5">
              <w:tc>
                <w:tcPr>
                  <w:tcW w:w="8540" w:type="dxa"/>
                  <w:shd w:val="clear" w:color="auto" w:fill="CCFFFF"/>
                </w:tcPr>
                <w:p w14:paraId="309C75F8" w14:textId="77777777" w:rsidR="00622CE5" w:rsidRPr="003D2BFE" w:rsidRDefault="00622CE5" w:rsidP="00622CE5">
                  <w:pPr>
                    <w:spacing w:before="100" w:beforeAutospacing="1" w:after="100" w:afterAutospacing="1"/>
                    <w:jc w:val="both"/>
                    <w:rPr>
                      <w:rFonts w:ascii="Book Antiqua" w:eastAsia="Times New Roman" w:hAnsi="Book Antiqua" w:cs="Times New Roman"/>
                      <w:b/>
                      <w:color w:val="000000"/>
                      <w:sz w:val="19"/>
                      <w:szCs w:val="19"/>
                      <w:lang w:eastAsia="pt-BR"/>
                    </w:rPr>
                  </w:pPr>
                  <w:r w:rsidRPr="003D2BFE">
                    <w:rPr>
                      <w:rFonts w:ascii="Book Antiqua" w:eastAsia="Times New Roman" w:hAnsi="Book Antiqua" w:cs="Times New Roman"/>
                      <w:b/>
                      <w:color w:val="000000"/>
                      <w:sz w:val="19"/>
                      <w:szCs w:val="19"/>
                      <w:lang w:eastAsia="pt-BR"/>
                    </w:rPr>
                    <w:t>(</w:t>
                  </w:r>
                  <w:r w:rsidRPr="003D2BFE">
                    <w:rPr>
                      <w:rFonts w:ascii="Book Antiqua" w:eastAsia="Times New Roman" w:hAnsi="Book Antiqua" w:cs="Times New Roman"/>
                      <w:b/>
                      <w:color w:val="000000"/>
                      <w:sz w:val="19"/>
                      <w:szCs w:val="19"/>
                      <w:highlight w:val="yellow"/>
                      <w:lang w:eastAsia="pt-BR"/>
                    </w:rPr>
                    <w:t>TJRJ</w:t>
                  </w:r>
                  <w:r w:rsidR="00DF3E3A" w:rsidRPr="003D2BFE">
                    <w:rPr>
                      <w:rFonts w:ascii="Book Antiqua" w:eastAsia="Times New Roman" w:hAnsi="Book Antiqua" w:cs="Times New Roman"/>
                      <w:b/>
                      <w:color w:val="000000"/>
                      <w:sz w:val="19"/>
                      <w:szCs w:val="19"/>
                      <w:highlight w:val="yellow"/>
                      <w:lang w:eastAsia="pt-BR"/>
                    </w:rPr>
                    <w:t>-</w:t>
                  </w:r>
                  <w:r w:rsidRPr="003D2BFE">
                    <w:rPr>
                      <w:rFonts w:ascii="Book Antiqua" w:eastAsia="Times New Roman" w:hAnsi="Book Antiqua" w:cs="Times New Roman"/>
                      <w:b/>
                      <w:color w:val="000000"/>
                      <w:sz w:val="19"/>
                      <w:szCs w:val="19"/>
                      <w:highlight w:val="yellow"/>
                      <w:lang w:eastAsia="pt-BR"/>
                    </w:rPr>
                    <w:t>2011</w:t>
                  </w:r>
                  <w:r w:rsidR="00DF3E3A" w:rsidRPr="003D2BFE">
                    <w:rPr>
                      <w:rFonts w:ascii="Book Antiqua" w:eastAsia="Times New Roman" w:hAnsi="Book Antiqua" w:cs="Times New Roman"/>
                      <w:b/>
                      <w:color w:val="000000"/>
                      <w:sz w:val="19"/>
                      <w:szCs w:val="19"/>
                      <w:highlight w:val="yellow"/>
                      <w:lang w:eastAsia="pt-BR"/>
                    </w:rPr>
                    <w:t>-</w:t>
                  </w:r>
                  <w:r w:rsidRPr="003D2BFE">
                    <w:rPr>
                      <w:rFonts w:ascii="Book Antiqua" w:eastAsia="Times New Roman" w:hAnsi="Book Antiqua" w:cs="Times New Roman"/>
                      <w:b/>
                      <w:color w:val="000000"/>
                      <w:sz w:val="19"/>
                      <w:szCs w:val="19"/>
                      <w:highlight w:val="yellow"/>
                      <w:lang w:eastAsia="pt-BR"/>
                    </w:rPr>
                    <w:t>VUNESP</w:t>
                  </w:r>
                  <w:r w:rsidRPr="003D2BFE">
                    <w:rPr>
                      <w:rFonts w:ascii="Book Antiqua" w:eastAsia="Times New Roman" w:hAnsi="Book Antiqua" w:cs="Times New Roman"/>
                      <w:b/>
                      <w:color w:val="000000"/>
                      <w:sz w:val="19"/>
                      <w:szCs w:val="19"/>
                      <w:lang w:eastAsia="pt-BR"/>
                    </w:rPr>
                    <w:t xml:space="preserve">): </w:t>
                  </w:r>
                  <w:r w:rsidRPr="003D2BFE">
                    <w:rPr>
                      <w:rFonts w:ascii="Book Antiqua" w:eastAsia="Times New Roman" w:hAnsi="Book Antiqua" w:cs="Times New Roman"/>
                      <w:color w:val="000000"/>
                      <w:sz w:val="19"/>
                      <w:szCs w:val="19"/>
                      <w:lang w:eastAsia="pt-BR"/>
                    </w:rPr>
                    <w:t xml:space="preserve">A construção e instalação de empreendimentos de elétricos de pequeno porte submetem-se a procedimento de licenciamento simplificado, excepcionando o procedimento estabelecido na Resolução CONAMA 237/97. </w:t>
                  </w:r>
                  <w:r w:rsidRPr="003D2BFE">
                    <w:rPr>
                      <w:rFonts w:ascii="Book Antiqua" w:eastAsia="Times New Roman" w:hAnsi="Book Antiqua" w:cs="Times New Roman"/>
                      <w:b/>
                      <w:color w:val="000000"/>
                      <w:sz w:val="19"/>
                      <w:szCs w:val="19"/>
                      <w:lang w:eastAsia="pt-BR"/>
                    </w:rPr>
                    <w:t>BL: art. 1º da Resolução 279/01 do CONAMA.</w:t>
                  </w:r>
                </w:p>
              </w:tc>
            </w:tr>
          </w:tbl>
          <w:p w14:paraId="5E96D28F"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2o Para os fins desta Resolução, são adotadas as seguintes definições:</w:t>
            </w:r>
          </w:p>
          <w:p w14:paraId="7E27F522"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lastRenderedPageBreak/>
              <w:t>I - Relatório Ambiental Simplificado RAS: os estudos relativos aos aspectos ambientais relacionados à localização, instalação, operação e ampliação de uma atividade ou empreendimento, apresentados como subsídio para a concessão da licença prévia requerida, que conterá, dentre outras, as informações relativas ao diagnóstico ambiental da região de inserção do empreendimento, sua caracterização, a identificação dos impactos ambientais e das medidas de controle, de mitigação e de compensação.</w:t>
            </w:r>
          </w:p>
          <w:p w14:paraId="69BF39B2"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II - Relatório de Detalhamento dos Programas Ambientais: é o documento que apresenta, detalhadamente, todas as medidas mitigatórias e compensatórias e os programas ambientais propostos no RAS.</w:t>
            </w:r>
          </w:p>
          <w:p w14:paraId="1D957D7A"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III - Reunião Técnica Informativa: Reunião promovida pelo órgão ambiental competente, às expensas do empreendedor, para apresentação e discussão do Relatório Ambiental Simplificado, Relatório de Detalhamento dos Programas Ambientais e demais informações, garantidas a consulta e participação pública.</w:t>
            </w:r>
          </w:p>
          <w:p w14:paraId="5B189D53" w14:textId="12E60689"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IV - Sistemas Associados aos Empreendimentos Elétricos: sistemas elétricos, pequenos ramais de gasodutos e outras obras de </w:t>
            </w:r>
            <w:proofErr w:type="spellStart"/>
            <w:r w:rsidRPr="003D2BFE">
              <w:rPr>
                <w:rFonts w:ascii="Book Antiqua" w:eastAsia="Times New Roman" w:hAnsi="Book Antiqua" w:cs="Times New Roman"/>
                <w:color w:val="000000"/>
                <w:sz w:val="19"/>
                <w:szCs w:val="19"/>
                <w:lang w:eastAsia="pt-BR"/>
              </w:rPr>
              <w:t>infra-estrutura</w:t>
            </w:r>
            <w:proofErr w:type="spellEnd"/>
            <w:r w:rsidRPr="003D2BFE">
              <w:rPr>
                <w:rFonts w:ascii="Book Antiqua" w:eastAsia="Times New Roman" w:hAnsi="Book Antiqua" w:cs="Times New Roman"/>
                <w:color w:val="000000"/>
                <w:sz w:val="19"/>
                <w:szCs w:val="19"/>
                <w:lang w:eastAsia="pt-BR"/>
              </w:rPr>
              <w:t xml:space="preserve"> comprovadamente necessárias à implantação e operação dos empreendimentos.</w:t>
            </w:r>
          </w:p>
          <w:p w14:paraId="5A587023"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Art. 3o Ao requerer a Licença Prévia ao órgão ambiental competente, na forma desta Resolução, o empreendedor apresentará o Relatório Ambiental Simplificado, atendendo, no mínimo, o conteúdo do Anexo I desta Resolução, bem como o registro na Agência Nacional de Energia - ANEEL, quando couber, e as </w:t>
            </w:r>
            <w:proofErr w:type="spellStart"/>
            <w:r w:rsidRPr="003D2BFE">
              <w:rPr>
                <w:rFonts w:ascii="Book Antiqua" w:eastAsia="Times New Roman" w:hAnsi="Book Antiqua" w:cs="Times New Roman"/>
                <w:color w:val="000000"/>
                <w:sz w:val="19"/>
                <w:szCs w:val="19"/>
                <w:lang w:eastAsia="pt-BR"/>
              </w:rPr>
              <w:t>manisfestações</w:t>
            </w:r>
            <w:proofErr w:type="spellEnd"/>
            <w:r w:rsidRPr="003D2BFE">
              <w:rPr>
                <w:rFonts w:ascii="Book Antiqua" w:eastAsia="Times New Roman" w:hAnsi="Book Antiqua" w:cs="Times New Roman"/>
                <w:color w:val="000000"/>
                <w:sz w:val="19"/>
                <w:szCs w:val="19"/>
                <w:lang w:eastAsia="pt-BR"/>
              </w:rPr>
              <w:t xml:space="preserve"> cabíveis dos órgãos envolvidos.</w:t>
            </w:r>
          </w:p>
          <w:p w14:paraId="51BB1894"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1º O requerimento de licença conterá, dentre outros requisitos, a declaração de enquadramento do empreendimento a essa Resolução, firmada pelo responsável técnico pelo RAS e pelo responsável principal do empreendimento, bem como apresentação do cronograma físico-financeiro a partir da Concessão da Licença e Instalação, com destaque para a data de início das obras.</w:t>
            </w:r>
          </w:p>
          <w:p w14:paraId="0DD2D9A4" w14:textId="6E1C60D1"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2º A Licença Prévia somente será expedida, mediante apresentação, quando couber, da outorga de direito dos recursos hídricos ou da reserva de disponibilidade hídrica.</w:t>
            </w:r>
          </w:p>
          <w:p w14:paraId="6CF423C5"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Art. 4o O órgão ambiental competente definirá, com base no Relatório Ambiental Simplificado, o enquadramento do empreendimento elétrico no procedimento de licenciamento ambiental simplificado, mediante decisão fundamentada em parecer técnico. </w:t>
            </w:r>
          </w:p>
          <w:p w14:paraId="0317FCE3"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1º Os empreendimentos que, após análise do órgão ambiental competente, não atenderem ao disposto no caput ficarão sujeitos ao licenciamento não simplificado, na forma da legislação vigente, o que será comunicado, no prazo de até dez dias úteis, ao empreendedor.</w:t>
            </w:r>
          </w:p>
          <w:p w14:paraId="6D0D296F" w14:textId="5DAAF8CF"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 2º Os estudos e documentos juntados ao RAS poderão ser utilizados no Estudo Prévio de Impacto Ambiental, com ou sem complementação, após manifestação favorável do órgão ambiental. </w:t>
            </w:r>
          </w:p>
          <w:p w14:paraId="2CFB84AE"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5o Ao requerer a Licença de Instalação ao órgão ambiental competente, na forma desta Resolução, o empreendedor apresentará a comprovação do atendimento das condicionantes da Licença Prévia, o Relatório de Detalhamento dos Programas Ambientais, e outras informações, quando couber.</w:t>
            </w:r>
          </w:p>
          <w:p w14:paraId="481DDCB4"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Parágrafo único. A Licença de Instalação somente será expedida mediante a comprovação, quando couber, da Declaração de Utilidade Pública do empreendimento, pelo empreendedor.</w:t>
            </w:r>
          </w:p>
          <w:p w14:paraId="3CA8C8E5"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6o O prazo para emissão da Licença Prévia e da Licença de Instalação será de, no máximo, sessenta dias, contados a partir da data de protocolização do requerimento das respectivas licenças.</w:t>
            </w:r>
          </w:p>
          <w:p w14:paraId="3523659D"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1o Quando for necessária, a critério do órgão ambiental competente, mediante justificativa técnica, a realização de estudos complementares, a contagem do prazo será suspensa até a sua entrega.</w:t>
            </w:r>
          </w:p>
          <w:p w14:paraId="36EB0285"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lastRenderedPageBreak/>
              <w:t xml:space="preserve">§ 2o O prazo de suspensão será de até sessenta dias, podendo ser prorrogado pelo órgão ambiental mediante solicitação fundamentada do empreendedor. </w:t>
            </w:r>
          </w:p>
          <w:p w14:paraId="1148A110"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3o A não apresentação dos estudos complementares no prazo final previsto no parágrafo anterior acarretará o cancelamento do processo de licenciamento.</w:t>
            </w:r>
          </w:p>
          <w:p w14:paraId="322FDB6C" w14:textId="6FF7D238"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4o A Licença de Instalação perderá sua eficácia caso o empreendimento não inicie sua implementação no prazo indicado pelo empreendedor conforme cronograma apresentado, facultada sua prorrogação pelo órgão ambiental mediante provocação justificada.</w:t>
            </w:r>
          </w:p>
          <w:p w14:paraId="71019D1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7o Aos empreendimentos que já se encontrarem em processo de licenciamento ambiental na data da publicação desta Resolução e se enquadrarem nos seus pressupostos, poderá ser aplicado o licenciamento ambiental simplificado, desde que requerido pelo empreendedor.</w:t>
            </w:r>
          </w:p>
          <w:p w14:paraId="65F479E8"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Art. 8o Sempre que julgar necessário, ou quando for solicitado por entidade civil, pelo Ministério Público, ou por </w:t>
            </w:r>
            <w:proofErr w:type="spellStart"/>
            <w:r w:rsidRPr="003D2BFE">
              <w:rPr>
                <w:rFonts w:ascii="Book Antiqua" w:eastAsia="Times New Roman" w:hAnsi="Book Antiqua" w:cs="Times New Roman"/>
                <w:color w:val="000000"/>
                <w:sz w:val="19"/>
                <w:szCs w:val="19"/>
                <w:lang w:eastAsia="pt-BR"/>
              </w:rPr>
              <w:t>cinqüenta</w:t>
            </w:r>
            <w:proofErr w:type="spellEnd"/>
            <w:r w:rsidRPr="003D2BFE">
              <w:rPr>
                <w:rFonts w:ascii="Book Antiqua" w:eastAsia="Times New Roman" w:hAnsi="Book Antiqua" w:cs="Times New Roman"/>
                <w:color w:val="000000"/>
                <w:sz w:val="19"/>
                <w:szCs w:val="19"/>
                <w:lang w:eastAsia="pt-BR"/>
              </w:rPr>
              <w:t xml:space="preserve"> pessoas maiores de dezoito anos, o órgão de meio ambiente promoverá Reunião Técnica Informativa.</w:t>
            </w:r>
          </w:p>
          <w:p w14:paraId="7EF809B9"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 1º A solicitação para realização da Reunião Técnica Informativa deverá ocorrer no prazo de até vinte dias após a data de publicação do requerimento das licenças pelo empreendedor. </w:t>
            </w:r>
          </w:p>
          <w:p w14:paraId="549244C8"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2º A Reunião Técnica Informativa será realizada em até vinte dias a contar da data de solicitação de sua realização e deverá ser divulgada pelo empreendedor.</w:t>
            </w:r>
          </w:p>
          <w:p w14:paraId="0C1AE98A"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3º Na Reunião Técnica Informativa será obrigatório o comparecimento do empreendedor, das equipes responsáveis pela elaboração do Relatório Ambiental Simplificado e do Relatório de Detalhamento dos Programas Ambientais, e de representantes do órgão ambiental competente.</w:t>
            </w:r>
          </w:p>
          <w:p w14:paraId="6EF5B18A" w14:textId="765DEB5B"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4º Qualquer pessoa poderá se manifestar por escrito no prazo de quarenta dias da publicação do requerimento de licença nos termos desta Resolução cabendo o órgão ambiental juntar as manifestações ao processo de licenciamento ambiental e considerá-las na fundamentação da emissão da licença ambiental.</w:t>
            </w:r>
          </w:p>
          <w:p w14:paraId="62A8E96D"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9º A Licença de Operação será emitida pelo órgão ambiental competente no prazo máximo de sessenta dias após seu requerimento, desde que tenham sido cumpridas todas as condicionantes da Licença de Instalação, no momento exigíveis, antes da entrada em operação do empreendimento, verificando-se, inclusive, quando for o caso, por meio da realização de testes pré-operacionais necessários, previamente autorizados.</w:t>
            </w:r>
          </w:p>
          <w:p w14:paraId="050FE2D4"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10º As exigências e as condicionantes estritamente técnicas das licenças ambientais constituem obrigação de relevante interesse ambiental.</w:t>
            </w:r>
          </w:p>
          <w:p w14:paraId="4D7D858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11º O empreendedor, durante a implantação e operação do empreendimento comunicará ao órgão ambiental competente a identificação de impactos ambientais não descritos no Relatório Ambiental Simplificado e no Relatório de Detalhamento dos Programas Ambientais, para as providências que se fizerem necessárias.</w:t>
            </w:r>
          </w:p>
          <w:p w14:paraId="637873D1"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12º O órgão ambiental competente, mediante decisão motivada, assegurado o princípio do contraditório, ressalvadas as situações de emergência ou urgência poderá, a qualquer tempo, modificar as condicionantes e as medidas de controle e adequação do empreendimento, suspender ou cancelar a licença expedida, quando ocorrer:</w:t>
            </w:r>
          </w:p>
          <w:p w14:paraId="5B98A5E3"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I - </w:t>
            </w:r>
            <w:proofErr w:type="gramStart"/>
            <w:r w:rsidRPr="003D2BFE">
              <w:rPr>
                <w:rFonts w:ascii="Book Antiqua" w:eastAsia="Times New Roman" w:hAnsi="Book Antiqua" w:cs="Times New Roman"/>
                <w:color w:val="000000"/>
                <w:sz w:val="19"/>
                <w:szCs w:val="19"/>
                <w:lang w:eastAsia="pt-BR"/>
              </w:rPr>
              <w:t>violação ou inadequação</w:t>
            </w:r>
            <w:proofErr w:type="gramEnd"/>
            <w:r w:rsidRPr="003D2BFE">
              <w:rPr>
                <w:rFonts w:ascii="Book Antiqua" w:eastAsia="Times New Roman" w:hAnsi="Book Antiqua" w:cs="Times New Roman"/>
                <w:color w:val="000000"/>
                <w:sz w:val="19"/>
                <w:szCs w:val="19"/>
                <w:lang w:eastAsia="pt-BR"/>
              </w:rPr>
              <w:t xml:space="preserve"> de quaisquer condicionantes ou infração a normas legais; ou</w:t>
            </w:r>
          </w:p>
          <w:p w14:paraId="7CC240B9"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II - </w:t>
            </w:r>
            <w:proofErr w:type="gramStart"/>
            <w:r w:rsidRPr="003D2BFE">
              <w:rPr>
                <w:rFonts w:ascii="Book Antiqua" w:eastAsia="Times New Roman" w:hAnsi="Book Antiqua" w:cs="Times New Roman"/>
                <w:color w:val="000000"/>
                <w:sz w:val="19"/>
                <w:szCs w:val="19"/>
                <w:lang w:eastAsia="pt-BR"/>
              </w:rPr>
              <w:t>superveniência</w:t>
            </w:r>
            <w:proofErr w:type="gramEnd"/>
            <w:r w:rsidRPr="003D2BFE">
              <w:rPr>
                <w:rFonts w:ascii="Book Antiqua" w:eastAsia="Times New Roman" w:hAnsi="Book Antiqua" w:cs="Times New Roman"/>
                <w:color w:val="000000"/>
                <w:sz w:val="19"/>
                <w:szCs w:val="19"/>
                <w:lang w:eastAsia="pt-BR"/>
              </w:rPr>
              <w:t xml:space="preserve"> de graves riscos ambientais ou à saúde. </w:t>
            </w:r>
          </w:p>
          <w:p w14:paraId="1F0008B9" w14:textId="275ED94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lastRenderedPageBreak/>
              <w:t>Parágrafo único. É nula de pleno direito a licença expedida com base em informações ou dados falsos, enganosos ou capazes de induzir a erro, não gerando a nulidade qualquer responsabilidade civil para o Poder Público em favor do empreendedor.</w:t>
            </w:r>
          </w:p>
          <w:p w14:paraId="5F5B54FB"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13º As publicações de que trata esta Resolução deverão ser feitas em Diário Oficial e em jornal de grande circulação ou outro meio de comunicação amplamente utilizado na região onde se pretende instalar o empreendimento devendo constar a identificação do empreendedor, o local de abrangência e o tipo de empreendimento, assim como o endereço e telefone do órgão ambiental competente.</w:t>
            </w:r>
          </w:p>
          <w:p w14:paraId="35D1682D" w14:textId="77777777" w:rsidR="005170E2"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1º O empreendedor deverá encaminhar cópia da publicação de que trata o caput deste artigo ao Conselho de Meio Ambiente competente.</w:t>
            </w:r>
          </w:p>
          <w:p w14:paraId="4DD80EBA" w14:textId="1E8A2C4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2º A divulgação por meio de rádio, quando determinada pelo órgão ambiental competente ou a critério do empreendedor, deverá ocorrer por no mínimo três vezes ao dia durante três dias consecutivos em horário das 6:00 às 20:00.</w:t>
            </w:r>
          </w:p>
          <w:p w14:paraId="74B9E4D6"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14º A aplicação desta Resolução será avaliada pelo Plenário do CONAMA um 1 ano após a sua publicação.</w:t>
            </w:r>
          </w:p>
          <w:p w14:paraId="1A8CDBD5"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Art. 15º Esta Resolução entra em vigor na data da sua publicação.</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8550"/>
            </w:tblGrid>
            <w:tr w:rsidR="00622CE5" w:rsidRPr="003D2BFE" w14:paraId="56A4EAA4" w14:textId="77777777">
              <w:trPr>
                <w:tblCellSpacing w:w="15" w:type="dxa"/>
              </w:trPr>
              <w:tc>
                <w:tcPr>
                  <w:tcW w:w="0" w:type="auto"/>
                  <w:vAlign w:val="center"/>
                  <w:hideMark/>
                </w:tcPr>
                <w:p w14:paraId="28DA380C" w14:textId="77777777" w:rsidR="00622CE5" w:rsidRPr="003D2BFE" w:rsidRDefault="00622CE5" w:rsidP="00622CE5">
                  <w:pPr>
                    <w:spacing w:after="0" w:line="240" w:lineRule="auto"/>
                    <w:jc w:val="center"/>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JOSÉ SARNEY FILHO</w:t>
                  </w:r>
                  <w:r w:rsidRPr="003D2BFE">
                    <w:rPr>
                      <w:rFonts w:ascii="Book Antiqua" w:eastAsia="Times New Roman" w:hAnsi="Book Antiqua" w:cs="Times New Roman"/>
                      <w:color w:val="000000"/>
                      <w:sz w:val="19"/>
                      <w:szCs w:val="19"/>
                      <w:lang w:eastAsia="pt-BR"/>
                    </w:rPr>
                    <w:br/>
                    <w:t>Presidente do CONAMA</w:t>
                  </w:r>
                </w:p>
              </w:tc>
            </w:tr>
          </w:tbl>
          <w:p w14:paraId="0FCA7DF5" w14:textId="77777777" w:rsidR="00622CE5" w:rsidRPr="003D2BFE" w:rsidRDefault="00622CE5" w:rsidP="00622C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ANEXO I</w:t>
            </w:r>
          </w:p>
          <w:p w14:paraId="664ED474"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PROPOSTA DE CONTEÚDO MÍNIMO PARA O RELATÓRIO AMBIENTAL SIMPLIFICADO</w:t>
            </w:r>
          </w:p>
          <w:p w14:paraId="793945AC"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A - Descrição do Projeto</w:t>
            </w:r>
          </w:p>
          <w:p w14:paraId="2532C80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Objetivos e justificativas, em relação e compatibilidade com as políticas setoriais, planos e programas governamentais;</w:t>
            </w:r>
          </w:p>
          <w:p w14:paraId="283087CA"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Descrição do projeto e suas alternativas tecnológicas e locacionais, considerando a hipótese de não realização, especificando a área de influência;</w:t>
            </w:r>
          </w:p>
          <w:p w14:paraId="68D622A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B - Diagnóstico e Prognóstico Ambiental</w:t>
            </w:r>
          </w:p>
          <w:p w14:paraId="79FC4B70"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Diagnóstico ambiental;</w:t>
            </w:r>
          </w:p>
          <w:p w14:paraId="5EE701AB"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Descrição dos prováveis impactos ambientais e </w:t>
            </w:r>
            <w:proofErr w:type="spellStart"/>
            <w:r w:rsidRPr="003D2BFE">
              <w:rPr>
                <w:rFonts w:ascii="Book Antiqua" w:eastAsia="Times New Roman" w:hAnsi="Book Antiqua" w:cs="Times New Roman"/>
                <w:color w:val="000000"/>
                <w:sz w:val="19"/>
                <w:szCs w:val="19"/>
                <w:lang w:eastAsia="pt-BR"/>
              </w:rPr>
              <w:t>sócio-econômicos</w:t>
            </w:r>
            <w:proofErr w:type="spellEnd"/>
            <w:r w:rsidRPr="003D2BFE">
              <w:rPr>
                <w:rFonts w:ascii="Book Antiqua" w:eastAsia="Times New Roman" w:hAnsi="Book Antiqua" w:cs="Times New Roman"/>
                <w:color w:val="000000"/>
                <w:sz w:val="19"/>
                <w:szCs w:val="19"/>
                <w:lang w:eastAsia="pt-BR"/>
              </w:rPr>
              <w:t xml:space="preserve"> da implantação e operação da atividade, considerando o projeto, suas alternativas, os horizontes de tempo de incidência dos impactos e indicando os métodos, técnicas e critérios para sua identificação, quantificação e interpretação;</w:t>
            </w:r>
          </w:p>
          <w:p w14:paraId="5F37F23C"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Caracterização da qualidade ambiental futura da área de influência, considerando a interação dos diferentes fatores ambientais;</w:t>
            </w:r>
          </w:p>
          <w:p w14:paraId="0054BDF8"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C - Medidas Mitigadoras e Compensatórias</w:t>
            </w:r>
          </w:p>
          <w:p w14:paraId="4E088239"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 xml:space="preserve">Medidas mitigadoras e compensatórias, identificando os impactos que não possam ser evitados; </w:t>
            </w:r>
          </w:p>
          <w:p w14:paraId="3778A837"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Recomendação quanto à alternativa mais favorável;</w:t>
            </w:r>
          </w:p>
          <w:p w14:paraId="2ADA103C" w14:textId="77777777" w:rsidR="00622CE5" w:rsidRPr="003D2BFE" w:rsidRDefault="00622CE5" w:rsidP="00622C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Programa de acompanhamento, monitoramento e controle.</w:t>
            </w:r>
          </w:p>
          <w:p w14:paraId="0AADA7DD" w14:textId="77777777" w:rsidR="00622CE5" w:rsidRPr="003D2BFE" w:rsidRDefault="00622CE5" w:rsidP="00622CE5">
            <w:pPr>
              <w:spacing w:before="100" w:beforeAutospacing="1" w:after="100" w:afterAutospacing="1" w:line="240" w:lineRule="auto"/>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t>(Of. El. nº 814/2001)</w:t>
            </w:r>
          </w:p>
          <w:p w14:paraId="430D8980" w14:textId="77777777" w:rsidR="00622CE5" w:rsidRPr="003D2BFE" w:rsidRDefault="00622CE5" w:rsidP="00622CE5">
            <w:pPr>
              <w:spacing w:before="100" w:beforeAutospacing="1" w:after="100" w:afterAutospacing="1" w:line="240" w:lineRule="auto"/>
              <w:jc w:val="right"/>
              <w:rPr>
                <w:rFonts w:ascii="Book Antiqua" w:eastAsia="Times New Roman" w:hAnsi="Book Antiqua" w:cs="Times New Roman"/>
                <w:color w:val="000000"/>
                <w:sz w:val="19"/>
                <w:szCs w:val="19"/>
                <w:lang w:eastAsia="pt-BR"/>
              </w:rPr>
            </w:pPr>
            <w:r w:rsidRPr="003D2BFE">
              <w:rPr>
                <w:rFonts w:ascii="Book Antiqua" w:eastAsia="Times New Roman" w:hAnsi="Book Antiqua" w:cs="Times New Roman"/>
                <w:color w:val="000000"/>
                <w:sz w:val="19"/>
                <w:szCs w:val="19"/>
                <w:lang w:eastAsia="pt-BR"/>
              </w:rPr>
              <w:lastRenderedPageBreak/>
              <w:t>Publicada DOU 29/06/2001</w:t>
            </w:r>
          </w:p>
        </w:tc>
      </w:tr>
    </w:tbl>
    <w:p w14:paraId="0FC6CA65" w14:textId="77777777" w:rsidR="008619A2" w:rsidRPr="003D2BFE" w:rsidRDefault="008619A2">
      <w:pPr>
        <w:rPr>
          <w:rFonts w:ascii="Book Antiqua" w:hAnsi="Book Antiqua" w:cs="Times New Roman"/>
          <w:sz w:val="19"/>
          <w:szCs w:val="19"/>
        </w:rPr>
      </w:pPr>
    </w:p>
    <w:sectPr w:rsidR="008619A2" w:rsidRPr="003D2BFE" w:rsidSect="00DF3E3A">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0AD7" w14:textId="77777777" w:rsidR="00A46361" w:rsidRDefault="00A46361" w:rsidP="00DF3E3A">
      <w:pPr>
        <w:spacing w:after="0" w:line="240" w:lineRule="auto"/>
      </w:pPr>
      <w:r>
        <w:separator/>
      </w:r>
    </w:p>
  </w:endnote>
  <w:endnote w:type="continuationSeparator" w:id="0">
    <w:p w14:paraId="03B3A571" w14:textId="77777777" w:rsidR="00A46361" w:rsidRDefault="00A46361" w:rsidP="00DF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3C29C" w14:textId="77777777" w:rsidR="00A46361" w:rsidRDefault="00A46361" w:rsidP="00DF3E3A">
      <w:pPr>
        <w:spacing w:after="0" w:line="240" w:lineRule="auto"/>
      </w:pPr>
      <w:r>
        <w:separator/>
      </w:r>
    </w:p>
  </w:footnote>
  <w:footnote w:type="continuationSeparator" w:id="0">
    <w:p w14:paraId="3807CE02" w14:textId="77777777" w:rsidR="00A46361" w:rsidRDefault="00A46361" w:rsidP="00DF3E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7"/>
    <w:rsid w:val="00097F2A"/>
    <w:rsid w:val="003D2BFE"/>
    <w:rsid w:val="005170E2"/>
    <w:rsid w:val="00622CE5"/>
    <w:rsid w:val="00681347"/>
    <w:rsid w:val="006941E0"/>
    <w:rsid w:val="006D1C39"/>
    <w:rsid w:val="007D35B3"/>
    <w:rsid w:val="00806BE2"/>
    <w:rsid w:val="00821EB0"/>
    <w:rsid w:val="008619A2"/>
    <w:rsid w:val="009E2116"/>
    <w:rsid w:val="00A46361"/>
    <w:rsid w:val="00B10F58"/>
    <w:rsid w:val="00C2478A"/>
    <w:rsid w:val="00D47239"/>
    <w:rsid w:val="00DF3E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582C4"/>
  <w15:chartTrackingRefBased/>
  <w15:docId w15:val="{CB486CC0-6BFB-41CD-8B5B-87CD35FF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22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F3E3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F3E3A"/>
  </w:style>
  <w:style w:type="paragraph" w:styleId="Rodap">
    <w:name w:val="footer"/>
    <w:basedOn w:val="Normal"/>
    <w:link w:val="RodapChar"/>
    <w:uiPriority w:val="99"/>
    <w:unhideWhenUsed/>
    <w:rsid w:val="00DF3E3A"/>
    <w:pPr>
      <w:tabs>
        <w:tab w:val="center" w:pos="4252"/>
        <w:tab w:val="right" w:pos="8504"/>
      </w:tabs>
      <w:spacing w:after="0" w:line="240" w:lineRule="auto"/>
    </w:pPr>
  </w:style>
  <w:style w:type="character" w:customStyle="1" w:styleId="RodapChar">
    <w:name w:val="Rodapé Char"/>
    <w:basedOn w:val="Fontepargpadro"/>
    <w:link w:val="Rodap"/>
    <w:uiPriority w:val="99"/>
    <w:rsid w:val="00DF3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1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1957</Words>
  <Characters>10572</Characters>
  <Application>Microsoft Office Word</Application>
  <DocSecurity>0</DocSecurity>
  <Lines>88</Lines>
  <Paragraphs>25</Paragraphs>
  <ScaleCrop>false</ScaleCrop>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cp:revision>
  <dcterms:created xsi:type="dcterms:W3CDTF">2015-10-13T23:11:00Z</dcterms:created>
  <dcterms:modified xsi:type="dcterms:W3CDTF">2025-03-05T20:25:00Z</dcterms:modified>
</cp:coreProperties>
</file>