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A5CD" w14:textId="43C1C0C6" w:rsidR="00406DE9" w:rsidRPr="00406DE9" w:rsidRDefault="00406DE9" w:rsidP="007A20F7">
      <w:pPr>
        <w:jc w:val="center"/>
        <w:rPr>
          <w:rFonts w:ascii="Book Antiqua" w:hAnsi="Book Antiqua"/>
          <w:b/>
          <w:bCs/>
          <w:color w:val="FF0000"/>
          <w:sz w:val="19"/>
          <w:szCs w:val="19"/>
        </w:rPr>
      </w:pPr>
      <w:r w:rsidRPr="00406DE9">
        <w:rPr>
          <w:rFonts w:ascii="Book Antiqua" w:hAnsi="Book Antiqua"/>
          <w:b/>
          <w:bCs/>
          <w:color w:val="FF0000"/>
          <w:sz w:val="19"/>
          <w:szCs w:val="19"/>
        </w:rPr>
        <w:t xml:space="preserve">(Atualização em </w:t>
      </w:r>
      <w:r w:rsidR="008C6F12">
        <w:rPr>
          <w:rFonts w:ascii="Book Antiqua" w:hAnsi="Book Antiqua"/>
          <w:b/>
          <w:bCs/>
          <w:color w:val="FF0000"/>
          <w:sz w:val="19"/>
          <w:szCs w:val="19"/>
        </w:rPr>
        <w:t>3</w:t>
      </w:r>
      <w:r w:rsidR="004439A0">
        <w:rPr>
          <w:rFonts w:ascii="Book Antiqua" w:hAnsi="Book Antiqua"/>
          <w:b/>
          <w:bCs/>
          <w:color w:val="FF0000"/>
          <w:sz w:val="19"/>
          <w:szCs w:val="19"/>
        </w:rPr>
        <w:t>1</w:t>
      </w:r>
      <w:r w:rsidR="008C6F12">
        <w:rPr>
          <w:rFonts w:ascii="Book Antiqua" w:hAnsi="Book Antiqua"/>
          <w:b/>
          <w:bCs/>
          <w:color w:val="FF0000"/>
          <w:sz w:val="19"/>
          <w:szCs w:val="19"/>
        </w:rPr>
        <w:t>/01</w:t>
      </w:r>
      <w:r w:rsidRPr="00406DE9">
        <w:rPr>
          <w:rFonts w:ascii="Book Antiqua" w:hAnsi="Book Antiqua"/>
          <w:b/>
          <w:bCs/>
          <w:color w:val="FF0000"/>
          <w:sz w:val="19"/>
          <w:szCs w:val="19"/>
        </w:rPr>
        <w:t>/202</w:t>
      </w:r>
      <w:r w:rsidR="008C6F12">
        <w:rPr>
          <w:rFonts w:ascii="Book Antiqua" w:hAnsi="Book Antiqua"/>
          <w:b/>
          <w:bCs/>
          <w:color w:val="FF0000"/>
          <w:sz w:val="19"/>
          <w:szCs w:val="19"/>
        </w:rPr>
        <w:t>3</w:t>
      </w:r>
      <w:r w:rsidRPr="00406DE9">
        <w:rPr>
          <w:rFonts w:ascii="Book Antiqua" w:hAnsi="Book Antiqua"/>
          <w:b/>
          <w:bCs/>
          <w:color w:val="FF0000"/>
          <w:sz w:val="19"/>
          <w:szCs w:val="19"/>
        </w:rPr>
        <w:t>: questões de concurso)</w:t>
      </w:r>
    </w:p>
    <w:p w14:paraId="5406632E" w14:textId="0130A048" w:rsidR="00176C23" w:rsidRPr="007A20F7" w:rsidRDefault="007A20F7" w:rsidP="007A20F7">
      <w:pPr>
        <w:jc w:val="center"/>
        <w:rPr>
          <w:rFonts w:ascii="Book Antiqua" w:hAnsi="Book Antiqua"/>
          <w:b/>
          <w:bCs/>
          <w:sz w:val="19"/>
          <w:szCs w:val="19"/>
        </w:rPr>
      </w:pPr>
      <w:r w:rsidRPr="007A20F7">
        <w:rPr>
          <w:rFonts w:ascii="Book Antiqua" w:hAnsi="Book Antiqua"/>
          <w:b/>
          <w:bCs/>
          <w:sz w:val="19"/>
          <w:szCs w:val="19"/>
        </w:rPr>
        <w:t>Resolução CONAMA nº 369 de 28/03/2006</w:t>
      </w:r>
      <w:r w:rsidR="005F6F21">
        <w:rPr>
          <w:rStyle w:val="Refdenotaderodap"/>
          <w:rFonts w:ascii="Book Antiqua" w:hAnsi="Book Antiqua"/>
          <w:b/>
          <w:bCs/>
          <w:sz w:val="19"/>
          <w:szCs w:val="19"/>
        </w:rPr>
        <w:footnoteReference w:id="1"/>
      </w:r>
    </w:p>
    <w:p w14:paraId="3D5186EA" w14:textId="5A6BB826" w:rsidR="007A20F7" w:rsidRPr="007A20F7" w:rsidRDefault="007A20F7" w:rsidP="007A20F7">
      <w:pPr>
        <w:ind w:left="2410"/>
        <w:rPr>
          <w:rFonts w:ascii="Book Antiqua" w:hAnsi="Book Antiqua"/>
          <w:sz w:val="19"/>
          <w:szCs w:val="19"/>
        </w:rPr>
      </w:pPr>
      <w:r w:rsidRPr="007A20F7">
        <w:rPr>
          <w:rFonts w:ascii="Book Antiqua" w:hAnsi="Book Antiqua"/>
          <w:sz w:val="19"/>
          <w:szCs w:val="19"/>
        </w:rPr>
        <w:t>Dispõe sobre os casos excepcionais, de utilidade pública, interesse social ou baixo impacto ambiental, que possibilitam a intervenção ou supressão de vegetação em Área de Preservação Permanente - APP.</w:t>
      </w:r>
    </w:p>
    <w:p w14:paraId="17DBBD6C" w14:textId="25B79E54" w:rsidR="007A20F7" w:rsidRPr="007A20F7" w:rsidRDefault="007A20F7" w:rsidP="007A20F7">
      <w:pPr>
        <w:jc w:val="both"/>
        <w:rPr>
          <w:rFonts w:ascii="Book Antiqua" w:hAnsi="Book Antiqua"/>
          <w:sz w:val="19"/>
          <w:szCs w:val="19"/>
        </w:rPr>
      </w:pPr>
      <w:r w:rsidRPr="007A20F7">
        <w:rPr>
          <w:rFonts w:ascii="Book Antiqua" w:hAnsi="Book Antiqua"/>
          <w:sz w:val="19"/>
          <w:szCs w:val="19"/>
        </w:rPr>
        <w:t>O CONSELHO NACIONAL DO MEIO AMBIENTE-CONAMA, no uso das competências que lhe são conferidas pela Lei nº 6.938, de 31 de agosto de 1981, regulamentada pelo Decreto nº 99.274, de 6 de junho de 1990, e tendo em vista o disposto nas Leis nº 4.771, de 15 de setembro e 1965, nº 9.433, de 8 de janeiro de 1997, e o seu Regimento Interno, e</w:t>
      </w:r>
    </w:p>
    <w:p w14:paraId="63FE8F6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Considerando, nos termos do art. 225, caput, da Constituição Federal, o dever do Poder Público e da coletividade de proteger o meio ambiente para a presente e as futuras gerações;</w:t>
      </w:r>
    </w:p>
    <w:p w14:paraId="2C19E16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Considerando as responsabilidades assumidas pelo Brasil por força da Convenção da Biodiversidade, de 1992, da Convenção </w:t>
      </w:r>
      <w:proofErr w:type="spellStart"/>
      <w:r w:rsidRPr="007A20F7">
        <w:rPr>
          <w:rFonts w:ascii="Book Antiqua" w:hAnsi="Book Antiqua"/>
          <w:sz w:val="19"/>
          <w:szCs w:val="19"/>
        </w:rPr>
        <w:t>Ramsar</w:t>
      </w:r>
      <w:proofErr w:type="spellEnd"/>
      <w:r w:rsidRPr="007A20F7">
        <w:rPr>
          <w:rFonts w:ascii="Book Antiqua" w:hAnsi="Book Antiqua"/>
          <w:sz w:val="19"/>
          <w:szCs w:val="19"/>
        </w:rPr>
        <w:t>, de 1971 e da Convenção de Washington, de 1940, bem como os compromissos derivados da Declaração do Rio de Janeiro, de 1992;</w:t>
      </w:r>
    </w:p>
    <w:p w14:paraId="53E3D15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Considerando que as Áreas de Preservação Permanente - APP, localizadas em cada posse ou propriedade, são bens de interesse nacional e espaços territoriais especialmente protegidos, cobertos ou não por vegetação, com a função ambiental de preservar os recursos hídricos, a paisagem, a estabilidade geológica, a biodiversidade, o fluxo gênico de fauna e flora, proteger o solo e assegurar o bem-estar das populações humanas;</w:t>
      </w:r>
    </w:p>
    <w:p w14:paraId="6DB95496" w14:textId="3E5278B4" w:rsidR="007A20F7" w:rsidRPr="005F6F21" w:rsidRDefault="007A20F7" w:rsidP="007A20F7">
      <w:pPr>
        <w:jc w:val="both"/>
        <w:rPr>
          <w:rFonts w:ascii="Book Antiqua" w:hAnsi="Book Antiqua"/>
          <w:b/>
          <w:bCs/>
          <w:sz w:val="19"/>
          <w:szCs w:val="19"/>
          <w:u w:val="single"/>
        </w:rPr>
      </w:pPr>
      <w:r w:rsidRPr="005F6F21">
        <w:rPr>
          <w:rFonts w:ascii="Book Antiqua" w:hAnsi="Book Antiqua"/>
          <w:b/>
          <w:bCs/>
          <w:sz w:val="19"/>
          <w:szCs w:val="19"/>
        </w:rPr>
        <w:t>Considerando a singularidade e o valor estratégico das áreas de preservação permanente que, conforme indica sua denominação, são caracterizadas, como regra geral, pela intocabilidade e vedação de uso econômico direto</w:t>
      </w:r>
      <w:r w:rsidRPr="005F6F21">
        <w:rPr>
          <w:rFonts w:ascii="Book Antiqua" w:hAnsi="Book Antiqua"/>
          <w:sz w:val="18"/>
          <w:szCs w:val="18"/>
        </w:rPr>
        <w:t>;</w:t>
      </w:r>
      <w:r w:rsidR="005F6F21" w:rsidRPr="005F6F21">
        <w:rPr>
          <w:rFonts w:ascii="Book Antiqua" w:hAnsi="Book Antiqua"/>
          <w:sz w:val="18"/>
          <w:szCs w:val="18"/>
        </w:rPr>
        <w:t xml:space="preserve"> </w:t>
      </w:r>
      <w:bookmarkStart w:id="0" w:name="_Hlk109475058"/>
      <w:r w:rsidR="005F6F21" w:rsidRPr="005F6F21">
        <w:rPr>
          <w:rFonts w:ascii="Book Antiqua" w:hAnsi="Book Antiqua"/>
          <w:b/>
          <w:bCs/>
          <w:color w:val="FF0000"/>
          <w:sz w:val="18"/>
          <w:szCs w:val="18"/>
          <w:u w:val="single"/>
        </w:rPr>
        <w:t>(PCSE-2018)</w:t>
      </w:r>
      <w:bookmarkEnd w:id="0"/>
    </w:p>
    <w:p w14:paraId="5D102E0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Considerando que as áreas de preservação permanente e outros espaços territoriais especialmente protegidos, como instrumentos de relevante interesse ambiental, integram o desenvolvimento sustentável, objetivo das presentes e futuras gerações;</w:t>
      </w:r>
    </w:p>
    <w:p w14:paraId="7BD5AD8B" w14:textId="432073E9"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Considerando a função socioambiental da propriedade prevista nos </w:t>
      </w:r>
      <w:proofErr w:type="spellStart"/>
      <w:r w:rsidRPr="007A20F7">
        <w:rPr>
          <w:rFonts w:ascii="Book Antiqua" w:hAnsi="Book Antiqua"/>
          <w:sz w:val="19"/>
          <w:szCs w:val="19"/>
        </w:rPr>
        <w:t>arts</w:t>
      </w:r>
      <w:proofErr w:type="spellEnd"/>
      <w:r w:rsidRPr="007A20F7">
        <w:rPr>
          <w:rFonts w:ascii="Book Antiqua" w:hAnsi="Book Antiqua"/>
          <w:sz w:val="19"/>
          <w:szCs w:val="19"/>
        </w:rPr>
        <w:t>. 5º, inciso XXIII, 170, inciso VI, 182, § 2º, 186, inciso II e 225 da Constituição e os princípios da prevenção, da precaução e do poluidor-pagador;</w:t>
      </w:r>
    </w:p>
    <w:p w14:paraId="0AF1779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Considerando que o direito de propriedade será exercido com as limitações que a legislação estabelece, ficando o proprietário ou posseiro obrigados a respeitarem as normas e regulamentos administrativos;</w:t>
      </w:r>
    </w:p>
    <w:p w14:paraId="3E2DEBB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Considerando o dever legal do proprietário ou do possuidor de recuperar as Áreas de Preservação Permanente - </w:t>
      </w:r>
      <w:proofErr w:type="spellStart"/>
      <w:r w:rsidRPr="007A20F7">
        <w:rPr>
          <w:rFonts w:ascii="Book Antiqua" w:hAnsi="Book Antiqua"/>
          <w:sz w:val="19"/>
          <w:szCs w:val="19"/>
        </w:rPr>
        <w:t>APPs</w:t>
      </w:r>
      <w:proofErr w:type="spellEnd"/>
      <w:r w:rsidRPr="007A20F7">
        <w:rPr>
          <w:rFonts w:ascii="Book Antiqua" w:hAnsi="Book Antiqua"/>
          <w:sz w:val="19"/>
          <w:szCs w:val="19"/>
        </w:rPr>
        <w:t xml:space="preserve"> irregularmente suprimidas ou ocupadas;</w:t>
      </w:r>
    </w:p>
    <w:p w14:paraId="07C97A7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Considerando que, nos termos do art. 8º, da Lei nº 6.938, de 1981, compete ao Conselho Nacional do Meio Ambiente - CONAMA estabelecer normas, critérios e padrões relativos ao controle e à manutenção da qualidade do meio ambiente com vistas ao uso racional dos recursos ambientais, principalmente os hídricos; e</w:t>
      </w:r>
    </w:p>
    <w:p w14:paraId="6A853DB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Considerando que, nos termos do art. 1º § 2º, incisos IV, alínea c, e V, alínea c, da Lei nº 4.771, de 15 de setembro de 1965, alterada pela MP nº 2.166-67, de 24 de agosto de 2001, compete ao CONAMA prever, em resolução, demais obras, planos, atividades ou projetos" de utilidade pública e interesse social; resolve:</w:t>
      </w:r>
    </w:p>
    <w:p w14:paraId="149EC0E0" w14:textId="77777777" w:rsidR="007A20F7" w:rsidRPr="007A20F7" w:rsidRDefault="007A20F7" w:rsidP="007A20F7">
      <w:pPr>
        <w:rPr>
          <w:rFonts w:ascii="Book Antiqua" w:hAnsi="Book Antiqua"/>
          <w:sz w:val="19"/>
          <w:szCs w:val="19"/>
        </w:rPr>
      </w:pPr>
    </w:p>
    <w:p w14:paraId="295A07D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Seção I</w:t>
      </w:r>
    </w:p>
    <w:p w14:paraId="7DEBEBB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Das Disposições Gerais</w:t>
      </w:r>
    </w:p>
    <w:p w14:paraId="5EBDD9AA" w14:textId="1F07F1EE" w:rsidR="007A20F7" w:rsidRPr="007A20F7" w:rsidRDefault="007A20F7" w:rsidP="007A20F7">
      <w:pPr>
        <w:jc w:val="both"/>
        <w:rPr>
          <w:rFonts w:ascii="Book Antiqua" w:hAnsi="Book Antiqua"/>
          <w:sz w:val="19"/>
          <w:szCs w:val="19"/>
        </w:rPr>
      </w:pPr>
      <w:r w:rsidRPr="005F6F21">
        <w:rPr>
          <w:rFonts w:ascii="Book Antiqua" w:hAnsi="Book Antiqua"/>
          <w:b/>
          <w:bCs/>
          <w:sz w:val="19"/>
          <w:szCs w:val="19"/>
          <w:highlight w:val="magenta"/>
        </w:rPr>
        <w:lastRenderedPageBreak/>
        <w:t>Art. 1º</w:t>
      </w:r>
      <w:r w:rsidRPr="007A20F7">
        <w:rPr>
          <w:rFonts w:ascii="Book Antiqua" w:hAnsi="Book Antiqua"/>
          <w:sz w:val="19"/>
          <w:szCs w:val="19"/>
        </w:rPr>
        <w:t xml:space="preserve"> </w:t>
      </w:r>
      <w:r w:rsidRPr="005F6F21">
        <w:rPr>
          <w:rFonts w:ascii="Book Antiqua" w:hAnsi="Book Antiqua"/>
          <w:b/>
          <w:bCs/>
          <w:sz w:val="19"/>
          <w:szCs w:val="19"/>
        </w:rPr>
        <w:t>Esta Resolução define os casos excepcionais em que o órgão ambiental competente pode autorizar a intervenção ou supressão de vegetação em Área de Preservação Permanente - APP para a implantação de obras, planos, atividades ou projetos de utilidade pública ou interesse social, ou para a realização de ações consideradas eventuais e de baixo impacto ambiental</w:t>
      </w:r>
      <w:r w:rsidRPr="007A20F7">
        <w:rPr>
          <w:rFonts w:ascii="Book Antiqua" w:hAnsi="Book Antiqua"/>
          <w:sz w:val="19"/>
          <w:szCs w:val="19"/>
        </w:rPr>
        <w:t>.</w:t>
      </w:r>
      <w:r w:rsidR="005F6F21">
        <w:rPr>
          <w:rFonts w:ascii="Book Antiqua" w:hAnsi="Book Antiqua"/>
          <w:sz w:val="19"/>
          <w:szCs w:val="19"/>
        </w:rPr>
        <w:t xml:space="preserve"> </w:t>
      </w:r>
      <w:r w:rsidR="005F6F21" w:rsidRPr="005F6F21">
        <w:rPr>
          <w:rFonts w:ascii="Book Antiqua" w:hAnsi="Book Antiqua"/>
          <w:b/>
          <w:bCs/>
          <w:color w:val="FF0000"/>
          <w:sz w:val="18"/>
          <w:szCs w:val="18"/>
          <w:u w:val="single"/>
        </w:rPr>
        <w:t>(PCSE-2018)</w:t>
      </w:r>
    </w:p>
    <w:p w14:paraId="1C2A814F" w14:textId="0939345D" w:rsidR="007A20F7" w:rsidRPr="007A20F7" w:rsidRDefault="007A20F7" w:rsidP="007A20F7">
      <w:pPr>
        <w:jc w:val="both"/>
        <w:rPr>
          <w:rFonts w:ascii="Book Antiqua" w:hAnsi="Book Antiqua"/>
          <w:sz w:val="19"/>
          <w:szCs w:val="19"/>
        </w:rPr>
      </w:pPr>
      <w:r w:rsidRPr="00D827F4">
        <w:rPr>
          <w:rFonts w:ascii="Book Antiqua" w:hAnsi="Book Antiqua"/>
          <w:b/>
          <w:bCs/>
          <w:sz w:val="19"/>
          <w:szCs w:val="19"/>
          <w:highlight w:val="magenta"/>
        </w:rPr>
        <w:t>§ 1º</w:t>
      </w:r>
      <w:r w:rsidRPr="007A20F7">
        <w:rPr>
          <w:rFonts w:ascii="Book Antiqua" w:hAnsi="Book Antiqua"/>
          <w:sz w:val="19"/>
          <w:szCs w:val="19"/>
        </w:rPr>
        <w:t xml:space="preserve"> </w:t>
      </w:r>
      <w:r w:rsidRPr="00D827F4">
        <w:rPr>
          <w:rFonts w:ascii="Book Antiqua" w:hAnsi="Book Antiqua"/>
          <w:b/>
          <w:bCs/>
          <w:sz w:val="19"/>
          <w:szCs w:val="19"/>
        </w:rPr>
        <w:t>É vedada a intervenção ou supressão de vegetação em APP de nascentes, veredas, manguezais e dunas originalmente providas de vegetação, previstas nos incisos II, IV, X e XI do art. 3º da Resolução CONAMA nº 303, de 20 de março de 2002, salvo nos casos de utilidade pública dispostos no inciso I do art. 2º desta Resolução, e para acesso de pessoas e animais para obtenção de água, nos termos do § 7º, do art. 4º, da Lei nº 4.771, de 15 de setembro de 1965</w:t>
      </w:r>
      <w:r w:rsidRPr="007A20F7">
        <w:rPr>
          <w:rFonts w:ascii="Book Antiqua" w:hAnsi="Book Antiqua"/>
          <w:sz w:val="19"/>
          <w:szCs w:val="19"/>
        </w:rPr>
        <w:t>.</w:t>
      </w:r>
      <w:r w:rsidR="00D827F4">
        <w:rPr>
          <w:rFonts w:ascii="Book Antiqua" w:hAnsi="Book Antiqua"/>
          <w:sz w:val="19"/>
          <w:szCs w:val="19"/>
        </w:rPr>
        <w:t xml:space="preserve"> </w:t>
      </w:r>
      <w:r w:rsidR="00D827F4" w:rsidRPr="005F6F21">
        <w:rPr>
          <w:rFonts w:ascii="Book Antiqua" w:hAnsi="Book Antiqua"/>
          <w:b/>
          <w:bCs/>
          <w:color w:val="FF0000"/>
          <w:sz w:val="18"/>
          <w:szCs w:val="18"/>
          <w:u w:val="single"/>
        </w:rPr>
        <w:t>(PCSE-2018)</w:t>
      </w:r>
    </w:p>
    <w:p w14:paraId="555AF7E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 2º O disposto na alínea c do inciso I, do art. 2º desta Resolução não se aplica para a intervenção ou supressão de vegetação nas </w:t>
      </w:r>
      <w:proofErr w:type="spellStart"/>
      <w:r w:rsidRPr="007A20F7">
        <w:rPr>
          <w:rFonts w:ascii="Book Antiqua" w:hAnsi="Book Antiqua"/>
          <w:sz w:val="19"/>
          <w:szCs w:val="19"/>
        </w:rPr>
        <w:t>APPs</w:t>
      </w:r>
      <w:proofErr w:type="spellEnd"/>
      <w:r w:rsidRPr="007A20F7">
        <w:rPr>
          <w:rFonts w:ascii="Book Antiqua" w:hAnsi="Book Antiqua"/>
          <w:sz w:val="19"/>
          <w:szCs w:val="19"/>
        </w:rPr>
        <w:t xml:space="preserve"> de veredas, restingas, manguezais e dunas previstas nos incisos IV, X e XI do art. 3º da Resolução CONAMA nº 303, de 20 de março de 2002.</w:t>
      </w:r>
    </w:p>
    <w:p w14:paraId="1073EC5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3º A autorização para intervenção ou supressão de vegetação em APP de nascente, definida no inciso II do art. 3º da Resolução CONAMA nº 303, de 2002, fica condicionada à outorga do direito de uso de recurso hídrico, conforme o disposto no art. 12 da Lei nº 9.433, de 8 de janeiro de 1997.</w:t>
      </w:r>
    </w:p>
    <w:p w14:paraId="67AFCB6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4º A autorização de intervenção ou supressão de vegetação em APP depende da comprovação pelo empreendedor do cumprimento integral das obrigações vencidas nestas áreas.</w:t>
      </w:r>
    </w:p>
    <w:p w14:paraId="6722BD4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2º O órgão ambiental competente somente poderá autorizar a intervenção ou supressão de vegetação em APP, devidamente caracterizada e motivada mediante procedimento administrativo autônomo e prévio, e atendidos os requisitos previstos nesta resolução e noutras normas federais, estaduais e municipais aplicáveis, bem como no Plano Diretor, Zoneamento Ecológico-Econômico e Plano de Manejo das Unidades de Conservação, se existentes, nos seguintes casos:</w:t>
      </w:r>
    </w:p>
    <w:p w14:paraId="6C50990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utilidade pública:</w:t>
      </w:r>
    </w:p>
    <w:p w14:paraId="6019E38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 as atividades de segurança nacional e proteção sanitária;</w:t>
      </w:r>
    </w:p>
    <w:p w14:paraId="6589D51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b) as obras essenciais de </w:t>
      </w:r>
      <w:proofErr w:type="spellStart"/>
      <w:r w:rsidRPr="007A20F7">
        <w:rPr>
          <w:rFonts w:ascii="Book Antiqua" w:hAnsi="Book Antiqua"/>
          <w:sz w:val="19"/>
          <w:szCs w:val="19"/>
        </w:rPr>
        <w:t>infra-estrutura</w:t>
      </w:r>
      <w:proofErr w:type="spellEnd"/>
      <w:r w:rsidRPr="007A20F7">
        <w:rPr>
          <w:rFonts w:ascii="Book Antiqua" w:hAnsi="Book Antiqua"/>
          <w:sz w:val="19"/>
          <w:szCs w:val="19"/>
        </w:rPr>
        <w:t xml:space="preserve"> destinadas aos serviços públicos de transporte, saneamento e energia;</w:t>
      </w:r>
    </w:p>
    <w:p w14:paraId="5322E0A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 as atividades de pesquisa e extração de substâncias minerais, outorgadas pela autoridade competente, exceto areia, argila, saibro e cascalho;</w:t>
      </w:r>
    </w:p>
    <w:p w14:paraId="29F0673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 a implantação de área verde pública em área urbana;</w:t>
      </w:r>
    </w:p>
    <w:p w14:paraId="40E3F79C"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e) pesquisa arqueológica;</w:t>
      </w:r>
    </w:p>
    <w:p w14:paraId="635F9BB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f) obras públicas para implantação de instalações necessárias à captação e condução de água e de efluentes tratados; e</w:t>
      </w:r>
    </w:p>
    <w:p w14:paraId="0EB2E5B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g) implantação de instalações necessárias à captação e condução de água e de efluentes tratados para projetos privados de </w:t>
      </w:r>
      <w:proofErr w:type="spellStart"/>
      <w:r w:rsidRPr="007A20F7">
        <w:rPr>
          <w:rFonts w:ascii="Book Antiqua" w:hAnsi="Book Antiqua"/>
          <w:sz w:val="19"/>
          <w:szCs w:val="19"/>
        </w:rPr>
        <w:t>aqüicultura</w:t>
      </w:r>
      <w:proofErr w:type="spellEnd"/>
      <w:r w:rsidRPr="007A20F7">
        <w:rPr>
          <w:rFonts w:ascii="Book Antiqua" w:hAnsi="Book Antiqua"/>
          <w:sz w:val="19"/>
          <w:szCs w:val="19"/>
        </w:rPr>
        <w:t>, obedecidos os critérios e requisitos previstos nos §§ 1º e 2º do art. 11, desta Resolução;</w:t>
      </w:r>
    </w:p>
    <w:p w14:paraId="3EC11B8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interesse social:</w:t>
      </w:r>
    </w:p>
    <w:p w14:paraId="3AE023E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 as atividades imprescindíveis à proteção da integridade da vegetação nativa, tais como prevenção, combate e controle do fogo, controle da erosão, erradicação de invasoras e proteção de plantios com espécies nativas, de acordo com o estabelecido pelo órgão ambiental competente;</w:t>
      </w:r>
    </w:p>
    <w:p w14:paraId="7D542AF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b) o manejo agroflorestal, ambientalmente sustentável, praticado na pequena propriedade ou posse rural familiar, que não descaracterize a cobertura vegetal nativa, ou impeça sua recuperação, e não prejudique a função ecológica da área;</w:t>
      </w:r>
    </w:p>
    <w:p w14:paraId="537E397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 a regularização fundiária sustentável de área urbana;</w:t>
      </w:r>
    </w:p>
    <w:p w14:paraId="69817A9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 as atividades de pesquisa e extração de areia, argila, saibro e cascalho, outorgadas pela autoridade competente;</w:t>
      </w:r>
    </w:p>
    <w:p w14:paraId="120EC65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lastRenderedPageBreak/>
        <w:t>III - intervenção ou supressão de vegetação eventual e de baixo impacto ambiental, observados os parâmetros desta Resolução.</w:t>
      </w:r>
    </w:p>
    <w:p w14:paraId="7702129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3º A intervenção ou supressão de vegetação em APP somente poderá ser autorizada quando o requerente, entre outras exigências, comprovar:</w:t>
      </w:r>
    </w:p>
    <w:p w14:paraId="0BA748F7"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a inexistência de alternativa técnica e locacional às obras, planos, atividades ou projetos propostos;</w:t>
      </w:r>
    </w:p>
    <w:p w14:paraId="3AE4F067"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atendimento às condições e padrões aplicáveis aos corpos de água;</w:t>
      </w:r>
    </w:p>
    <w:p w14:paraId="785A9F3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III - averbação da Área de Reserva Legal; e</w:t>
      </w:r>
    </w:p>
    <w:p w14:paraId="1571399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IV - a inexistência de risco de agravamento de processos como enchentes, erosão ou movimentos acidentais de massa rochosa.</w:t>
      </w:r>
    </w:p>
    <w:p w14:paraId="369EDB14" w14:textId="19FB78DD" w:rsidR="007A20F7" w:rsidRPr="008C6F12" w:rsidRDefault="007A20F7" w:rsidP="007A20F7">
      <w:pPr>
        <w:jc w:val="both"/>
        <w:rPr>
          <w:rFonts w:ascii="Book Antiqua" w:hAnsi="Book Antiqua"/>
          <w:b/>
          <w:bCs/>
          <w:sz w:val="19"/>
          <w:szCs w:val="19"/>
        </w:rPr>
      </w:pPr>
      <w:r w:rsidRPr="008C6F12">
        <w:rPr>
          <w:rFonts w:ascii="Book Antiqua" w:hAnsi="Book Antiqua"/>
          <w:b/>
          <w:bCs/>
          <w:sz w:val="19"/>
          <w:szCs w:val="19"/>
          <w:highlight w:val="magenta"/>
        </w:rPr>
        <w:t>Art. 4º</w:t>
      </w:r>
      <w:r w:rsidRPr="007A20F7">
        <w:rPr>
          <w:rFonts w:ascii="Book Antiqua" w:hAnsi="Book Antiqua"/>
          <w:sz w:val="19"/>
          <w:szCs w:val="19"/>
        </w:rPr>
        <w:t xml:space="preserve"> </w:t>
      </w:r>
      <w:r w:rsidRPr="008C6F12">
        <w:rPr>
          <w:rFonts w:ascii="Book Antiqua" w:hAnsi="Book Antiqua"/>
          <w:b/>
          <w:bCs/>
          <w:sz w:val="19"/>
          <w:szCs w:val="19"/>
        </w:rPr>
        <w:t>Toda obra, plano, atividade ou projeto de utilidade pública, interesse social ou de baixo impacto ambiental, deverá obter do órgão ambiental competente a autorização para intervenção ou supressão de vegetação em APP, em processo administrativo próprio, nos termos previstos nesta resolução, no âmbito do processo de licenciamento ou autorização, motivado tecnicamente, observadas as normas ambientais aplicáveis.</w:t>
      </w:r>
      <w:r w:rsidR="008C6F12" w:rsidRPr="008C6F12">
        <w:rPr>
          <w:rFonts w:ascii="Book Antiqua" w:hAnsi="Book Antiqua"/>
          <w:b/>
          <w:bCs/>
          <w:sz w:val="19"/>
          <w:szCs w:val="19"/>
        </w:rPr>
        <w:t xml:space="preserve"> </w:t>
      </w:r>
      <w:r w:rsidR="008C6F12" w:rsidRPr="008C6F12">
        <w:rPr>
          <w:rFonts w:ascii="Book Antiqua" w:hAnsi="Book Antiqua"/>
          <w:b/>
          <w:bCs/>
          <w:color w:val="FF0000"/>
          <w:sz w:val="18"/>
          <w:szCs w:val="18"/>
          <w:u w:val="single"/>
        </w:rPr>
        <w:t>(TJMA-2022)</w:t>
      </w:r>
    </w:p>
    <w:p w14:paraId="55A33152" w14:textId="7A12B236" w:rsidR="007A20F7" w:rsidRPr="007A20F7" w:rsidRDefault="007A20F7" w:rsidP="007A20F7">
      <w:pPr>
        <w:jc w:val="both"/>
        <w:rPr>
          <w:rFonts w:ascii="Book Antiqua" w:hAnsi="Book Antiqua"/>
          <w:sz w:val="19"/>
          <w:szCs w:val="19"/>
        </w:rPr>
      </w:pPr>
      <w:r w:rsidRPr="008C6F12">
        <w:rPr>
          <w:rFonts w:ascii="Book Antiqua" w:hAnsi="Book Antiqua"/>
          <w:b/>
          <w:bCs/>
          <w:sz w:val="19"/>
          <w:szCs w:val="19"/>
          <w:highlight w:val="magenta"/>
        </w:rPr>
        <w:t>§ 1º</w:t>
      </w:r>
      <w:r w:rsidRPr="008C6F12">
        <w:rPr>
          <w:rFonts w:ascii="Book Antiqua" w:hAnsi="Book Antiqua"/>
          <w:b/>
          <w:bCs/>
          <w:sz w:val="19"/>
          <w:szCs w:val="19"/>
        </w:rPr>
        <w:t xml:space="preserve"> A intervenção ou supressão de vegetação em APP de que trata o caput deste artigo dependerá de autorização do órgão ambiental estadual competente, com anuência prévia, quando couber, do órgão federal ou municipal de meio ambiente, ressalvado o disposto no § 2º deste artigo</w:t>
      </w:r>
      <w:r w:rsidRPr="007A20F7">
        <w:rPr>
          <w:rFonts w:ascii="Book Antiqua" w:hAnsi="Book Antiqua"/>
          <w:sz w:val="19"/>
          <w:szCs w:val="19"/>
        </w:rPr>
        <w:t>.</w:t>
      </w:r>
      <w:r w:rsidR="008C6F12">
        <w:rPr>
          <w:rFonts w:ascii="Book Antiqua" w:hAnsi="Book Antiqua"/>
          <w:sz w:val="19"/>
          <w:szCs w:val="19"/>
        </w:rPr>
        <w:t xml:space="preserve"> </w:t>
      </w:r>
      <w:r w:rsidR="008C6F12">
        <w:rPr>
          <w:rFonts w:ascii="Book Antiqua" w:hAnsi="Book Antiqua"/>
          <w:b/>
          <w:bCs/>
          <w:color w:val="FF0000"/>
          <w:sz w:val="18"/>
          <w:szCs w:val="18"/>
          <w:u w:val="single"/>
        </w:rPr>
        <w:t>(TJMA-2022)</w:t>
      </w:r>
    </w:p>
    <w:p w14:paraId="781A276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2º A intervenção ou supressão de vegetação em APP situada em área urbana dependerá de autorização do órgão ambiental municipal, desde que o município possua Conselho de Meio Ambiente, com caráter deliberativo, e Plano Diretor ou Lei de Diretrizes Urbanas, no caso de municípios com menos de vinte mil habitantes, mediante anuência prévia do órgão ambiental estadual competente, fundamentada em parecer técnico.</w:t>
      </w:r>
    </w:p>
    <w:p w14:paraId="48DD70A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3º Independem de prévia autorização do órgão ambiental competente:</w:t>
      </w:r>
    </w:p>
    <w:p w14:paraId="683CC9C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as atividades de segurança pública e defesa civil, de caráter emergencial; e</w:t>
      </w:r>
    </w:p>
    <w:p w14:paraId="052F66D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as atividades previstas na Lei Complementar nº 97, de 9 de junho de 1999, de preparo e emprego das Forças Armadas para o cumprimento de sua missão constitucional, desenvolvidas em área militar.</w:t>
      </w:r>
    </w:p>
    <w:p w14:paraId="57DA3EB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5º O órgão ambiental competente estabelecerá, previamente à emissão da autorização para a intervenção ou supressão de vegetação em APP, as medidas ecológicas, de caráter mitigador e compensatório, previstas no § 4º, do art. 4º, da Lei nº 4.771, de 1965, que deverão ser adotadas pelo requerente.</w:t>
      </w:r>
    </w:p>
    <w:p w14:paraId="57E493E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1º Para os empreendimentos e atividades sujeitos ao licenciamento ambiental, as medidas ecológicas, de caráter mitigador e compensatório, previstas neste artigo, serão definidas no âmbito do referido processo de licenciamento, sem prejuízo, quando for o caso, do cumprimento das disposições do art. 36, da Lei nº 9.985, de 18 de julho de 2000.</w:t>
      </w:r>
    </w:p>
    <w:p w14:paraId="5624855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2º As medidas de caráter compensatório de que trata este artigo consistem na efetiva recuperação ou recomposição de APP e deverão ocorrer na mesma sub-bacia hidrográfica, e prioritariamente:</w:t>
      </w:r>
    </w:p>
    <w:p w14:paraId="1350529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na área de influência do empreendimento, ou</w:t>
      </w:r>
    </w:p>
    <w:p w14:paraId="0B40FD5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nas cabeceiras dos rios.</w:t>
      </w:r>
    </w:p>
    <w:p w14:paraId="4CD6549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6º Independe de autorização do poder público o plantio de espécies nativas com a finalidade de recuperação de APP, respeitadas as obrigações anteriormente acordadas, se existentes, e as normas e requisitos técnicos aplicáveis.</w:t>
      </w:r>
    </w:p>
    <w:p w14:paraId="66774CB7" w14:textId="77777777" w:rsidR="007A20F7" w:rsidRDefault="007A20F7" w:rsidP="007A20F7">
      <w:pPr>
        <w:jc w:val="both"/>
        <w:rPr>
          <w:rFonts w:ascii="Book Antiqua" w:hAnsi="Book Antiqua"/>
          <w:sz w:val="19"/>
          <w:szCs w:val="19"/>
        </w:rPr>
      </w:pPr>
    </w:p>
    <w:p w14:paraId="7D43C157" w14:textId="6D40B547" w:rsidR="007A20F7" w:rsidRPr="007A20F7" w:rsidRDefault="007A20F7" w:rsidP="007A20F7">
      <w:pPr>
        <w:jc w:val="both"/>
        <w:rPr>
          <w:rFonts w:ascii="Book Antiqua" w:hAnsi="Book Antiqua"/>
          <w:sz w:val="19"/>
          <w:szCs w:val="19"/>
        </w:rPr>
      </w:pPr>
      <w:r w:rsidRPr="007A20F7">
        <w:rPr>
          <w:rFonts w:ascii="Book Antiqua" w:hAnsi="Book Antiqua"/>
          <w:sz w:val="19"/>
          <w:szCs w:val="19"/>
        </w:rPr>
        <w:t>Seção II</w:t>
      </w:r>
    </w:p>
    <w:p w14:paraId="2B5D33F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Das Atividades de Pesquisa e Extração de Substâncias Minerais</w:t>
      </w:r>
    </w:p>
    <w:p w14:paraId="31A08E3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lastRenderedPageBreak/>
        <w:t>Art. 7º A intervenção ou supressão de vegetação em APP para a extração de substâncias minerais, observado o disposto na Seção I desta Resolução, fica sujeita à apresentação de Estudo Prévio de Impacto Ambiental - EIA e respectivo Relatório de Impacto sobre o Meio Ambiente-RIMA no processo de licenciamento ambiental, bem como a outras exigências, entre as quais:</w:t>
      </w:r>
    </w:p>
    <w:p w14:paraId="58AB433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demonstração da titularidade de direito mineral outorgado pelo órgão competente do Ministério de Minas e Energia, por qualquer dos títulos previstos na legislação vigente;</w:t>
      </w:r>
    </w:p>
    <w:p w14:paraId="27BC9D6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justificação da necessidade da extração de substâncias minerais em APP e a inexistência de alternativas técnicas e locacionais da exploração da jazida;</w:t>
      </w:r>
    </w:p>
    <w:p w14:paraId="4F36303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III - avaliação do impacto ambiental agregado da exploração mineral e os efeitos cumulativos nas </w:t>
      </w:r>
      <w:proofErr w:type="spellStart"/>
      <w:r w:rsidRPr="007A20F7">
        <w:rPr>
          <w:rFonts w:ascii="Book Antiqua" w:hAnsi="Book Antiqua"/>
          <w:sz w:val="19"/>
          <w:szCs w:val="19"/>
        </w:rPr>
        <w:t>APPs</w:t>
      </w:r>
      <w:proofErr w:type="spellEnd"/>
      <w:r w:rsidRPr="007A20F7">
        <w:rPr>
          <w:rFonts w:ascii="Book Antiqua" w:hAnsi="Book Antiqua"/>
          <w:sz w:val="19"/>
          <w:szCs w:val="19"/>
        </w:rPr>
        <w:t>, da sub-bacia do conjunto de atividades de lavra mineral atuais e previsíveis, que estejam disponíveis nos órgãos competentes;</w:t>
      </w:r>
    </w:p>
    <w:p w14:paraId="0EA9EC2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IV - execução por profissionais legalmente habilitados para a extração mineral e controle de impactos sobre meio físico e biótico, mediante apresentação de Anotação de Responsabilidade Técnica - ART, de execução ou Anotação de Função Técnica - AFT, a qual deverá permanecer ativa até o encerramento da atividade minerária e da respectiva recuperação ambiental;</w:t>
      </w:r>
    </w:p>
    <w:p w14:paraId="1BEACA0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 - compatibilidade com as diretrizes do plano de recursos hídricos, quando houver;</w:t>
      </w:r>
    </w:p>
    <w:p w14:paraId="062BC37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VI - não localização em remanescente florestal de mata atlântica primária.</w:t>
      </w:r>
    </w:p>
    <w:p w14:paraId="3A53D97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1º No caso de intervenção ou supressão de vegetação em APP para a atividade de extração de substâncias minerais que não seja potencialmente causadora de significativo impacto ambiental, o órgão ambiental competente poderá, mediante decisão motivada, substituir a exigência de apresentação de EIA/RIMA pela apresentação de outros estudos ambientais previstos em legislação.</w:t>
      </w:r>
    </w:p>
    <w:p w14:paraId="172EFDC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2º A intervenção ou supressão de vegetação em APP para as atividades de pesquisa mineral, observado o disposto na Seção I desta Resolução, ficam sujeitos a EIA/RIMA no processo de licenciamento ambiental, caso sejam potencialmente causadoras de significativo impacto ambiental, bem como a outras exigências, entre as quais:</w:t>
      </w:r>
    </w:p>
    <w:p w14:paraId="06C552D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demonstração da titularidade de direito mineral outorgado pelo órgão competente do Ministério de Minas e Energia, por qualquer dos títulos previstos na legislação vigente;</w:t>
      </w:r>
    </w:p>
    <w:p w14:paraId="7A28E18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execução por profissionais legalmente habilitados para a pesquisa mineral e controle de impactos sobre meio físico e biótico, mediante apresentação de ART, de execução ou AFT, a qual deverá permanecer ativa até o encerramento da pesquisa mineral e da respectiva recuperação ambiental.</w:t>
      </w:r>
    </w:p>
    <w:p w14:paraId="359436A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3º Os estudos previstos neste artigo serão demandados no início do processo de licenciamento ambiental, independentemente de outros estudos técnicos exigíveis pelo órgão ambiental.</w:t>
      </w:r>
    </w:p>
    <w:p w14:paraId="0D1D988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4º A extração de rochas para uso direto na construção civil ficará condicionada ao disposto nos instrumentos de ordenamento territorial em escala definida pelo órgão ambiental competente.</w:t>
      </w:r>
    </w:p>
    <w:p w14:paraId="5A2C804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5º Caso inexistam os instrumentos previstos no § 4º, ou se naqueles existentes não constar a extração de rochas para o uso direto para a construção civil, a autorização para intervenção ou supressão de vegetação em APP de nascente, para esta atividade estará vedada a partir de 36 meses da publicação desta Resolução.</w:t>
      </w:r>
    </w:p>
    <w:p w14:paraId="76F38ED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 6º Os depósitos de estéril e rejeitos, os sistemas de tratamento de efluentes, de beneficiamento e de </w:t>
      </w:r>
      <w:proofErr w:type="spellStart"/>
      <w:r w:rsidRPr="007A20F7">
        <w:rPr>
          <w:rFonts w:ascii="Book Antiqua" w:hAnsi="Book Antiqua"/>
          <w:sz w:val="19"/>
          <w:szCs w:val="19"/>
        </w:rPr>
        <w:t>infra-estrutura</w:t>
      </w:r>
      <w:proofErr w:type="spellEnd"/>
      <w:r w:rsidRPr="007A20F7">
        <w:rPr>
          <w:rFonts w:ascii="Book Antiqua" w:hAnsi="Book Antiqua"/>
          <w:sz w:val="19"/>
          <w:szCs w:val="19"/>
        </w:rPr>
        <w:t xml:space="preserve"> das atividades minerárias, somente poderão intervir em APP em casos excepcionais, reconhecidos em processo de licenciamento pelo órgão ambiental competente, atendido o disposto no inciso I do art. 3º desta resolução.</w:t>
      </w:r>
    </w:p>
    <w:p w14:paraId="7D0592E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7º No caso de atividades de pesquisa e extração de substâncias minerais, a comprovação da averbação da reserva legal, de que trata o art. 3º, somente será exigida nos casos em que:</w:t>
      </w:r>
    </w:p>
    <w:p w14:paraId="2FF0035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o empreendedor seja o proprietário ou possuidor da área;</w:t>
      </w:r>
    </w:p>
    <w:p w14:paraId="483D924C"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lastRenderedPageBreak/>
        <w:t>II - haja relação jurídica contratual onerosa entre o empreendedor e o proprietário ou possuidor, em decorrência do empreendimento minerário.</w:t>
      </w:r>
    </w:p>
    <w:p w14:paraId="270D791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8º Além das medidas ecológicas, de caráter mitigador e compensatório, previstas no art. 5º, desta Resolução, os titulares das atividades de pesquisa e extração de substâncias minerais em APP ficam igualmente obrigados a recuperar o ambiente degradado, nos termos do § 2º do art. 225 da Constituição e da legislação vigente, sendo considerado obrigação de relevante interesse ambiental o cumprimento do Plano de Recuperação de Área Degradada - PRAD.</w:t>
      </w:r>
    </w:p>
    <w:p w14:paraId="3348F763" w14:textId="77777777" w:rsidR="007A20F7" w:rsidRDefault="007A20F7" w:rsidP="007A20F7">
      <w:pPr>
        <w:jc w:val="both"/>
        <w:rPr>
          <w:rFonts w:ascii="Book Antiqua" w:hAnsi="Book Antiqua"/>
          <w:sz w:val="19"/>
          <w:szCs w:val="19"/>
        </w:rPr>
      </w:pPr>
    </w:p>
    <w:p w14:paraId="46F8C7B4" w14:textId="09C7064A" w:rsidR="007A20F7" w:rsidRPr="007A20F7" w:rsidRDefault="007A20F7" w:rsidP="007A20F7">
      <w:pPr>
        <w:jc w:val="both"/>
        <w:rPr>
          <w:rFonts w:ascii="Book Antiqua" w:hAnsi="Book Antiqua"/>
          <w:sz w:val="19"/>
          <w:szCs w:val="19"/>
        </w:rPr>
      </w:pPr>
      <w:r w:rsidRPr="007A20F7">
        <w:rPr>
          <w:rFonts w:ascii="Book Antiqua" w:hAnsi="Book Antiqua"/>
          <w:sz w:val="19"/>
          <w:szCs w:val="19"/>
        </w:rPr>
        <w:t>Seção III</w:t>
      </w:r>
    </w:p>
    <w:p w14:paraId="51121DA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Da implantação de Área Verde de Domínio Público em Área Urbana</w:t>
      </w:r>
    </w:p>
    <w:p w14:paraId="3F07902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Art. 8º A intervenção ou supressão de vegetação em APP para a implantação de área verde de domínio público em área urbana, nos termos do parágrafo único do </w:t>
      </w:r>
      <w:proofErr w:type="spellStart"/>
      <w:r w:rsidRPr="007A20F7">
        <w:rPr>
          <w:rFonts w:ascii="Book Antiqua" w:hAnsi="Book Antiqua"/>
          <w:sz w:val="19"/>
          <w:szCs w:val="19"/>
        </w:rPr>
        <w:t>art</w:t>
      </w:r>
      <w:proofErr w:type="spellEnd"/>
      <w:r w:rsidRPr="007A20F7">
        <w:rPr>
          <w:rFonts w:ascii="Book Antiqua" w:hAnsi="Book Antiqua"/>
          <w:sz w:val="19"/>
          <w:szCs w:val="19"/>
        </w:rPr>
        <w:t xml:space="preserve"> 2º da Lei nº 4.771, de 1965, poderá ser autorizada pelo órgão ambiental competente, observado o disposto na Seção I desta Resolução, e uma vez atendido o disposto no Plano Diretor, se houver, além dos seguintes requisitos e condições:</w:t>
      </w:r>
    </w:p>
    <w:p w14:paraId="2764692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localização unicamente em APP previstas nos incisos I, III alínea a, V, VI e IX alínea a, do art. 3º da Resolução CONAMA nº 303, de 2002, e art. 3º da Resolução CONAMA nº 302, de 2002;</w:t>
      </w:r>
    </w:p>
    <w:p w14:paraId="7D3D2E5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aprovação pelo órgão ambiental competente de um projeto técnico que priorize a restauração e/ou manutenção das características do ecossistema local, e que contemple medidas necessárias para:</w:t>
      </w:r>
    </w:p>
    <w:p w14:paraId="4FC375E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 recuperação das áreas degradadas da APP inseridas na área verde de domínio público;</w:t>
      </w:r>
    </w:p>
    <w:p w14:paraId="711B259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b) recomposição da vegetação com espécies nativas;</w:t>
      </w:r>
    </w:p>
    <w:p w14:paraId="142E2FD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 mínima impermeabilização da superfície;</w:t>
      </w:r>
    </w:p>
    <w:p w14:paraId="48D6898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 contenção de encostas e controle da erosão;</w:t>
      </w:r>
    </w:p>
    <w:p w14:paraId="07F26A2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e) adequado escoamento das águas pluviais;</w:t>
      </w:r>
    </w:p>
    <w:p w14:paraId="221ABA7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f) proteção de área da recarga de </w:t>
      </w:r>
      <w:proofErr w:type="spellStart"/>
      <w:r w:rsidRPr="007A20F7">
        <w:rPr>
          <w:rFonts w:ascii="Book Antiqua" w:hAnsi="Book Antiqua"/>
          <w:sz w:val="19"/>
          <w:szCs w:val="19"/>
        </w:rPr>
        <w:t>aqüíferos</w:t>
      </w:r>
      <w:proofErr w:type="spellEnd"/>
      <w:r w:rsidRPr="007A20F7">
        <w:rPr>
          <w:rFonts w:ascii="Book Antiqua" w:hAnsi="Book Antiqua"/>
          <w:sz w:val="19"/>
          <w:szCs w:val="19"/>
        </w:rPr>
        <w:t>; e</w:t>
      </w:r>
    </w:p>
    <w:p w14:paraId="686F93C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g) proteção das margens dos corpos de água.</w:t>
      </w:r>
    </w:p>
    <w:p w14:paraId="098A3BB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III - percentuais de impermeabilização e alteração para ajardinamento limitados a respectivamente 5% e 15% da área total da APP inserida na área verde de domínio público.</w:t>
      </w:r>
    </w:p>
    <w:p w14:paraId="551B2F7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1º Considera-se área verde de domínio público, para efeito desta Resolução, o espaço de domínio público que desempenhe função ecológica, paisagística e recreativa, propiciando a melhoria da qualidade estética, funcional e ambiental da cidade, sendo dotado de vegetação e espaços livres de impermeabilização.</w:t>
      </w:r>
    </w:p>
    <w:p w14:paraId="041575A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2º O projeto técnico que deverá ser objeto de aprovação pela autoridade ambiental competente, poderá incluir a implantação de equipamentos públicos, tais como:</w:t>
      </w:r>
    </w:p>
    <w:p w14:paraId="6047EC1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 trilhas ecoturísticas;</w:t>
      </w:r>
    </w:p>
    <w:p w14:paraId="083CD4E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b) ciclovias;</w:t>
      </w:r>
    </w:p>
    <w:p w14:paraId="63E4F5A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 pequenos parques de lazer, excluídos parques temáticos ou similares;</w:t>
      </w:r>
    </w:p>
    <w:p w14:paraId="01C13D8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 acesso e travessia aos corpos de água;</w:t>
      </w:r>
    </w:p>
    <w:p w14:paraId="423084F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e) mirantes;</w:t>
      </w:r>
    </w:p>
    <w:p w14:paraId="4D9BF57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f) equipamentos de segurança, lazer, cultura e esporte;</w:t>
      </w:r>
    </w:p>
    <w:p w14:paraId="4FD6FFC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g) bancos, sanitários, chuveiros e bebedouros públicos; e</w:t>
      </w:r>
    </w:p>
    <w:p w14:paraId="6F139CC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h) rampas de lançamento de barcos e pequenos ancoradouros.</w:t>
      </w:r>
    </w:p>
    <w:p w14:paraId="011CCF0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lastRenderedPageBreak/>
        <w:t xml:space="preserve">§ 3º O disposto no caput deste artigo não se aplica às áreas com vegetação nativa primária, ou secundária em </w:t>
      </w:r>
      <w:proofErr w:type="spellStart"/>
      <w:r w:rsidRPr="007A20F7">
        <w:rPr>
          <w:rFonts w:ascii="Book Antiqua" w:hAnsi="Book Antiqua"/>
          <w:sz w:val="19"/>
          <w:szCs w:val="19"/>
        </w:rPr>
        <w:t>estagio</w:t>
      </w:r>
      <w:proofErr w:type="spellEnd"/>
      <w:r w:rsidRPr="007A20F7">
        <w:rPr>
          <w:rFonts w:ascii="Book Antiqua" w:hAnsi="Book Antiqua"/>
          <w:sz w:val="19"/>
          <w:szCs w:val="19"/>
        </w:rPr>
        <w:t xml:space="preserve"> médio e avançado de regeneração.</w:t>
      </w:r>
    </w:p>
    <w:p w14:paraId="752D61C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4º É garantido o acesso livre e gratuito da população à área verde de domínio público.</w:t>
      </w:r>
    </w:p>
    <w:p w14:paraId="690E25A0" w14:textId="77777777" w:rsidR="007A20F7" w:rsidRPr="007A20F7" w:rsidRDefault="007A20F7" w:rsidP="007A20F7">
      <w:pPr>
        <w:jc w:val="both"/>
        <w:rPr>
          <w:rFonts w:ascii="Book Antiqua" w:hAnsi="Book Antiqua"/>
          <w:sz w:val="19"/>
          <w:szCs w:val="19"/>
        </w:rPr>
      </w:pPr>
    </w:p>
    <w:p w14:paraId="5EC66CD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Seção IV</w:t>
      </w:r>
    </w:p>
    <w:p w14:paraId="7D49C499"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Da Regularização Fundiária Sustentável de Área Urbana</w:t>
      </w:r>
    </w:p>
    <w:p w14:paraId="12081BA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9º A intervenção ou supressão de vegetação em APP para a regularização fundiária sustentável de área urbana poderá ser autorizada pelo órgão ambiental competente, observado o disposto na Seção I desta Resolução, além dos seguintes requisitos e condições:</w:t>
      </w:r>
    </w:p>
    <w:p w14:paraId="4E946D87"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ocupações de baixa renda predominantemente residenciais;</w:t>
      </w:r>
    </w:p>
    <w:p w14:paraId="77F716B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ocupações localizadas em área urbana declarada como Zona Especial de Interesse Social - ZEIS no Plano Diretor ou outra legislação municipal;</w:t>
      </w:r>
    </w:p>
    <w:p w14:paraId="1F3F5B3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III - ocupação inserida em área urbana que atenda aos seguintes critérios:</w:t>
      </w:r>
    </w:p>
    <w:p w14:paraId="231F173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a) possuir no mínimo três dos seguintes itens de </w:t>
      </w:r>
      <w:proofErr w:type="spellStart"/>
      <w:r w:rsidRPr="007A20F7">
        <w:rPr>
          <w:rFonts w:ascii="Book Antiqua" w:hAnsi="Book Antiqua"/>
          <w:sz w:val="19"/>
          <w:szCs w:val="19"/>
        </w:rPr>
        <w:t>infra-estrutura</w:t>
      </w:r>
      <w:proofErr w:type="spellEnd"/>
      <w:r w:rsidRPr="007A20F7">
        <w:rPr>
          <w:rFonts w:ascii="Book Antiqua" w:hAnsi="Book Antiqua"/>
          <w:sz w:val="19"/>
          <w:szCs w:val="19"/>
        </w:rPr>
        <w:t xml:space="preserve"> urbana implantada: malha viária, captação de águas pluviais, esgotamento sanitário, coleta de resíduos sólidos, rede de abastecimento de água, rede de distribuição de energia;</w:t>
      </w:r>
    </w:p>
    <w:p w14:paraId="546D129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b) apresentar densidade demográfica superior a </w:t>
      </w:r>
      <w:proofErr w:type="spellStart"/>
      <w:r w:rsidRPr="007A20F7">
        <w:rPr>
          <w:rFonts w:ascii="Book Antiqua" w:hAnsi="Book Antiqua"/>
          <w:sz w:val="19"/>
          <w:szCs w:val="19"/>
        </w:rPr>
        <w:t>cinqüenta</w:t>
      </w:r>
      <w:proofErr w:type="spellEnd"/>
      <w:r w:rsidRPr="007A20F7">
        <w:rPr>
          <w:rFonts w:ascii="Book Antiqua" w:hAnsi="Book Antiqua"/>
          <w:sz w:val="19"/>
          <w:szCs w:val="19"/>
        </w:rPr>
        <w:t xml:space="preserve"> habitantes por hectare;</w:t>
      </w:r>
    </w:p>
    <w:p w14:paraId="2396C8B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IV - localização exclusivamente nas seguintes faixas de APP:</w:t>
      </w:r>
    </w:p>
    <w:p w14:paraId="645382C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 nas margens de cursos de água, e entorno de lagos, lagoas e reservatórios artificiais, conforme incisos I e III, alínea a, do art. 3º da Resolução CONAMA nº 303, de 2002, e no inciso I do art. 3º da Resolução CONAMA nº 302, de 2002, devendo ser respeitada faixas mínimas de 15 metros para cursos de água de até 50 metros de largura e faixas mínimas de 50 metros para os demais;</w:t>
      </w:r>
    </w:p>
    <w:p w14:paraId="11EB819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b) em topo de morro e montanhas conforme inciso V, do art. 3º, da Resolução CONAMA nº 303, de 2002, desde que respeitadas as áreas de recarga de </w:t>
      </w:r>
      <w:proofErr w:type="spellStart"/>
      <w:r w:rsidRPr="007A20F7">
        <w:rPr>
          <w:rFonts w:ascii="Book Antiqua" w:hAnsi="Book Antiqua"/>
          <w:sz w:val="19"/>
          <w:szCs w:val="19"/>
        </w:rPr>
        <w:t>aqüíferos</w:t>
      </w:r>
      <w:proofErr w:type="spellEnd"/>
      <w:r w:rsidRPr="007A20F7">
        <w:rPr>
          <w:rFonts w:ascii="Book Antiqua" w:hAnsi="Book Antiqua"/>
          <w:sz w:val="19"/>
          <w:szCs w:val="19"/>
        </w:rPr>
        <w:t>, devidamente identificadas como tal por ato do poder público;</w:t>
      </w:r>
    </w:p>
    <w:p w14:paraId="5951DCE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c) em restingas, conforme alínea a do IX, do art. 3º da Resolução CONAMA nº 303, de 2002, respeitada uma faixa de 150 metros a partir da linha de preamar máxima;</w:t>
      </w:r>
    </w:p>
    <w:p w14:paraId="15E14F7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 - ocupações consolidadas, até 10 de julho de 2001, conforme definido na Lei nº 10.257, de 10 de julho de 2001 e Medida Provisória nº 2.220, de 4 de setembro de 2001;</w:t>
      </w:r>
    </w:p>
    <w:p w14:paraId="241FB24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VI - apresentação pelo poder público municipal de Plano de Regularização Fundiária Sustentável que contemple, entre outros:</w:t>
      </w:r>
    </w:p>
    <w:p w14:paraId="601AB90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 levantamento da sub-bacia em que estiver inserida a APP, identificando passivos e fragilidades ambientais, restrições e potencialidades, unidades de conservação, áreas de proteção de mananciais, sejam águas superficiais ou subterrâneas;</w:t>
      </w:r>
    </w:p>
    <w:p w14:paraId="25EA87E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b) caracterização físico-ambiental, social, cultural, econômica e avaliação dos recursos e riscos ambientais, bem como da ocupação consolidada existente na área;</w:t>
      </w:r>
    </w:p>
    <w:p w14:paraId="3F2E345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c) especificação dos sistemas de </w:t>
      </w:r>
      <w:proofErr w:type="spellStart"/>
      <w:r w:rsidRPr="007A20F7">
        <w:rPr>
          <w:rFonts w:ascii="Book Antiqua" w:hAnsi="Book Antiqua"/>
          <w:sz w:val="19"/>
          <w:szCs w:val="19"/>
        </w:rPr>
        <w:t>infra-estrutura</w:t>
      </w:r>
      <w:proofErr w:type="spellEnd"/>
      <w:r w:rsidRPr="007A20F7">
        <w:rPr>
          <w:rFonts w:ascii="Book Antiqua" w:hAnsi="Book Antiqua"/>
          <w:sz w:val="19"/>
          <w:szCs w:val="19"/>
        </w:rPr>
        <w:t xml:space="preserve"> urbana, saneamento básico, coleta e destinação de resíduos sólidos, outros serviços e equipamentos públicos, áreas verdes com espaços livres e vegetados com espécies nativas, que favoreçam a infiltração de água de chuva e contribuam para a recarga dos </w:t>
      </w:r>
      <w:proofErr w:type="spellStart"/>
      <w:r w:rsidRPr="007A20F7">
        <w:rPr>
          <w:rFonts w:ascii="Book Antiqua" w:hAnsi="Book Antiqua"/>
          <w:sz w:val="19"/>
          <w:szCs w:val="19"/>
        </w:rPr>
        <w:t>aqüíferos</w:t>
      </w:r>
      <w:proofErr w:type="spellEnd"/>
      <w:r w:rsidRPr="007A20F7">
        <w:rPr>
          <w:rFonts w:ascii="Book Antiqua" w:hAnsi="Book Antiqua"/>
          <w:sz w:val="19"/>
          <w:szCs w:val="19"/>
        </w:rPr>
        <w:t>;</w:t>
      </w:r>
    </w:p>
    <w:p w14:paraId="3C4FC7F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 indicação das faixas ou áreas que, em função dos condicionantes físicos ambientais, devam resguardar as características típicas da APP, respeitadas as faixas mínimas definidas nas alíneas a e c do inciso IV deste artigo;</w:t>
      </w:r>
    </w:p>
    <w:p w14:paraId="42EC017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lastRenderedPageBreak/>
        <w:t>e) identificação das áreas consideradas de risco de inundações e de movimentos de massa rochosa, tais como, deslizamento, queda e rolamento de blocos, corrida de lama e outras definidas como de risco;</w:t>
      </w:r>
    </w:p>
    <w:p w14:paraId="75E60A4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f) medidas necessárias para a preservação, a conservação e a recuperação da APP não passível de regularização nos termos desta Resolução;</w:t>
      </w:r>
    </w:p>
    <w:p w14:paraId="5FE77905"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g) comprovação da melhoria das condições de sustentabilidade urbano-ambiental e de habitabilidade dos moradores;</w:t>
      </w:r>
    </w:p>
    <w:p w14:paraId="6BAEB6E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h) garantia de acesso livre e gratuito pela população às praias e aos corpos de água; e</w:t>
      </w:r>
    </w:p>
    <w:p w14:paraId="588BF16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realização de audiência pública.</w:t>
      </w:r>
    </w:p>
    <w:p w14:paraId="7C1AF52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1º O órgão ambiental competente, em decisão motivada, excepcionalmente poderá reduzir as restrições dispostas na alínea a, do inciso IV, deste artigo em função das características da ocupação, de acordo com normas definidos pelo conselho ambiental competente, estabelecendo critérios específicos, observadas as necessidades de melhorias ambientais para o Plano de Regularização Fundiária Sustentável.</w:t>
      </w:r>
    </w:p>
    <w:p w14:paraId="34193D7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2º É vedada a regularização de ocupações que, no Plano de Regularização Fundiária Sustentável, sejam identificadas como localizadas em áreas consideradas de risco de inundações, corrida de lama e de movimentos de massa rochosa e outras definidas como de risco.</w:t>
      </w:r>
    </w:p>
    <w:p w14:paraId="3B6928A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 3º As áreas objeto do Plano de </w:t>
      </w:r>
      <w:proofErr w:type="spellStart"/>
      <w:r w:rsidRPr="007A20F7">
        <w:rPr>
          <w:rFonts w:ascii="Book Antiqua" w:hAnsi="Book Antiqua"/>
          <w:sz w:val="19"/>
          <w:szCs w:val="19"/>
        </w:rPr>
        <w:t>Regularizacão</w:t>
      </w:r>
      <w:proofErr w:type="spellEnd"/>
      <w:r w:rsidRPr="007A20F7">
        <w:rPr>
          <w:rFonts w:ascii="Book Antiqua" w:hAnsi="Book Antiqua"/>
          <w:sz w:val="19"/>
          <w:szCs w:val="19"/>
        </w:rPr>
        <w:t xml:space="preserve"> Fundiária Sustentável devem estar previstas na legislação municipal que disciplina o uso e a ocupação do solo como Zonas Especiais de Interesse Social, tendo regime urbanístico específico para habitação popular, nos termos do disposto na Lei nº 10.257, de 2001.</w:t>
      </w:r>
    </w:p>
    <w:p w14:paraId="0F16C33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4º O Plano de Regularização Fundiária Sustentável deve garantir a implantação de instrumentos de gestão democrática e demais instrumentos para o controle e monitoramento ambiental.</w:t>
      </w:r>
    </w:p>
    <w:p w14:paraId="59B3D13F"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5º No Plano de Regularização Fundiária Sustentável deve ser assegurada a não ocupação de APP remanescentes.</w:t>
      </w:r>
    </w:p>
    <w:p w14:paraId="788C1887" w14:textId="77777777" w:rsidR="007A20F7" w:rsidRDefault="007A20F7" w:rsidP="007A20F7">
      <w:pPr>
        <w:jc w:val="both"/>
        <w:rPr>
          <w:rFonts w:ascii="Book Antiqua" w:hAnsi="Book Antiqua"/>
          <w:sz w:val="19"/>
          <w:szCs w:val="19"/>
        </w:rPr>
      </w:pPr>
    </w:p>
    <w:p w14:paraId="645FB6B3" w14:textId="114754C7" w:rsidR="007A20F7" w:rsidRPr="007A20F7" w:rsidRDefault="007A20F7" w:rsidP="007A20F7">
      <w:pPr>
        <w:jc w:val="both"/>
        <w:rPr>
          <w:rFonts w:ascii="Book Antiqua" w:hAnsi="Book Antiqua"/>
          <w:sz w:val="19"/>
          <w:szCs w:val="19"/>
        </w:rPr>
      </w:pPr>
      <w:r w:rsidRPr="007A20F7">
        <w:rPr>
          <w:rFonts w:ascii="Book Antiqua" w:hAnsi="Book Antiqua"/>
          <w:sz w:val="19"/>
          <w:szCs w:val="19"/>
        </w:rPr>
        <w:t>Seção V</w:t>
      </w:r>
    </w:p>
    <w:p w14:paraId="46F0DEA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Da Intervenção ou Supressão Eventual e de Baixo Impacto Ambiental de Vegetação em APP</w:t>
      </w:r>
    </w:p>
    <w:p w14:paraId="219A562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10. O órgão ambiental competente poderá autorizar em qualquer ecossistema a intervenção ou supressão de vegetação, eventual e de baixo impacto ambiental, em APP.</w:t>
      </w:r>
    </w:p>
    <w:p w14:paraId="5B0B5777" w14:textId="77777777" w:rsidR="007A20F7" w:rsidRPr="005F6F21" w:rsidRDefault="007A20F7" w:rsidP="007A20F7">
      <w:pPr>
        <w:jc w:val="both"/>
        <w:rPr>
          <w:rFonts w:ascii="Book Antiqua" w:hAnsi="Book Antiqua"/>
          <w:b/>
          <w:bCs/>
          <w:sz w:val="19"/>
          <w:szCs w:val="19"/>
        </w:rPr>
      </w:pPr>
      <w:r w:rsidRPr="005F6F21">
        <w:rPr>
          <w:rFonts w:ascii="Book Antiqua" w:hAnsi="Book Antiqua"/>
          <w:b/>
          <w:bCs/>
          <w:sz w:val="19"/>
          <w:szCs w:val="19"/>
          <w:highlight w:val="magenta"/>
        </w:rPr>
        <w:t>Art. 11</w:t>
      </w:r>
      <w:r w:rsidRPr="007A20F7">
        <w:rPr>
          <w:rFonts w:ascii="Book Antiqua" w:hAnsi="Book Antiqua"/>
          <w:sz w:val="19"/>
          <w:szCs w:val="19"/>
        </w:rPr>
        <w:t xml:space="preserve">. </w:t>
      </w:r>
      <w:r w:rsidRPr="005F6F21">
        <w:rPr>
          <w:rFonts w:ascii="Book Antiqua" w:hAnsi="Book Antiqua"/>
          <w:b/>
          <w:bCs/>
          <w:sz w:val="19"/>
          <w:szCs w:val="19"/>
        </w:rPr>
        <w:t>Considera-se intervenção ou supressão de vegetação, eventual e de baixo impacto ambiental, em APP:</w:t>
      </w:r>
    </w:p>
    <w:p w14:paraId="499BCBD4"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abertura de pequenas vias de acesso interno e suas pontes e pontilhões, quando necessárias à travessia de um curso de água, ou à retirada de produtos oriundos das atividades de manejo agroflorestal sustentável praticado na pequena propriedade ou posse rural familiar;</w:t>
      </w:r>
    </w:p>
    <w:p w14:paraId="5F75A75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implantação de instalações necessárias à captação e condução de água e efluentes tratados, desde que comprovada a outorga do direito de uso da água, quando couber;</w:t>
      </w:r>
    </w:p>
    <w:p w14:paraId="10DA109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III - implantação de corredor de acesso de pessoas e animais para obtenção de água;</w:t>
      </w:r>
    </w:p>
    <w:p w14:paraId="59829B3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IV - implantação de trilhas para desenvolvimento de ecoturismo;</w:t>
      </w:r>
    </w:p>
    <w:p w14:paraId="4FB5207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 - construção de rampa de lançamento de barcos e pequeno ancoradouro;</w:t>
      </w:r>
    </w:p>
    <w:p w14:paraId="191AA1A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xml:space="preserve">VI - construção de moradia de agricultores familiares, remanescentes de comunidades quilombolas e outras populações extrativistas e tradicionais em áreas rurais da região amazônica ou do Pantanal, onde o abastecimento de água se </w:t>
      </w:r>
      <w:proofErr w:type="spellStart"/>
      <w:r w:rsidRPr="007A20F7">
        <w:rPr>
          <w:rFonts w:ascii="Book Antiqua" w:hAnsi="Book Antiqua"/>
          <w:sz w:val="19"/>
          <w:szCs w:val="19"/>
        </w:rPr>
        <w:t>de</w:t>
      </w:r>
      <w:proofErr w:type="spellEnd"/>
      <w:r w:rsidRPr="007A20F7">
        <w:rPr>
          <w:rFonts w:ascii="Book Antiqua" w:hAnsi="Book Antiqua"/>
          <w:sz w:val="19"/>
          <w:szCs w:val="19"/>
        </w:rPr>
        <w:t xml:space="preserve"> pelo esforço próprio dos moradores;</w:t>
      </w:r>
    </w:p>
    <w:p w14:paraId="3AA2635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VII - construção e manutenção de cercas de divisa de propriedades;</w:t>
      </w:r>
    </w:p>
    <w:p w14:paraId="3797486F" w14:textId="7516D130" w:rsidR="007A20F7" w:rsidRPr="007A20F7" w:rsidRDefault="007A20F7" w:rsidP="007A20F7">
      <w:pPr>
        <w:jc w:val="both"/>
        <w:rPr>
          <w:rFonts w:ascii="Book Antiqua" w:hAnsi="Book Antiqua"/>
          <w:sz w:val="19"/>
          <w:szCs w:val="19"/>
        </w:rPr>
      </w:pPr>
      <w:r w:rsidRPr="005F6F21">
        <w:rPr>
          <w:rFonts w:ascii="Book Antiqua" w:hAnsi="Book Antiqua"/>
          <w:b/>
          <w:bCs/>
          <w:sz w:val="19"/>
          <w:szCs w:val="19"/>
        </w:rPr>
        <w:lastRenderedPageBreak/>
        <w:t>VIII - pesquisa científica, desde que não interfira com as condições ecológicas da área, nem enseje qualquer tipo de exploração econômica direta, respeitados outros requisitos previstos na legislação aplicável</w:t>
      </w:r>
      <w:r w:rsidRPr="007A20F7">
        <w:rPr>
          <w:rFonts w:ascii="Book Antiqua" w:hAnsi="Book Antiqua"/>
          <w:sz w:val="19"/>
          <w:szCs w:val="19"/>
        </w:rPr>
        <w:t>;</w:t>
      </w:r>
      <w:r w:rsidR="005F6F21">
        <w:rPr>
          <w:rFonts w:ascii="Book Antiqua" w:hAnsi="Book Antiqua"/>
          <w:sz w:val="19"/>
          <w:szCs w:val="19"/>
        </w:rPr>
        <w:t xml:space="preserve"> </w:t>
      </w:r>
      <w:r w:rsidR="005F6F21" w:rsidRPr="005F6F21">
        <w:rPr>
          <w:rFonts w:ascii="Book Antiqua" w:hAnsi="Book Antiqua"/>
          <w:b/>
          <w:bCs/>
          <w:color w:val="FF0000"/>
          <w:sz w:val="18"/>
          <w:szCs w:val="18"/>
          <w:u w:val="single"/>
        </w:rPr>
        <w:t>(PCSE-2018)</w:t>
      </w:r>
    </w:p>
    <w:p w14:paraId="64403B0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IX - coleta de produtos não madeireiros para fins de subsistência e produção de mudas, como sementes, castanhas e frutos, desde que eventual e respeitada a legislação específica a respeito do acesso a recursos genéticos;</w:t>
      </w:r>
    </w:p>
    <w:p w14:paraId="7E19912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X - plantio de espécies nativas produtoras de frutos, sementes, castanhas e outros produtos vegetais em áreas alteradas, plantados junto ou de modo misto;</w:t>
      </w:r>
    </w:p>
    <w:p w14:paraId="287D30F7" w14:textId="75516814" w:rsidR="007A20F7" w:rsidRPr="007A20F7" w:rsidRDefault="007A20F7" w:rsidP="007A20F7">
      <w:pPr>
        <w:jc w:val="both"/>
        <w:rPr>
          <w:rFonts w:ascii="Book Antiqua" w:hAnsi="Book Antiqua"/>
          <w:sz w:val="19"/>
          <w:szCs w:val="19"/>
        </w:rPr>
      </w:pPr>
      <w:r w:rsidRPr="005F6F21">
        <w:rPr>
          <w:rFonts w:ascii="Book Antiqua" w:hAnsi="Book Antiqua"/>
          <w:b/>
          <w:bCs/>
          <w:sz w:val="19"/>
          <w:szCs w:val="19"/>
        </w:rPr>
        <w:t>XI - outras ações ou atividades similares, reconhecidas como eventual e de baixo impacto ambiental pelo conselho estadual de meio ambiente</w:t>
      </w:r>
      <w:r w:rsidRPr="007A20F7">
        <w:rPr>
          <w:rFonts w:ascii="Book Antiqua" w:hAnsi="Book Antiqua"/>
          <w:sz w:val="19"/>
          <w:szCs w:val="19"/>
        </w:rPr>
        <w:t>.</w:t>
      </w:r>
      <w:r w:rsidR="005F6F21">
        <w:rPr>
          <w:rFonts w:ascii="Book Antiqua" w:hAnsi="Book Antiqua"/>
          <w:sz w:val="19"/>
          <w:szCs w:val="19"/>
        </w:rPr>
        <w:t xml:space="preserve"> </w:t>
      </w:r>
      <w:r w:rsidR="005F6F21" w:rsidRPr="005F6F21">
        <w:rPr>
          <w:rFonts w:ascii="Book Antiqua" w:hAnsi="Book Antiqua"/>
          <w:b/>
          <w:bCs/>
          <w:color w:val="FF0000"/>
          <w:sz w:val="18"/>
          <w:szCs w:val="18"/>
          <w:u w:val="single"/>
        </w:rPr>
        <w:t>(PCSE-2018)</w:t>
      </w:r>
    </w:p>
    <w:p w14:paraId="671F6A5C"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1º Em todos os casos, incluindo os reconhecidos pelo conselho estadual de meio ambiente, a intervenção ou supressão eventual e de baixo impacto ambiental de vegetação em APP não poderá comprometer as funções ambientais destes espaços, especialmente:</w:t>
      </w:r>
    </w:p>
    <w:p w14:paraId="29748F6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 - a estabilidade das encostas e margens dos corpos de água;</w:t>
      </w:r>
    </w:p>
    <w:p w14:paraId="69070C57"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 - os corredores de fauna;</w:t>
      </w:r>
    </w:p>
    <w:p w14:paraId="6D22617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III - a drenagem e os cursos de água intermitentes;</w:t>
      </w:r>
    </w:p>
    <w:p w14:paraId="0684E89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IV - a manutenção da biota;</w:t>
      </w:r>
    </w:p>
    <w:p w14:paraId="73FBE40E"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 - a regeneração e a manutenção da vegetação nativa; e</w:t>
      </w:r>
    </w:p>
    <w:p w14:paraId="4EA980F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VI - a qualidade das águas.</w:t>
      </w:r>
    </w:p>
    <w:p w14:paraId="61298CC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2º A intervenção ou supressão, eventual e de baixo impacto ambiental, da vegetação em APP não pode, em qualquer caso, exceder ao percentual de 5% (cinco por cento) da APP impactada localizada na posse ou propriedade.</w:t>
      </w:r>
    </w:p>
    <w:p w14:paraId="32FC7840"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3º O órgão ambiental competente poderá exigir, quando entender necessário, que o requerente comprove, mediante estudos técnicos, a inexistência de alternativa técnica e locacional à intervenção ou supressão proposta.</w:t>
      </w:r>
    </w:p>
    <w:p w14:paraId="1A9DEEF1" w14:textId="77777777" w:rsidR="007A20F7" w:rsidRPr="007A20F7" w:rsidRDefault="007A20F7" w:rsidP="007A20F7">
      <w:pPr>
        <w:jc w:val="both"/>
        <w:rPr>
          <w:rFonts w:ascii="Book Antiqua" w:hAnsi="Book Antiqua"/>
          <w:sz w:val="19"/>
          <w:szCs w:val="19"/>
        </w:rPr>
      </w:pPr>
    </w:p>
    <w:p w14:paraId="37E4562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Seção VI</w:t>
      </w:r>
    </w:p>
    <w:p w14:paraId="4DCA4F17"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Das Disposições Finais</w:t>
      </w:r>
    </w:p>
    <w:p w14:paraId="65490A48"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12. Nas hipóteses em que o licenciamento depender de EIA/RIMA, o empreendedor apresentará, até 31 de março de cada ano, relatório anual detalhado, com a delimitação georreferenciada das APP, subscrito pelo administrador principal, com comprovação do cumprimento das obrigações estabelecidas em cada licença ou autorização expedida.</w:t>
      </w:r>
    </w:p>
    <w:p w14:paraId="61900CF3"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13. As autorizações de intervenção ou supressão de vegetação em APP ainda não executadas deverão ser regularizadas junto ao órgão ambiental competente, nos termos desta Resolução.</w:t>
      </w:r>
    </w:p>
    <w:p w14:paraId="33D64721"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14. O não-cumprimento ao disposto nesta Resolução sujeitará os infratores, dentre outras, às penalidades e sanções, respectivamente, previstas na Lei nº 9.605, de 12 de fevereiro de 1998 e no Decreto nº 3.179, de 21 de setembro de 1999.</w:t>
      </w:r>
    </w:p>
    <w:p w14:paraId="74488AD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15. O órgão licenciador deverá cadastrar no Sistema Nacional de Informação de Meio Ambiente - SINIMA as informações sobre licenças concedidas para as obras, planos e atividades enquadradas como de utilidade pública ou de interesse social.</w:t>
      </w:r>
    </w:p>
    <w:p w14:paraId="17A89D3B"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 1º O CONAMA criará, até o primeiro ano de vigência desta Resolução, Grupo de Trabalho no âmbito da Câmara Técnica de Gestão Territorial e Biomas para monitoramento e análise dos efeitos desta Resolução.</w:t>
      </w:r>
    </w:p>
    <w:p w14:paraId="55DC8E0D"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lastRenderedPageBreak/>
        <w:t>§ 2º O relatório do Grupo de Trabalho referido no parágrafo anterior integrará o Relatório de Qualidade Ambiental de que tratam os incisos VII, X e XI do art. 9º da Lei nº 6.938 de 1981.</w:t>
      </w:r>
    </w:p>
    <w:p w14:paraId="523F2652"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16. As exigências e deveres previstos nesta Resolução caracterizam obrigações de relevante interesse ambiental.</w:t>
      </w:r>
    </w:p>
    <w:p w14:paraId="3C8E4E7A"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17. O CONAMA deverá criar Grupo de Trabalho para no prazo de um ano, apresentar proposta para regulamentar a metodologia de recuperação das APP.</w:t>
      </w:r>
    </w:p>
    <w:p w14:paraId="628025E6" w14:textId="77777777" w:rsidR="007A20F7" w:rsidRPr="007A20F7" w:rsidRDefault="007A20F7" w:rsidP="007A20F7">
      <w:pPr>
        <w:jc w:val="both"/>
        <w:rPr>
          <w:rFonts w:ascii="Book Antiqua" w:hAnsi="Book Antiqua"/>
          <w:sz w:val="19"/>
          <w:szCs w:val="19"/>
        </w:rPr>
      </w:pPr>
      <w:r w:rsidRPr="007A20F7">
        <w:rPr>
          <w:rFonts w:ascii="Book Antiqua" w:hAnsi="Book Antiqua"/>
          <w:sz w:val="19"/>
          <w:szCs w:val="19"/>
        </w:rPr>
        <w:t>Art. 18. Esta Resolução entra em vigor na data de sua publicação.</w:t>
      </w:r>
    </w:p>
    <w:p w14:paraId="693AE0BD" w14:textId="77777777" w:rsidR="007A20F7" w:rsidRPr="007A20F7" w:rsidRDefault="007A20F7" w:rsidP="007A20F7">
      <w:pPr>
        <w:jc w:val="both"/>
        <w:rPr>
          <w:rFonts w:ascii="Book Antiqua" w:hAnsi="Book Antiqua"/>
          <w:sz w:val="19"/>
          <w:szCs w:val="19"/>
        </w:rPr>
      </w:pPr>
    </w:p>
    <w:p w14:paraId="71845F98" w14:textId="12CC99FD" w:rsidR="007A20F7" w:rsidRPr="007A20F7" w:rsidRDefault="007A20F7" w:rsidP="007A20F7">
      <w:pPr>
        <w:jc w:val="center"/>
        <w:rPr>
          <w:rFonts w:ascii="Book Antiqua" w:hAnsi="Book Antiqua"/>
          <w:sz w:val="19"/>
          <w:szCs w:val="19"/>
        </w:rPr>
      </w:pPr>
      <w:r w:rsidRPr="007A20F7">
        <w:rPr>
          <w:rFonts w:ascii="Book Antiqua" w:hAnsi="Book Antiqua"/>
          <w:sz w:val="19"/>
          <w:szCs w:val="19"/>
        </w:rPr>
        <w:t>MARINA SILVA</w:t>
      </w:r>
    </w:p>
    <w:sectPr w:rsidR="007A20F7" w:rsidRPr="007A20F7" w:rsidSect="007A20F7">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38ED9" w14:textId="77777777" w:rsidR="00B11804" w:rsidRDefault="00B11804" w:rsidP="005F6F21">
      <w:pPr>
        <w:spacing w:after="0" w:line="240" w:lineRule="auto"/>
      </w:pPr>
      <w:r>
        <w:separator/>
      </w:r>
    </w:p>
  </w:endnote>
  <w:endnote w:type="continuationSeparator" w:id="0">
    <w:p w14:paraId="0D901AFF" w14:textId="77777777" w:rsidR="00B11804" w:rsidRDefault="00B11804" w:rsidP="005F6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B8F08" w14:textId="77777777" w:rsidR="00B11804" w:rsidRDefault="00B11804" w:rsidP="005F6F21">
      <w:pPr>
        <w:spacing w:after="0" w:line="240" w:lineRule="auto"/>
      </w:pPr>
      <w:r>
        <w:separator/>
      </w:r>
    </w:p>
  </w:footnote>
  <w:footnote w:type="continuationSeparator" w:id="0">
    <w:p w14:paraId="165A1A70" w14:textId="77777777" w:rsidR="00B11804" w:rsidRDefault="00B11804" w:rsidP="005F6F21">
      <w:pPr>
        <w:spacing w:after="0" w:line="240" w:lineRule="auto"/>
      </w:pPr>
      <w:r>
        <w:continuationSeparator/>
      </w:r>
    </w:p>
  </w:footnote>
  <w:footnote w:id="1">
    <w:p w14:paraId="1FAD92F4" w14:textId="622BDD69" w:rsidR="005F6F21" w:rsidRPr="005F6F21" w:rsidRDefault="005F6F21" w:rsidP="005F6F21">
      <w:pPr>
        <w:pStyle w:val="Textodenotaderodap"/>
        <w:jc w:val="both"/>
        <w:rPr>
          <w:rFonts w:ascii="Book Antiqua" w:hAnsi="Book Antiqua"/>
        </w:rPr>
      </w:pPr>
      <w:r w:rsidRPr="005F6F21">
        <w:rPr>
          <w:rStyle w:val="Refdenotaderodap"/>
          <w:rFonts w:ascii="Book Antiqua" w:hAnsi="Book Antiqua"/>
          <w:sz w:val="18"/>
          <w:szCs w:val="18"/>
        </w:rPr>
        <w:footnoteRef/>
      </w:r>
      <w:r w:rsidRPr="005F6F21">
        <w:rPr>
          <w:rFonts w:ascii="Book Antiqua" w:hAnsi="Book Antiqua"/>
          <w:sz w:val="18"/>
          <w:szCs w:val="18"/>
        </w:rPr>
        <w:t xml:space="preserve"> </w:t>
      </w:r>
      <w:hyperlink r:id="rId1" w:history="1">
        <w:r w:rsidRPr="005F6F21">
          <w:rPr>
            <w:rStyle w:val="Hyperlink"/>
            <w:rFonts w:ascii="Book Antiqua" w:hAnsi="Book Antiqua"/>
            <w:color w:val="3333FF"/>
            <w:sz w:val="18"/>
            <w:szCs w:val="18"/>
          </w:rPr>
          <w:t>https://www.gov.br/ibama/pt-br/acesso-a-informacao/institucional/arquivos/ojn/ojn_48_2013_intervencao_em_app_res_conama_369_2006_e_lei_12651_2012.pdf</w:t>
        </w:r>
      </w:hyperlink>
      <w:r w:rsidRPr="005F6F21">
        <w:rPr>
          <w:rFonts w:ascii="Book Antiqua" w:hAnsi="Book Antiqua"/>
          <w:color w:val="3333FF"/>
          <w:sz w:val="18"/>
          <w:szCs w:val="18"/>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C23"/>
    <w:rsid w:val="0014077E"/>
    <w:rsid w:val="00176C23"/>
    <w:rsid w:val="00406DE9"/>
    <w:rsid w:val="004439A0"/>
    <w:rsid w:val="005F6F21"/>
    <w:rsid w:val="007A20F7"/>
    <w:rsid w:val="00810E85"/>
    <w:rsid w:val="008C6F12"/>
    <w:rsid w:val="00B11804"/>
    <w:rsid w:val="00D827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EAA5"/>
  <w15:chartTrackingRefBased/>
  <w15:docId w15:val="{0D4E2E09-4DFB-4161-B580-AC7589E44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5F6F2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F6F21"/>
    <w:rPr>
      <w:sz w:val="20"/>
      <w:szCs w:val="20"/>
    </w:rPr>
  </w:style>
  <w:style w:type="character" w:styleId="Refdenotaderodap">
    <w:name w:val="footnote reference"/>
    <w:basedOn w:val="Fontepargpadro"/>
    <w:uiPriority w:val="99"/>
    <w:semiHidden/>
    <w:unhideWhenUsed/>
    <w:rsid w:val="005F6F21"/>
    <w:rPr>
      <w:vertAlign w:val="superscript"/>
    </w:rPr>
  </w:style>
  <w:style w:type="character" w:styleId="Hyperlink">
    <w:name w:val="Hyperlink"/>
    <w:basedOn w:val="Fontepargpadro"/>
    <w:uiPriority w:val="99"/>
    <w:unhideWhenUsed/>
    <w:rsid w:val="005F6F21"/>
    <w:rPr>
      <w:color w:val="0563C1" w:themeColor="hyperlink"/>
      <w:u w:val="single"/>
    </w:rPr>
  </w:style>
  <w:style w:type="character" w:styleId="MenoPendente">
    <w:name w:val="Unresolved Mention"/>
    <w:basedOn w:val="Fontepargpadro"/>
    <w:uiPriority w:val="99"/>
    <w:semiHidden/>
    <w:unhideWhenUsed/>
    <w:rsid w:val="005F6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gov.br/ibama/pt-br/acesso-a-informacao/institucional/arquivos/ojn/ojn_48_2013_intervencao_em_app_res_conama_369_2006_e_lei_12651_2012.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472CA-C6B6-465F-9F01-F98CCB08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4158</Words>
  <Characters>22459</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2022-07-23T16:10:00Z</dcterms:created>
  <dcterms:modified xsi:type="dcterms:W3CDTF">2023-01-31T15:52:00Z</dcterms:modified>
</cp:coreProperties>
</file>