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4739" w14:textId="7EB7320F" w:rsidR="00FF59B0" w:rsidRPr="00264FA8" w:rsidRDefault="00FF59B0" w:rsidP="00FF59B0">
      <w:pPr>
        <w:jc w:val="center"/>
        <w:rPr>
          <w:rFonts w:ascii="Book Antiqua" w:hAnsi="Book Antiqua" w:cs="Times New Roman"/>
          <w:b/>
          <w:sz w:val="19"/>
          <w:szCs w:val="19"/>
        </w:rPr>
      </w:pPr>
      <w:bookmarkStart w:id="0" w:name="_Hlk21090014"/>
      <w:r w:rsidRPr="00264FA8">
        <w:rPr>
          <w:rFonts w:ascii="Book Antiqua" w:hAnsi="Book Antiqua" w:cs="Times New Roman"/>
          <w:b/>
          <w:sz w:val="19"/>
          <w:szCs w:val="19"/>
        </w:rPr>
        <w:t>ACESSIBILIDADE E ATENDIMENTO PRIORITÁRIO – Lei 10.098/2000</w:t>
      </w:r>
    </w:p>
    <w:p w14:paraId="24A040DB" w14:textId="77777777" w:rsidR="00FF59B0" w:rsidRPr="00264FA8" w:rsidRDefault="00FF59B0" w:rsidP="00FF59B0">
      <w:pPr>
        <w:jc w:val="center"/>
        <w:rPr>
          <w:rFonts w:ascii="Book Antiqua" w:hAnsi="Book Antiqua" w:cs="Times New Roman"/>
          <w:b/>
          <w:sz w:val="19"/>
          <w:szCs w:val="19"/>
        </w:rPr>
      </w:pPr>
      <w:r w:rsidRPr="00264FA8">
        <w:rPr>
          <w:rFonts w:ascii="Book Antiqua" w:hAnsi="Book Antiqua" w:cs="Times New Roman"/>
          <w:b/>
          <w:sz w:val="19"/>
          <w:szCs w:val="19"/>
        </w:rPr>
        <w:t>MATERIAL COM QUESTÕES DE CONCURSO e ALGUMAS REFERÊNCIAS À SÚMULAS E JULGADOS DOS TRIBUNAIS SUPERIORES</w:t>
      </w:r>
    </w:p>
    <w:p w14:paraId="32E4E1A8" w14:textId="77777777" w:rsidR="00FF59B0" w:rsidRPr="00264FA8" w:rsidRDefault="00FF59B0" w:rsidP="00FF59B0">
      <w:pPr>
        <w:jc w:val="center"/>
        <w:rPr>
          <w:rFonts w:ascii="Book Antiqua" w:hAnsi="Book Antiqua" w:cs="Times New Roman"/>
          <w:b/>
          <w:color w:val="FF0000"/>
          <w:sz w:val="19"/>
          <w:szCs w:val="19"/>
        </w:rPr>
      </w:pPr>
      <w:r w:rsidRPr="00264FA8">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FF59B0" w:rsidRPr="00BB218B" w14:paraId="4BC2D914" w14:textId="77777777" w:rsidTr="00D718F6">
        <w:trPr>
          <w:trHeight w:val="3877"/>
        </w:trPr>
        <w:tc>
          <w:tcPr>
            <w:tcW w:w="8568" w:type="dxa"/>
            <w:shd w:val="clear" w:color="auto" w:fill="E7E6E6" w:themeFill="background2"/>
          </w:tcPr>
          <w:p w14:paraId="11B1CA8B" w14:textId="03D23C14"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legislativa</w:t>
            </w:r>
            <w:r w:rsidRPr="00D718F6">
              <w:rPr>
                <w:rFonts w:ascii="Book Antiqua" w:eastAsia="Times New Roman" w:hAnsi="Book Antiqua" w:cs="Times New Roman"/>
                <w:b/>
                <w:sz w:val="18"/>
                <w:szCs w:val="18"/>
                <w:lang w:eastAsia="pt-BR"/>
              </w:rPr>
              <w:t xml:space="preserve">: </w:t>
            </w:r>
            <w:r w:rsidR="00BB218B" w:rsidRPr="00D718F6">
              <w:rPr>
                <w:rFonts w:ascii="Book Antiqua" w:eastAsia="Times New Roman" w:hAnsi="Book Antiqua" w:cs="Times New Roman"/>
                <w:b/>
                <w:color w:val="FF0000"/>
                <w:sz w:val="18"/>
                <w:szCs w:val="18"/>
                <w:lang w:eastAsia="pt-BR"/>
              </w:rPr>
              <w:t>Lei 13.825, de 15/05/2019 (vide art. 6º, §§1º e 2º)</w:t>
            </w:r>
            <w:r w:rsidR="00785457" w:rsidRPr="00D718F6">
              <w:rPr>
                <w:rFonts w:ascii="Book Antiqua" w:eastAsia="Times New Roman" w:hAnsi="Book Antiqua" w:cs="Times New Roman"/>
                <w:b/>
                <w:color w:val="FF0000"/>
                <w:sz w:val="18"/>
                <w:szCs w:val="18"/>
                <w:lang w:eastAsia="pt-BR"/>
              </w:rPr>
              <w:t xml:space="preserve">; </w:t>
            </w:r>
            <w:r w:rsidR="00F340F4" w:rsidRPr="00D718F6">
              <w:rPr>
                <w:rFonts w:ascii="Book Antiqua" w:eastAsia="Times New Roman" w:hAnsi="Book Antiqua" w:cs="Times New Roman"/>
                <w:b/>
                <w:color w:val="FF0000"/>
                <w:sz w:val="18"/>
                <w:szCs w:val="18"/>
                <w:lang w:eastAsia="pt-BR"/>
              </w:rPr>
              <w:t xml:space="preserve">Atenção: </w:t>
            </w:r>
            <w:r w:rsidR="00785457" w:rsidRPr="00D718F6">
              <w:rPr>
                <w:rFonts w:ascii="Book Antiqua" w:eastAsia="Times New Roman" w:hAnsi="Book Antiqua" w:cs="Times New Roman"/>
                <w:b/>
                <w:color w:val="FF0000"/>
                <w:sz w:val="18"/>
                <w:szCs w:val="18"/>
                <w:lang w:eastAsia="pt-BR"/>
              </w:rPr>
              <w:t xml:space="preserve">Vacatio Legis de 180 </w:t>
            </w:r>
            <w:r w:rsidR="00F340F4" w:rsidRPr="00D718F6">
              <w:rPr>
                <w:rFonts w:ascii="Book Antiqua" w:eastAsia="Times New Roman" w:hAnsi="Book Antiqua" w:cs="Times New Roman"/>
                <w:b/>
                <w:color w:val="FF0000"/>
                <w:sz w:val="18"/>
                <w:szCs w:val="18"/>
                <w:lang w:eastAsia="pt-BR"/>
              </w:rPr>
              <w:t xml:space="preserve">dias </w:t>
            </w:r>
            <w:r w:rsidR="00785457" w:rsidRPr="00D718F6">
              <w:rPr>
                <w:rFonts w:ascii="Book Antiqua" w:eastAsia="Times New Roman" w:hAnsi="Book Antiqua" w:cs="Times New Roman"/>
                <w:b/>
                <w:color w:val="FF0000"/>
                <w:sz w:val="18"/>
                <w:szCs w:val="18"/>
                <w:lang w:eastAsia="pt-BR"/>
              </w:rPr>
              <w:t>da Lei 13.835, publicada em 05/06/19 (inclusão do art. 21-A).</w:t>
            </w:r>
            <w:r w:rsidR="00CB1CBB">
              <w:t xml:space="preserve"> </w:t>
            </w:r>
            <w:r w:rsidR="00CB1CBB" w:rsidRPr="00CB1CBB">
              <w:rPr>
                <w:rFonts w:ascii="Book Antiqua" w:eastAsia="Times New Roman" w:hAnsi="Book Antiqua" w:cs="Times New Roman"/>
                <w:b/>
                <w:color w:val="FF0000"/>
                <w:sz w:val="18"/>
                <w:szCs w:val="18"/>
                <w:lang w:eastAsia="pt-BR"/>
              </w:rPr>
              <w:t>Lei nº 15.249, de 3.11.2025</w:t>
            </w:r>
          </w:p>
          <w:p w14:paraId="6CB3E82C" w14:textId="77777777" w:rsidR="00FF59B0" w:rsidRPr="00D718F6" w:rsidRDefault="00FF59B0" w:rsidP="00966A9D">
            <w:pPr>
              <w:jc w:val="both"/>
              <w:rPr>
                <w:rFonts w:ascii="Book Antiqua" w:eastAsia="Times New Roman" w:hAnsi="Book Antiqua" w:cs="Times New Roman"/>
                <w:b/>
                <w:sz w:val="18"/>
                <w:szCs w:val="18"/>
                <w:lang w:eastAsia="pt-BR"/>
              </w:rPr>
            </w:pPr>
          </w:p>
          <w:p w14:paraId="4CDECA3B" w14:textId="2BCC2952"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questões de concurso</w:t>
            </w:r>
            <w:r w:rsidRPr="00D718F6">
              <w:rPr>
                <w:rFonts w:ascii="Book Antiqua" w:eastAsia="Times New Roman" w:hAnsi="Book Antiqua" w:cs="Times New Roman"/>
                <w:b/>
                <w:sz w:val="18"/>
                <w:szCs w:val="18"/>
                <w:lang w:eastAsia="pt-BR"/>
              </w:rPr>
              <w:t xml:space="preserve">: </w:t>
            </w:r>
            <w:r w:rsidR="009A7F13">
              <w:rPr>
                <w:rFonts w:ascii="Book Antiqua" w:eastAsia="Times New Roman" w:hAnsi="Book Antiqua" w:cs="Times New Roman"/>
                <w:b/>
                <w:color w:val="FF0000"/>
                <w:sz w:val="18"/>
                <w:szCs w:val="18"/>
                <w:lang w:eastAsia="pt-BR"/>
              </w:rPr>
              <w:t>28/07/2025</w:t>
            </w:r>
            <w:r w:rsidRPr="00D718F6">
              <w:rPr>
                <w:rFonts w:ascii="Book Antiqua" w:eastAsia="Times New Roman" w:hAnsi="Book Antiqua" w:cs="Times New Roman"/>
                <w:b/>
                <w:color w:val="FF0000"/>
                <w:sz w:val="18"/>
                <w:szCs w:val="18"/>
                <w:lang w:eastAsia="pt-BR"/>
              </w:rPr>
              <w:t>.</w:t>
            </w:r>
          </w:p>
          <w:p w14:paraId="1A012928" w14:textId="77777777" w:rsidR="00FF59B0" w:rsidRPr="00D718F6" w:rsidRDefault="00FF59B0" w:rsidP="00966A9D">
            <w:pPr>
              <w:jc w:val="both"/>
              <w:rPr>
                <w:rFonts w:ascii="Book Antiqua" w:eastAsia="Times New Roman" w:hAnsi="Book Antiqua" w:cs="Times New Roman"/>
                <w:b/>
                <w:sz w:val="18"/>
                <w:szCs w:val="18"/>
                <w:lang w:eastAsia="pt-BR"/>
              </w:rPr>
            </w:pPr>
          </w:p>
          <w:p w14:paraId="39949057" w14:textId="77777777"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18F6">
              <w:rPr>
                <w:rFonts w:ascii="Book Antiqua" w:eastAsia="Times New Roman" w:hAnsi="Book Antiqua" w:cs="Times New Roman"/>
                <w:b/>
                <w:sz w:val="18"/>
                <w:szCs w:val="18"/>
                <w:lang w:eastAsia="pt-BR"/>
              </w:rPr>
              <w:t>:</w:t>
            </w:r>
          </w:p>
          <w:p w14:paraId="137224E9" w14:textId="77777777" w:rsidR="00FF59B0" w:rsidRPr="00D718F6" w:rsidRDefault="00FF59B0" w:rsidP="00966A9D">
            <w:pPr>
              <w:pStyle w:val="PargrafodaLista"/>
              <w:numPr>
                <w:ilvl w:val="0"/>
                <w:numId w:val="2"/>
              </w:num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0000"/>
                <w:sz w:val="18"/>
                <w:szCs w:val="18"/>
                <w:lang w:eastAsia="pt-BR"/>
              </w:rPr>
              <w:t>Cores utilizadas</w:t>
            </w:r>
            <w:r w:rsidRPr="00D718F6">
              <w:rPr>
                <w:rFonts w:ascii="Book Antiqua" w:eastAsia="Times New Roman" w:hAnsi="Book Antiqua" w:cs="Times New Roman"/>
                <w:b/>
                <w:sz w:val="18"/>
                <w:szCs w:val="18"/>
                <w:lang w:eastAsia="pt-BR"/>
              </w:rPr>
              <w:t>:</w:t>
            </w:r>
          </w:p>
          <w:p w14:paraId="1CFEC72D"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green"/>
                <w:lang w:eastAsia="pt-BR"/>
              </w:rPr>
              <w:t>EM VERDE</w:t>
            </w:r>
            <w:r w:rsidRPr="00D718F6">
              <w:rPr>
                <w:rFonts w:ascii="Book Antiqua" w:eastAsia="Times New Roman" w:hAnsi="Book Antiqua" w:cs="Times New Roman"/>
                <w:sz w:val="18"/>
                <w:szCs w:val="18"/>
                <w:lang w:eastAsia="pt-BR"/>
              </w:rPr>
              <w:t>: destaque aos títulos, capítulos, bem como outras informações relevantes, etc.</w:t>
            </w:r>
          </w:p>
          <w:p w14:paraId="752BDC97"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magenta"/>
                <w:lang w:eastAsia="pt-BR"/>
              </w:rPr>
              <w:t>EM ROXO</w:t>
            </w:r>
            <w:r w:rsidRPr="00D718F6">
              <w:rPr>
                <w:rFonts w:ascii="Book Antiqua" w:eastAsia="Times New Roman" w:hAnsi="Book Antiqua" w:cs="Times New Roman"/>
                <w:sz w:val="18"/>
                <w:szCs w:val="18"/>
                <w:lang w:eastAsia="pt-BR"/>
              </w:rPr>
              <w:t>: artigos que já foram cobrados em provas de concurso.</w:t>
            </w:r>
          </w:p>
          <w:p w14:paraId="2EBA857E" w14:textId="7CD86D39"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cyan"/>
                <w:lang w:eastAsia="pt-BR"/>
              </w:rPr>
              <w:t>EM AZUL</w:t>
            </w:r>
            <w:r w:rsidRPr="00D718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10.098/2000).</w:t>
            </w:r>
          </w:p>
          <w:p w14:paraId="449FF755"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yellow"/>
                <w:lang w:eastAsia="pt-BR"/>
              </w:rPr>
              <w:t>EM AMARELO</w:t>
            </w:r>
            <w:r w:rsidRPr="00D718F6">
              <w:rPr>
                <w:rFonts w:ascii="Book Antiqua" w:eastAsia="Times New Roman" w:hAnsi="Book Antiqua" w:cs="Times New Roman"/>
                <w:sz w:val="18"/>
                <w:szCs w:val="18"/>
                <w:lang w:eastAsia="pt-BR"/>
              </w:rPr>
              <w:t>: destaques importantes (ex.: critério pessoal)</w:t>
            </w:r>
          </w:p>
          <w:p w14:paraId="47E0596F" w14:textId="77777777" w:rsidR="00FF59B0" w:rsidRPr="00D718F6" w:rsidRDefault="00FF59B0" w:rsidP="00966A9D">
            <w:pPr>
              <w:jc w:val="both"/>
              <w:rPr>
                <w:rFonts w:ascii="Book Antiqua" w:eastAsia="Times New Roman" w:hAnsi="Book Antiqua" w:cs="Times New Roman"/>
                <w:sz w:val="18"/>
                <w:szCs w:val="18"/>
                <w:lang w:eastAsia="pt-BR"/>
              </w:rPr>
            </w:pPr>
          </w:p>
          <w:p w14:paraId="04D3E433" w14:textId="77777777" w:rsidR="00FF59B0" w:rsidRPr="00D718F6" w:rsidRDefault="00FF59B0" w:rsidP="00966A9D">
            <w:pPr>
              <w:pStyle w:val="PargrafodaLista"/>
              <w:numPr>
                <w:ilvl w:val="0"/>
                <w:numId w:val="2"/>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color w:val="FF0000"/>
                <w:sz w:val="18"/>
                <w:szCs w:val="18"/>
                <w:lang w:eastAsia="pt-BR"/>
              </w:rPr>
              <w:t>Siglas utilizadas</w:t>
            </w:r>
            <w:r w:rsidRPr="00D718F6">
              <w:rPr>
                <w:rFonts w:ascii="Book Antiqua" w:eastAsia="Times New Roman" w:hAnsi="Book Antiqua" w:cs="Times New Roman"/>
                <w:sz w:val="18"/>
                <w:szCs w:val="18"/>
                <w:lang w:eastAsia="pt-BR"/>
              </w:rPr>
              <w:t>:</w:t>
            </w:r>
          </w:p>
          <w:p w14:paraId="4FE62915" w14:textId="77777777" w:rsidR="00FF59B0" w:rsidRPr="00BB218B" w:rsidRDefault="00FF59B0" w:rsidP="00966A9D">
            <w:pPr>
              <w:pStyle w:val="PargrafodaLista"/>
              <w:numPr>
                <w:ilvl w:val="0"/>
                <w:numId w:val="3"/>
              </w:numPr>
              <w:jc w:val="both"/>
              <w:rPr>
                <w:rFonts w:ascii="Book Antiqua" w:eastAsia="Times New Roman" w:hAnsi="Book Antiqua" w:cs="Times New Roman"/>
                <w:sz w:val="20"/>
                <w:szCs w:val="20"/>
                <w:lang w:eastAsia="pt-BR"/>
              </w:rPr>
            </w:pPr>
            <w:r w:rsidRPr="00D718F6">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74AA057" w14:textId="786B7B68" w:rsidR="00A0779F" w:rsidRPr="00BB218B" w:rsidRDefault="00AC58E6" w:rsidP="00A0779F">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"http://legislacao.planalto.gov.br/legisla/legislacao.nsf/Viw_Identificacao/lei%2010.098-2000?OpenDocument" </w:instrText>
      </w:r>
      <w:r>
        <w:fldChar w:fldCharType="separate"/>
      </w:r>
      <w:r w:rsidR="00A0779F" w:rsidRPr="00BB218B">
        <w:rPr>
          <w:rFonts w:ascii="Book Antiqua" w:eastAsia="Times New Roman" w:hAnsi="Book Antiqua" w:cs="Arial"/>
          <w:b/>
          <w:bCs/>
          <w:color w:val="000080"/>
          <w:sz w:val="20"/>
          <w:szCs w:val="20"/>
          <w:lang w:eastAsia="pt-BR"/>
        </w:rPr>
        <w:t>LEI N</w:t>
      </w:r>
      <w:r w:rsidR="00A0779F" w:rsidRPr="00BB218B">
        <w:rPr>
          <w:rFonts w:ascii="Book Antiqua" w:eastAsia="Times New Roman" w:hAnsi="Book Antiqua" w:cs="Arial"/>
          <w:b/>
          <w:bCs/>
          <w:color w:val="000080"/>
          <w:sz w:val="20"/>
          <w:szCs w:val="20"/>
          <w:vertAlign w:val="superscript"/>
          <w:lang w:eastAsia="pt-BR"/>
        </w:rPr>
        <w:t>o</w:t>
      </w:r>
      <w:r w:rsidR="00A0779F" w:rsidRPr="00BB218B">
        <w:rPr>
          <w:rFonts w:ascii="Book Antiqua" w:eastAsia="Times New Roman" w:hAnsi="Book Antiqua" w:cs="Arial"/>
          <w:b/>
          <w:bCs/>
          <w:color w:val="000080"/>
          <w:sz w:val="20"/>
          <w:szCs w:val="20"/>
          <w:lang w:eastAsia="pt-BR"/>
        </w:rPr>
        <w:t xml:space="preserve"> 10.098, DE 19 DE DEZEMBRO DE 2000.</w:t>
      </w:r>
      <w:r>
        <w:rPr>
          <w:rFonts w:ascii="Book Antiqua" w:eastAsia="Times New Roman" w:hAnsi="Book Antiqua" w:cs="Arial"/>
          <w:b/>
          <w:bCs/>
          <w:color w:val="000080"/>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0779F" w:rsidRPr="00BB218B" w14:paraId="3108B896" w14:textId="77777777" w:rsidTr="00E65863">
        <w:trPr>
          <w:trHeight w:val="480"/>
          <w:tblCellSpacing w:w="0" w:type="dxa"/>
        </w:trPr>
        <w:tc>
          <w:tcPr>
            <w:tcW w:w="1251" w:type="pct"/>
            <w:vAlign w:val="center"/>
            <w:hideMark/>
          </w:tcPr>
          <w:p w14:paraId="1A0C3F53" w14:textId="29E046B8" w:rsidR="00A0779F" w:rsidRPr="00BB218B" w:rsidRDefault="00A0779F" w:rsidP="00A0779F">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62E61D8E" w14:textId="77777777" w:rsidR="00A0779F" w:rsidRPr="00E65863" w:rsidRDefault="00A0779F" w:rsidP="00A0779F">
            <w:pPr>
              <w:spacing w:before="100" w:beforeAutospacing="1" w:after="100" w:afterAutospacing="1" w:line="240" w:lineRule="auto"/>
              <w:jc w:val="both"/>
              <w:rPr>
                <w:rFonts w:ascii="Book Antiqua" w:eastAsia="Times New Roman" w:hAnsi="Book Antiqua" w:cs="Times New Roman"/>
                <w:sz w:val="18"/>
                <w:szCs w:val="18"/>
                <w:lang w:eastAsia="pt-BR"/>
              </w:rPr>
            </w:pPr>
            <w:r w:rsidRPr="00E65863">
              <w:rPr>
                <w:rFonts w:ascii="Book Antiqua" w:eastAsia="Times New Roman" w:hAnsi="Book Antiqua" w:cs="Arial"/>
                <w:color w:val="800000"/>
                <w:sz w:val="18"/>
                <w:szCs w:val="18"/>
                <w:lang w:eastAsia="pt-BR"/>
              </w:rPr>
              <w:t>Estabelece normas gerais e critérios básicos para a promoção da acessibilidade das pessoas portadoras de deficiência ou com mobilidade reduzida, e dá outras providências.</w:t>
            </w:r>
          </w:p>
        </w:tc>
      </w:tr>
    </w:tbl>
    <w:p w14:paraId="369E30D4" w14:textId="77777777" w:rsidR="00A0779F" w:rsidRPr="00264FA8" w:rsidRDefault="00A0779F" w:rsidP="00264FA8">
      <w:pPr>
        <w:spacing w:before="100" w:beforeAutospacing="1" w:after="100" w:afterAutospacing="1" w:line="240" w:lineRule="auto"/>
        <w:jc w:val="both"/>
        <w:rPr>
          <w:rFonts w:ascii="Book Antiqua" w:eastAsia="Times New Roman" w:hAnsi="Book Antiqua" w:cs="Times New Roman"/>
          <w:sz w:val="19"/>
          <w:szCs w:val="19"/>
          <w:lang w:eastAsia="pt-BR"/>
        </w:rPr>
      </w:pPr>
      <w:r w:rsidRPr="00BB218B">
        <w:rPr>
          <w:rFonts w:ascii="Book Antiqua" w:eastAsia="Times New Roman" w:hAnsi="Book Antiqua" w:cs="Arial"/>
          <w:b/>
          <w:bCs/>
          <w:sz w:val="20"/>
          <w:szCs w:val="20"/>
          <w:lang w:eastAsia="pt-BR"/>
        </w:rPr>
        <w:t xml:space="preserve">        </w:t>
      </w:r>
      <w:r w:rsidRPr="00264FA8">
        <w:rPr>
          <w:rFonts w:ascii="Book Antiqua" w:eastAsia="Times New Roman" w:hAnsi="Book Antiqua" w:cs="Arial"/>
          <w:b/>
          <w:bCs/>
          <w:sz w:val="19"/>
          <w:szCs w:val="19"/>
          <w:lang w:eastAsia="pt-BR"/>
        </w:rPr>
        <w:t xml:space="preserve">O PRESIDENTE DA REPÚBLICA </w:t>
      </w:r>
      <w:r w:rsidRPr="00264FA8">
        <w:rPr>
          <w:rFonts w:ascii="Book Antiqua" w:eastAsia="Times New Roman" w:hAnsi="Book Antiqua" w:cs="Arial"/>
          <w:sz w:val="19"/>
          <w:szCs w:val="19"/>
          <w:lang w:eastAsia="pt-BR"/>
        </w:rPr>
        <w:t>Faço saber que o Congresso Nacional decreta e eu sanciono a seguinte Lei:</w:t>
      </w:r>
    </w:p>
    <w:p w14:paraId="6DC402CA"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caps/>
          <w:sz w:val="19"/>
          <w:szCs w:val="19"/>
          <w:lang w:eastAsia="pt-BR"/>
        </w:rPr>
        <w:t>capítulo I</w:t>
      </w:r>
    </w:p>
    <w:p w14:paraId="13ABEE0E"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caps/>
          <w:sz w:val="19"/>
          <w:szCs w:val="19"/>
          <w:lang w:eastAsia="pt-BR"/>
        </w:rPr>
        <w:t>disposições gerais</w:t>
      </w:r>
    </w:p>
    <w:p w14:paraId="45D84D80" w14:textId="30E05CFF" w:rsidR="00A0779F" w:rsidRPr="00FC4B57"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 w:name="art1"/>
      <w:bookmarkEnd w:id="1"/>
      <w:r w:rsidRPr="00264FA8">
        <w:rPr>
          <w:rFonts w:ascii="Book Antiqua" w:eastAsia="Times New Roman" w:hAnsi="Book Antiqua" w:cs="Arial"/>
          <w:b/>
          <w:bCs/>
          <w:sz w:val="19"/>
          <w:szCs w:val="19"/>
          <w:highlight w:val="magenta"/>
          <w:lang w:eastAsia="pt-BR"/>
        </w:rPr>
        <w:t>Art. 1</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Esta Lei estabelece normas gerais e critérios básicos para a promoção da acessibilidade das pessoas portadoras de deficiência ou com mobilidade reduzida, mediante a supressão de barreiras e de obstáculos nas vias e espaços públicos, no mobiliário urbano, na construção e reforma de edifícios e nos meios de transporte e de comunicação</w:t>
      </w:r>
      <w:r w:rsidRPr="00872692">
        <w:rPr>
          <w:rFonts w:ascii="Book Antiqua" w:eastAsia="Times New Roman" w:hAnsi="Book Antiqua" w:cs="Arial"/>
          <w:sz w:val="16"/>
          <w:szCs w:val="16"/>
          <w:lang w:eastAsia="pt-BR"/>
        </w:rPr>
        <w:t>.</w:t>
      </w:r>
      <w:r w:rsidR="00353457" w:rsidRPr="00872692">
        <w:rPr>
          <w:rFonts w:ascii="Book Antiqua" w:eastAsia="Times New Roman" w:hAnsi="Book Antiqua" w:cs="Arial"/>
          <w:sz w:val="16"/>
          <w:szCs w:val="16"/>
          <w:lang w:eastAsia="pt-BR"/>
        </w:rPr>
        <w:t xml:space="preserve"> </w:t>
      </w:r>
      <w:r w:rsidR="00353457" w:rsidRPr="00872692">
        <w:rPr>
          <w:rFonts w:ascii="Book Antiqua" w:eastAsia="Times New Roman" w:hAnsi="Book Antiqua" w:cs="Times New Roman"/>
          <w:b/>
          <w:bCs/>
          <w:color w:val="FF0000"/>
          <w:sz w:val="16"/>
          <w:szCs w:val="16"/>
          <w:u w:val="single"/>
          <w:lang w:eastAsia="pt-BR"/>
        </w:rPr>
        <w:t>(MPMT-2008)</w:t>
      </w:r>
      <w:r w:rsidR="00140CE3" w:rsidRPr="00872692">
        <w:rPr>
          <w:rFonts w:ascii="Book Antiqua" w:eastAsia="Times New Roman" w:hAnsi="Book Antiqua" w:cs="Times New Roman"/>
          <w:b/>
          <w:bCs/>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r w:rsidR="00264FA8" w:rsidRPr="00872692">
        <w:rPr>
          <w:rFonts w:ascii="Book Antiqua" w:eastAsia="Times New Roman" w:hAnsi="Book Antiqua" w:cs="Times New Roman"/>
          <w:b/>
          <w:bCs/>
          <w:color w:val="FF0000"/>
          <w:sz w:val="16"/>
          <w:szCs w:val="16"/>
          <w:lang w:eastAsia="pt-BR"/>
        </w:rPr>
        <w:t xml:space="preserve"> </w:t>
      </w:r>
      <w:r w:rsidR="00264FA8" w:rsidRPr="00872692">
        <w:rPr>
          <w:rFonts w:ascii="Book Antiqua" w:eastAsia="Times New Roman" w:hAnsi="Book Antiqua" w:cs="Times New Roman"/>
          <w:b/>
          <w:bCs/>
          <w:color w:val="FF0000"/>
          <w:sz w:val="16"/>
          <w:szCs w:val="16"/>
          <w:u w:val="single"/>
          <w:lang w:eastAsia="pt-BR"/>
        </w:rPr>
        <w:t>(MPMG-2017)</w:t>
      </w:r>
      <w:r w:rsidR="00FC4B57">
        <w:rPr>
          <w:rFonts w:ascii="Book Antiqua" w:eastAsia="Times New Roman" w:hAnsi="Book Antiqua" w:cs="Times New Roman"/>
          <w:b/>
          <w:bCs/>
          <w:color w:val="FF0000"/>
          <w:sz w:val="16"/>
          <w:szCs w:val="16"/>
          <w:lang w:eastAsia="pt-BR"/>
        </w:rPr>
        <w:t xml:space="preserve"> </w:t>
      </w:r>
      <w:bookmarkStart w:id="2" w:name="_Hlk174712753"/>
      <w:r w:rsidR="00FC4B57">
        <w:rPr>
          <w:rFonts w:ascii="Book Antiqua" w:eastAsia="Times New Roman" w:hAnsi="Book Antiqua" w:cs="Times New Roman"/>
          <w:b/>
          <w:bCs/>
          <w:color w:val="FF0000"/>
          <w:sz w:val="16"/>
          <w:szCs w:val="16"/>
          <w:u w:val="single"/>
          <w:lang w:eastAsia="pt-BR"/>
        </w:rPr>
        <w:t>(TRF3-2022)</w:t>
      </w:r>
      <w:bookmarkEnd w:id="2"/>
    </w:p>
    <w:p w14:paraId="16220D1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2"/>
      <w:bookmarkEnd w:id="3"/>
      <w:r w:rsidRPr="00264FA8">
        <w:rPr>
          <w:rFonts w:ascii="Book Antiqua" w:eastAsia="Times New Roman" w:hAnsi="Book Antiqua" w:cs="Arial"/>
          <w:b/>
          <w:bCs/>
          <w:sz w:val="19"/>
          <w:szCs w:val="19"/>
          <w:highlight w:val="magenta"/>
          <w:lang w:eastAsia="pt-BR"/>
        </w:rPr>
        <w:t>Art. 2</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Para os fins desta Lei são estabelecidas as seguintes definições:</w:t>
      </w:r>
    </w:p>
    <w:p w14:paraId="73C80C0C" w14:textId="3C68C628"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 w:name="art2i"/>
      <w:bookmarkStart w:id="5" w:name="art2i."/>
      <w:bookmarkEnd w:id="4"/>
      <w:bookmarkEnd w:id="5"/>
      <w:r w:rsidRPr="006250DE">
        <w:rPr>
          <w:rFonts w:ascii="Book Antiqua" w:eastAsia="Times New Roman" w:hAnsi="Book Antiqua" w:cs="Arial"/>
          <w:b/>
          <w:bCs/>
          <w:color w:val="000000"/>
          <w:sz w:val="19"/>
          <w:szCs w:val="19"/>
          <w:lang w:eastAsia="pt-BR"/>
        </w:rPr>
        <w:t xml:space="preserve">I - </w:t>
      </w:r>
      <w:r w:rsidRPr="006250DE">
        <w:rPr>
          <w:rFonts w:ascii="Book Antiqua" w:eastAsia="Times New Roman" w:hAnsi="Book Antiqua" w:cs="Arial"/>
          <w:b/>
          <w:bCs/>
          <w:caps/>
          <w:color w:val="000000"/>
          <w:sz w:val="19"/>
          <w:szCs w:val="19"/>
          <w:shd w:val="clear" w:color="auto" w:fill="F7CAAC" w:themeFill="accent2" w:themeFillTint="66"/>
          <w:lang w:eastAsia="pt-BR"/>
        </w:rPr>
        <w:t>acessibilidade</w:t>
      </w:r>
      <w:r w:rsidRPr="006250DE">
        <w:rPr>
          <w:rFonts w:ascii="Book Antiqua" w:eastAsia="Times New Roman" w:hAnsi="Book Antiqua" w:cs="Arial"/>
          <w:b/>
          <w:bCs/>
          <w:color w:val="000000"/>
          <w:sz w:val="19"/>
          <w:szCs w:val="19"/>
          <w:lang w:eastAsia="pt-BR"/>
        </w:rPr>
        <w:t xml:space="preserv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w:t>
      </w:r>
      <w:r w:rsidRPr="006250DE">
        <w:rPr>
          <w:rFonts w:ascii="Book Antiqua" w:eastAsia="Times New Roman" w:hAnsi="Book Antiqua" w:cs="Arial"/>
          <w:b/>
          <w:bCs/>
          <w:color w:val="000000"/>
          <w:sz w:val="19"/>
          <w:szCs w:val="19"/>
          <w:highlight w:val="yellow"/>
          <w:lang w:eastAsia="pt-BR"/>
        </w:rPr>
        <w:t>de uso coletivo</w:t>
      </w:r>
      <w:r w:rsidRPr="006250DE">
        <w:rPr>
          <w:rFonts w:ascii="Book Antiqua" w:eastAsia="Times New Roman" w:hAnsi="Book Antiqua" w:cs="Arial"/>
          <w:b/>
          <w:bCs/>
          <w:color w:val="000000"/>
          <w:sz w:val="19"/>
          <w:szCs w:val="19"/>
          <w:lang w:eastAsia="pt-BR"/>
        </w:rPr>
        <w:t>, tanto na zona urbana como na rural, por pessoa com deficiência ou com mobilidade reduzida</w:t>
      </w:r>
      <w:r w:rsidRPr="00872692">
        <w:rPr>
          <w:rFonts w:ascii="Book Antiqua" w:eastAsia="Times New Roman" w:hAnsi="Book Antiqua" w:cs="Arial"/>
          <w:color w:val="000000"/>
          <w:sz w:val="18"/>
          <w:szCs w:val="18"/>
          <w:lang w:eastAsia="pt-BR"/>
        </w:rPr>
        <w:t>; </w:t>
      </w:r>
      <w:hyperlink r:id="rId7"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264FA8" w:rsidRPr="00872692">
        <w:rPr>
          <w:rFonts w:ascii="Book Antiqua" w:eastAsia="Times New Roman" w:hAnsi="Book Antiqua" w:cs="Arial"/>
          <w:color w:val="0000FF"/>
          <w:sz w:val="16"/>
          <w:szCs w:val="16"/>
          <w:lang w:eastAsia="pt-BR"/>
        </w:rPr>
        <w:t xml:space="preserve"> </w:t>
      </w:r>
      <w:r w:rsidR="00264FA8" w:rsidRPr="00872692">
        <w:rPr>
          <w:rFonts w:ascii="Book Antiqua" w:eastAsia="Times New Roman" w:hAnsi="Book Antiqua" w:cs="Times New Roman"/>
          <w:b/>
          <w:bCs/>
          <w:color w:val="FF0000"/>
          <w:sz w:val="16"/>
          <w:szCs w:val="16"/>
          <w:u w:val="single"/>
          <w:lang w:eastAsia="pt-BR"/>
        </w:rPr>
        <w:t>(MPMG-2017)</w:t>
      </w:r>
    </w:p>
    <w:p w14:paraId="5C830D49" w14:textId="70873FA9"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II - barreiras: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r w:rsidRPr="006250DE">
        <w:rPr>
          <w:rFonts w:ascii="Book Antiqua" w:eastAsia="Times New Roman" w:hAnsi="Book Antiqua" w:cs="Arial"/>
          <w:color w:val="000000"/>
          <w:sz w:val="18"/>
          <w:szCs w:val="18"/>
          <w:lang w:eastAsia="pt-BR"/>
        </w:rPr>
        <w:t xml:space="preserve">: </w:t>
      </w:r>
      <w:hyperlink r:id="rId8"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2AA19D23" w14:textId="4741731E"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a) barreiras urbanísticas: as existentes nas vias e nos espaços públicos e privados abertos ao público ou de uso coletivo</w:t>
      </w:r>
      <w:r w:rsidRPr="00872692">
        <w:rPr>
          <w:rFonts w:ascii="Book Antiqua" w:eastAsia="Times New Roman" w:hAnsi="Book Antiqua" w:cs="Arial"/>
          <w:color w:val="000000"/>
          <w:sz w:val="16"/>
          <w:szCs w:val="16"/>
          <w:lang w:eastAsia="pt-BR"/>
        </w:rPr>
        <w:t>;</w:t>
      </w:r>
      <w:r w:rsidR="00E1688A" w:rsidRPr="00872692">
        <w:rPr>
          <w:rFonts w:ascii="Book Antiqua" w:eastAsia="Times New Roman" w:hAnsi="Book Antiqua" w:cs="Arial"/>
          <w:color w:val="000000"/>
          <w:sz w:val="16"/>
          <w:szCs w:val="16"/>
          <w:lang w:eastAsia="pt-BR"/>
        </w:rPr>
        <w:t xml:space="preserve"> </w:t>
      </w:r>
      <w:r w:rsidRPr="00872692">
        <w:rPr>
          <w:rFonts w:ascii="Book Antiqua" w:eastAsia="Times New Roman" w:hAnsi="Book Antiqua" w:cs="Arial"/>
          <w:sz w:val="16"/>
          <w:szCs w:val="16"/>
          <w:lang w:eastAsia="pt-BR"/>
        </w:rPr>
        <w:t> </w:t>
      </w:r>
      <w:hyperlink r:id="rId9"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E1688A" w:rsidRPr="00872692">
        <w:rPr>
          <w:rFonts w:ascii="Book Antiqua" w:eastAsia="Times New Roman" w:hAnsi="Book Antiqua" w:cs="Arial"/>
          <w:sz w:val="16"/>
          <w:szCs w:val="16"/>
          <w:lang w:eastAsia="pt-BR"/>
        </w:rPr>
        <w:t xml:space="preserve"> </w:t>
      </w:r>
    </w:p>
    <w:p w14:paraId="1516059C" w14:textId="41869920"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b) barreiras arquitetônicas: as existentes nos edifícios públicos e privados</w:t>
      </w:r>
      <w:r w:rsidRPr="00872692">
        <w:rPr>
          <w:rFonts w:ascii="Book Antiqua" w:eastAsia="Times New Roman" w:hAnsi="Book Antiqua" w:cs="Arial"/>
          <w:color w:val="000000"/>
          <w:sz w:val="16"/>
          <w:szCs w:val="16"/>
          <w:lang w:eastAsia="pt-BR"/>
        </w:rPr>
        <w:t xml:space="preserve">; </w:t>
      </w:r>
      <w:hyperlink r:id="rId10"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08E1E680" w14:textId="2206E847"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lastRenderedPageBreak/>
        <w:t>c) barreiras nos transportes: as existentes nos sistemas e meios de transportes</w:t>
      </w:r>
      <w:r w:rsidRPr="00872692">
        <w:rPr>
          <w:rFonts w:ascii="Book Antiqua" w:eastAsia="Times New Roman" w:hAnsi="Book Antiqua" w:cs="Arial"/>
          <w:color w:val="000000"/>
          <w:sz w:val="16"/>
          <w:szCs w:val="16"/>
          <w:lang w:eastAsia="pt-BR"/>
        </w:rPr>
        <w:t xml:space="preserve">; </w:t>
      </w:r>
      <w:hyperlink r:id="rId11"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5D547226" w14:textId="240680A6"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d) barreiras nas comunicações e na informação: qualquer entrave, obstáculo, atitude ou comportamento que dificulte ou impossibilite a expressão ou o recebimento de mensagens e de informações por intermédio de sistemas de comunicação e de tecnologia da informação</w:t>
      </w:r>
      <w:r w:rsidRPr="00872692">
        <w:rPr>
          <w:rFonts w:ascii="Book Antiqua" w:eastAsia="Times New Roman" w:hAnsi="Book Antiqua" w:cs="Arial"/>
          <w:color w:val="000000"/>
          <w:sz w:val="16"/>
          <w:szCs w:val="16"/>
          <w:lang w:eastAsia="pt-BR"/>
        </w:rPr>
        <w:t xml:space="preserve">; </w:t>
      </w:r>
      <w:hyperlink r:id="rId12"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0BABF7BF" w14:textId="0F200BD4"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III -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sidRPr="00872692">
        <w:rPr>
          <w:rFonts w:ascii="Book Antiqua" w:eastAsia="Times New Roman" w:hAnsi="Book Antiqua" w:cs="Arial"/>
          <w:color w:val="000000"/>
          <w:sz w:val="16"/>
          <w:szCs w:val="16"/>
          <w:lang w:eastAsia="pt-BR"/>
        </w:rPr>
        <w:t>;</w:t>
      </w:r>
      <w:r w:rsidRPr="00872692">
        <w:rPr>
          <w:rFonts w:ascii="Book Antiqua" w:eastAsia="Times New Roman" w:hAnsi="Book Antiqua" w:cs="Arial"/>
          <w:sz w:val="16"/>
          <w:szCs w:val="16"/>
          <w:lang w:eastAsia="pt-BR"/>
        </w:rPr>
        <w:t>  </w:t>
      </w:r>
      <w:hyperlink r:id="rId13"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p>
    <w:p w14:paraId="5F4C08FE" w14:textId="04136B05"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IV - pessoa com mobilidade reduzida: aquela que tenha, por qualquer motivo, dificuldade de movimentação, permanente ou temporária, gerando redução efetiva da mobilidade, da flexibilidade, da coordenação motora ou da percepção, incluindo idoso, gestante, lactante, pessoa com criança de colo e obeso</w:t>
      </w:r>
      <w:r w:rsidRPr="00872692">
        <w:rPr>
          <w:rFonts w:ascii="Book Antiqua" w:eastAsia="Times New Roman" w:hAnsi="Book Antiqua" w:cs="Arial"/>
          <w:color w:val="000000"/>
          <w:sz w:val="16"/>
          <w:szCs w:val="16"/>
          <w:lang w:eastAsia="pt-BR"/>
        </w:rPr>
        <w:t xml:space="preserve">;     </w:t>
      </w:r>
      <w:hyperlink r:id="rId14"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p>
    <w:p w14:paraId="0301D15E" w14:textId="318B0C4C"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 - acompanhante: aquele que acompanha a pessoa com deficiência, podendo ou não desempenhar as funções de atendente pessoal</w:t>
      </w:r>
      <w:r w:rsidRPr="00872692">
        <w:rPr>
          <w:rFonts w:ascii="Book Antiqua" w:eastAsia="Times New Roman" w:hAnsi="Book Antiqua" w:cs="Arial"/>
          <w:color w:val="000000"/>
          <w:sz w:val="18"/>
          <w:szCs w:val="18"/>
          <w:lang w:eastAsia="pt-BR"/>
        </w:rPr>
        <w:t>; </w:t>
      </w:r>
      <w:hyperlink r:id="rId15"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E1688A" w:rsidRPr="00872692">
        <w:rPr>
          <w:rFonts w:ascii="Book Antiqua" w:eastAsia="Times New Roman" w:hAnsi="Book Antiqua" w:cs="Arial"/>
          <w:sz w:val="16"/>
          <w:szCs w:val="16"/>
          <w:lang w:eastAsia="pt-BR"/>
        </w:rPr>
        <w:t xml:space="preserve"> </w:t>
      </w:r>
    </w:p>
    <w:p w14:paraId="77C9B57F" w14:textId="6A991E2E"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 - elemento de urbanização: quaisquer componentes de obras de urbanização, tais como os referentes a pavimentação, saneamento, encanamento para esgotos, distribuição de energia elétrica e de gás, iluminação pública, serviços de comunicação, abastecimento e distribuição de água, paisagismo e os que materializam as indicações do planejamento urbanístico</w:t>
      </w:r>
      <w:r w:rsidRPr="00872692">
        <w:rPr>
          <w:rFonts w:ascii="Book Antiqua" w:eastAsia="Times New Roman" w:hAnsi="Book Antiqua" w:cs="Arial"/>
          <w:color w:val="000000"/>
          <w:sz w:val="16"/>
          <w:szCs w:val="16"/>
          <w:lang w:eastAsia="pt-BR"/>
        </w:rPr>
        <w:t>; </w:t>
      </w:r>
      <w:hyperlink r:id="rId16"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1044CBBE" w14:textId="6B8510F3"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VII - mobiliário urbano: conjunto de objetos existentes nas vias e nos espaços públicos, superpostos ou adicionados aos elementos de urbanização ou de edificação, de forma que sua modificação ou seu traslado não provoque alterações substanciais nesses elementos, tais como semáforos, postes de sinalização e similares, terminais e pontos de acesso coletivo às telecomunicações, fontes de água, lixeiras, toldos, marquises, bancos, quiosques e quaisquer outros de natureza análoga</w:t>
      </w:r>
      <w:r w:rsidRPr="00872692">
        <w:rPr>
          <w:rFonts w:ascii="Book Antiqua" w:eastAsia="Times New Roman" w:hAnsi="Book Antiqua" w:cs="Arial"/>
          <w:color w:val="000000"/>
          <w:sz w:val="16"/>
          <w:szCs w:val="16"/>
          <w:lang w:eastAsia="pt-BR"/>
        </w:rPr>
        <w:t>;</w:t>
      </w:r>
      <w:r w:rsidR="006250DE" w:rsidRPr="00872692">
        <w:rPr>
          <w:rFonts w:ascii="Book Antiqua" w:eastAsia="Times New Roman" w:hAnsi="Book Antiqua" w:cs="Arial"/>
          <w:color w:val="000000"/>
          <w:sz w:val="16"/>
          <w:szCs w:val="16"/>
          <w:lang w:eastAsia="pt-BR"/>
        </w:rPr>
        <w:t xml:space="preserve"> </w:t>
      </w:r>
      <w:hyperlink r:id="rId17"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3A48F324" w14:textId="6F2A2D24"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VIII - tecnologia assistiva ou ajuda técnica: produtos, equipamentos, dispositivos, recursos, metodologias, estratégias, práticas e serviços que objetivem promover a funcionalidade, relacionada à atividade e à participação da pessoa com deficiência ou com mobilidade reduzida, visando à sua autonomia, independência, qualidade de vida e inclusão social</w:t>
      </w:r>
      <w:r w:rsidRPr="00872692">
        <w:rPr>
          <w:rFonts w:ascii="Book Antiqua" w:eastAsia="Times New Roman" w:hAnsi="Book Antiqua" w:cs="Arial"/>
          <w:color w:val="000000"/>
          <w:sz w:val="16"/>
          <w:szCs w:val="16"/>
          <w:lang w:eastAsia="pt-BR"/>
        </w:rPr>
        <w:t xml:space="preserve">;   </w:t>
      </w:r>
      <w:hyperlink r:id="rId18"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1BA491FC" w14:textId="27ADBDD7"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64FA8">
        <w:rPr>
          <w:rFonts w:ascii="Book Antiqua" w:eastAsia="Times New Roman" w:hAnsi="Book Antiqua" w:cs="Arial"/>
          <w:color w:val="000000"/>
          <w:sz w:val="19"/>
          <w:szCs w:val="19"/>
          <w:lang w:eastAsia="pt-BR"/>
        </w:rPr>
        <w:t>IX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w:t>
      </w:r>
      <w:r w:rsidRPr="00872692">
        <w:rPr>
          <w:rFonts w:ascii="Book Antiqua" w:eastAsia="Times New Roman" w:hAnsi="Book Antiqua" w:cs="Arial"/>
          <w:color w:val="000000"/>
          <w:sz w:val="16"/>
          <w:szCs w:val="16"/>
          <w:lang w:eastAsia="pt-BR"/>
        </w:rPr>
        <w:t xml:space="preserve">;      </w:t>
      </w:r>
      <w:hyperlink r:id="rId19"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13812539" w14:textId="33578350" w:rsidR="00A0779F"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X - desenho universal: concepção de produtos, ambientes, programas e serviços a serem usados por todas as pessoas, sem necessidade de adaptação ou de projeto específico, incluindo os recursos de tecnologia assistiva</w:t>
      </w:r>
      <w:r w:rsidRPr="00872692">
        <w:rPr>
          <w:rFonts w:ascii="Book Antiqua" w:eastAsia="Times New Roman" w:hAnsi="Book Antiqua" w:cs="Arial"/>
          <w:color w:val="000000"/>
          <w:sz w:val="16"/>
          <w:szCs w:val="16"/>
          <w:lang w:eastAsia="pt-BR"/>
        </w:rPr>
        <w:t xml:space="preserve">.   </w:t>
      </w:r>
      <w:hyperlink r:id="rId20"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14C9857A" w14:textId="77777777" w:rsidR="00CB1CBB" w:rsidRPr="00CB1CBB" w:rsidRDefault="00CB1CBB" w:rsidP="00CB1CBB">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r w:rsidRPr="00CB1CBB">
        <w:rPr>
          <w:rFonts w:ascii="Book Antiqua" w:eastAsia="Times New Roman" w:hAnsi="Book Antiqua" w:cs="Arial"/>
          <w:color w:val="000000"/>
          <w:sz w:val="19"/>
          <w:szCs w:val="19"/>
          <w:lang w:eastAsia="pt-BR"/>
        </w:rPr>
        <w:t>XI – pessoa com necessidades complexas de comunicação: aquela que, por qualquer motivo, tem dificuldades significativas para compreender ou expressar mensagens de forma oral, escrita, gestual ou por meio de outras formas convencionais de comunicação, necessitando de recursos e estratégias alternativas ou aumentativas para viabilizar a interação social, o acesso à informação e a participação em atividades da vida cotidiana.    </w:t>
      </w:r>
      <w:hyperlink r:id="rId21" w:anchor="art2" w:history="1">
        <w:r w:rsidRPr="00CB1CBB">
          <w:rPr>
            <w:rStyle w:val="Hyperlink"/>
            <w:rFonts w:ascii="Book Antiqua" w:eastAsia="Times New Roman" w:hAnsi="Book Antiqua" w:cs="Arial"/>
            <w:color w:val="3333FF"/>
            <w:sz w:val="16"/>
            <w:szCs w:val="16"/>
            <w:lang w:eastAsia="pt-BR"/>
          </w:rPr>
          <w:t>(Incluído pela Lei nº 15.249, de 2025)</w:t>
        </w:r>
      </w:hyperlink>
    </w:p>
    <w:p w14:paraId="5C7DC9C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II</w:t>
      </w:r>
    </w:p>
    <w:p w14:paraId="60B2E1D5"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DOS ELEMENTOS DA URBANIZAÇÃO</w:t>
      </w:r>
    </w:p>
    <w:p w14:paraId="000E9781" w14:textId="13580C51"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6" w:name="art3"/>
      <w:bookmarkStart w:id="7" w:name="art3."/>
      <w:bookmarkEnd w:id="6"/>
      <w:bookmarkEnd w:id="7"/>
      <w:r w:rsidRPr="00264FA8">
        <w:rPr>
          <w:rFonts w:ascii="Book Antiqua" w:eastAsia="Times New Roman" w:hAnsi="Book Antiqua" w:cs="Arial"/>
          <w:color w:val="000000"/>
          <w:sz w:val="19"/>
          <w:szCs w:val="19"/>
          <w:lang w:eastAsia="pt-BR"/>
        </w:rPr>
        <w:t>Art. 3</w:t>
      </w:r>
      <w:r w:rsidRPr="00264FA8">
        <w:rPr>
          <w:rFonts w:ascii="Book Antiqua" w:eastAsia="Times New Roman" w:hAnsi="Book Antiqua" w:cs="Arial"/>
          <w:color w:val="000000"/>
          <w:sz w:val="19"/>
          <w:szCs w:val="19"/>
          <w:u w:val="single"/>
          <w:vertAlign w:val="superscript"/>
          <w:lang w:eastAsia="pt-BR"/>
        </w:rPr>
        <w:t>o</w:t>
      </w:r>
      <w:r w:rsidRPr="00264FA8">
        <w:rPr>
          <w:rFonts w:ascii="Book Antiqua" w:eastAsia="Times New Roman" w:hAnsi="Book Antiqua" w:cs="Arial"/>
          <w:color w:val="000000"/>
          <w:sz w:val="19"/>
          <w:szCs w:val="19"/>
          <w:lang w:eastAsia="pt-BR"/>
        </w:rPr>
        <w:t xml:space="preserve">  O planejamento e a urbanização das vias públicas, dos parques e dos demais espaços de uso público deverão ser concebidos e executados de forma a torná-los acessíveis para todas as pessoas, </w:t>
      </w:r>
      <w:r w:rsidRPr="00264FA8">
        <w:rPr>
          <w:rFonts w:ascii="Book Antiqua" w:eastAsia="Times New Roman" w:hAnsi="Book Antiqua" w:cs="Arial"/>
          <w:color w:val="000000"/>
          <w:sz w:val="19"/>
          <w:szCs w:val="19"/>
          <w:lang w:eastAsia="pt-BR"/>
        </w:rPr>
        <w:lastRenderedPageBreak/>
        <w:t>inclusive para aquelas com deficiência ou com mobilidade reduzida</w:t>
      </w:r>
      <w:r w:rsidRPr="00872692">
        <w:rPr>
          <w:rFonts w:ascii="Book Antiqua" w:eastAsia="Times New Roman" w:hAnsi="Book Antiqua" w:cs="Arial"/>
          <w:color w:val="000000"/>
          <w:sz w:val="16"/>
          <w:szCs w:val="16"/>
          <w:lang w:eastAsia="pt-BR"/>
        </w:rPr>
        <w:t>. </w:t>
      </w:r>
      <w:hyperlink r:id="rId22"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4AD6E510" w14:textId="78D301EB"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Parágrafo único.  O passeio público, elemento obrigatório de urbanização e parte da via pública, normalmente segregado e em nível diferente, destina-se somente à circulação de pedestres e, quando possível, à implantação de mobiliário urbano e de vegetação</w:t>
      </w:r>
      <w:r w:rsidRPr="00872692">
        <w:rPr>
          <w:rFonts w:ascii="Book Antiqua" w:eastAsia="Times New Roman" w:hAnsi="Book Antiqua" w:cs="Arial"/>
          <w:color w:val="000000"/>
          <w:sz w:val="16"/>
          <w:szCs w:val="16"/>
          <w:lang w:eastAsia="pt-BR"/>
        </w:rPr>
        <w:t xml:space="preserve">.    </w:t>
      </w:r>
      <w:hyperlink r:id="rId23"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311E6F4E" w14:textId="3DDDAFEA"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8" w:name="art4"/>
      <w:bookmarkEnd w:id="8"/>
      <w:r w:rsidRPr="00264FA8">
        <w:rPr>
          <w:rFonts w:ascii="Book Antiqua" w:eastAsia="Times New Roman" w:hAnsi="Book Antiqua" w:cs="Arial"/>
          <w:b/>
          <w:sz w:val="19"/>
          <w:szCs w:val="19"/>
          <w:highlight w:val="magenta"/>
          <w:lang w:eastAsia="pt-BR"/>
        </w:rPr>
        <w:t>Art. 4</w:t>
      </w:r>
      <w:r w:rsidRPr="00264FA8">
        <w:rPr>
          <w:rFonts w:ascii="Book Antiqua" w:eastAsia="Times New Roman" w:hAnsi="Book Antiqua" w:cs="Arial"/>
          <w:b/>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As vias públicas, os parques e os demais espaços de uso público existentes, assim como as respectivas instalações de serviços e mobiliários urbanos deverão ser adaptados, obedecendo-se ordem de prioridade que vise à maior eficiência das modificações, no sentido de promover mais ampla acessibilidade às pessoas portadoras de deficiência ou com mobilidade reduzida</w:t>
      </w:r>
      <w:r w:rsidRPr="00872692">
        <w:rPr>
          <w:rFonts w:ascii="Book Antiqua" w:eastAsia="Times New Roman" w:hAnsi="Book Antiqua" w:cs="Arial"/>
          <w:b/>
          <w:bCs/>
          <w:sz w:val="16"/>
          <w:szCs w:val="16"/>
          <w:lang w:eastAsia="pt-BR"/>
        </w:rPr>
        <w:t>.</w:t>
      </w:r>
      <w:r w:rsidR="00702F4D" w:rsidRPr="00872692">
        <w:rPr>
          <w:rFonts w:ascii="Book Antiqua" w:eastAsia="Times New Roman" w:hAnsi="Book Antiqua" w:cs="Arial"/>
          <w:sz w:val="16"/>
          <w:szCs w:val="16"/>
          <w:lang w:eastAsia="pt-BR"/>
        </w:rPr>
        <w:t xml:space="preserve"> </w:t>
      </w:r>
      <w:r w:rsidR="00702F4D" w:rsidRPr="00872692">
        <w:rPr>
          <w:rFonts w:ascii="Book Antiqua" w:eastAsia="Times New Roman" w:hAnsi="Book Antiqua" w:cs="Times New Roman"/>
          <w:b/>
          <w:bCs/>
          <w:color w:val="FF0000"/>
          <w:sz w:val="16"/>
          <w:szCs w:val="16"/>
          <w:u w:val="single"/>
          <w:lang w:eastAsia="pt-BR"/>
        </w:rPr>
        <w:t>(MPRR-2008)</w:t>
      </w:r>
      <w:r w:rsidR="00A94121" w:rsidRPr="00872692">
        <w:rPr>
          <w:rFonts w:ascii="Book Antiqua" w:eastAsia="Times New Roman" w:hAnsi="Book Antiqua" w:cs="Times New Roman"/>
          <w:b/>
          <w:bCs/>
          <w:color w:val="FF0000"/>
          <w:sz w:val="16"/>
          <w:szCs w:val="16"/>
          <w:lang w:eastAsia="pt-BR"/>
        </w:rPr>
        <w:t xml:space="preserve"> </w:t>
      </w:r>
      <w:r w:rsidR="00A94121" w:rsidRPr="00872692">
        <w:rPr>
          <w:rFonts w:ascii="Book Antiqua" w:eastAsia="Times New Roman" w:hAnsi="Book Antiqua" w:cs="Times New Roman"/>
          <w:b/>
          <w:color w:val="FF0000"/>
          <w:sz w:val="16"/>
          <w:szCs w:val="16"/>
          <w:u w:val="single"/>
          <w:lang w:eastAsia="pt-BR"/>
        </w:rPr>
        <w:t>(MPBA-2010)</w:t>
      </w:r>
      <w:r w:rsidR="00140CE3" w:rsidRPr="00872692">
        <w:rPr>
          <w:rFonts w:ascii="Book Antiqua" w:eastAsia="Times New Roman" w:hAnsi="Book Antiqua" w:cs="Times New Roman"/>
          <w:b/>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r w:rsidR="008C2B5D" w:rsidRPr="00872692">
        <w:rPr>
          <w:rFonts w:ascii="Book Antiqua" w:eastAsia="Times New Roman" w:hAnsi="Book Antiqua" w:cs="Times New Roman"/>
          <w:b/>
          <w:color w:val="FF0000"/>
          <w:sz w:val="16"/>
          <w:szCs w:val="16"/>
          <w:lang w:eastAsia="pt-BR"/>
        </w:rPr>
        <w:t xml:space="preserve"> </w:t>
      </w:r>
      <w:r w:rsidR="008C2B5D" w:rsidRPr="00872692">
        <w:rPr>
          <w:rFonts w:ascii="Book Antiqua" w:eastAsia="Times New Roman" w:hAnsi="Book Antiqua" w:cs="Times New Roman"/>
          <w:b/>
          <w:bCs/>
          <w:color w:val="FF0000"/>
          <w:sz w:val="16"/>
          <w:szCs w:val="16"/>
          <w:u w:val="single"/>
          <w:lang w:eastAsia="pt-BR"/>
        </w:rPr>
        <w:t>(MPRO-2013)</w:t>
      </w:r>
      <w:r w:rsidR="006C1040" w:rsidRPr="00872692">
        <w:rPr>
          <w:rFonts w:ascii="Book Antiqua" w:eastAsia="Times New Roman" w:hAnsi="Book Antiqua" w:cs="Arial"/>
          <w:sz w:val="16"/>
          <w:szCs w:val="16"/>
          <w:lang w:eastAsia="pt-BR"/>
        </w:rPr>
        <w:t xml:space="preserve"> </w:t>
      </w:r>
      <w:r w:rsidR="006C1040" w:rsidRPr="00872692">
        <w:rPr>
          <w:rFonts w:ascii="Book Antiqua" w:eastAsia="Times New Roman" w:hAnsi="Book Antiqua" w:cs="Arial"/>
          <w:b/>
          <w:color w:val="FF0000"/>
          <w:sz w:val="16"/>
          <w:szCs w:val="16"/>
          <w:u w:val="single"/>
          <w:lang w:eastAsia="pt-BR"/>
        </w:rPr>
        <w:t>(MPSC-</w:t>
      </w:r>
      <w:r w:rsidR="005E0D19" w:rsidRPr="00872692">
        <w:rPr>
          <w:rFonts w:ascii="Book Antiqua" w:eastAsia="Times New Roman" w:hAnsi="Book Antiqua" w:cs="Arial"/>
          <w:b/>
          <w:color w:val="FF0000"/>
          <w:sz w:val="16"/>
          <w:szCs w:val="16"/>
          <w:u w:val="single"/>
          <w:lang w:eastAsia="pt-BR"/>
        </w:rPr>
        <w:t>2012/</w:t>
      </w:r>
      <w:r w:rsidR="006C1040" w:rsidRPr="00872692">
        <w:rPr>
          <w:rFonts w:ascii="Book Antiqua" w:eastAsia="Times New Roman" w:hAnsi="Book Antiqua" w:cs="Arial"/>
          <w:b/>
          <w:color w:val="FF0000"/>
          <w:sz w:val="16"/>
          <w:szCs w:val="16"/>
          <w:u w:val="single"/>
          <w:lang w:eastAsia="pt-BR"/>
        </w:rPr>
        <w:t>2014)</w:t>
      </w:r>
      <w:r w:rsidR="00C530C0" w:rsidRPr="00872692">
        <w:rPr>
          <w:rFonts w:ascii="Book Antiqua" w:eastAsia="Times New Roman" w:hAnsi="Book Antiqua" w:cs="Arial"/>
          <w:b/>
          <w:color w:val="FF0000"/>
          <w:sz w:val="16"/>
          <w:szCs w:val="16"/>
          <w:lang w:eastAsia="pt-BR"/>
        </w:rPr>
        <w:t xml:space="preserve"> </w:t>
      </w:r>
      <w:bookmarkStart w:id="9" w:name="_Hlk72163765"/>
      <w:r w:rsidR="00C530C0" w:rsidRPr="00872692">
        <w:rPr>
          <w:rFonts w:ascii="Book Antiqua" w:eastAsia="Times New Roman" w:hAnsi="Book Antiqua" w:cs="Arial"/>
          <w:b/>
          <w:color w:val="FF0000"/>
          <w:sz w:val="16"/>
          <w:szCs w:val="16"/>
          <w:u w:val="single"/>
          <w:lang w:eastAsia="pt-BR"/>
        </w:rPr>
        <w:t>(MPGO-2014)</w:t>
      </w:r>
      <w:bookmarkEnd w:id="9"/>
    </w:p>
    <w:p w14:paraId="7097016C" w14:textId="676973AF"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10" w:name="art4§p"/>
      <w:bookmarkStart w:id="11" w:name="art4p."/>
      <w:bookmarkEnd w:id="10"/>
      <w:bookmarkEnd w:id="11"/>
      <w:r w:rsidRPr="00264FA8">
        <w:rPr>
          <w:rFonts w:ascii="Book Antiqua" w:eastAsia="Times New Roman" w:hAnsi="Book Antiqua" w:cs="Arial"/>
          <w:b/>
          <w:color w:val="000000"/>
          <w:sz w:val="19"/>
          <w:szCs w:val="19"/>
          <w:highlight w:val="magenta"/>
          <w:lang w:eastAsia="pt-BR"/>
        </w:rPr>
        <w:t>Parágrafo único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color w:val="000000"/>
          <w:sz w:val="19"/>
          <w:szCs w:val="19"/>
          <w:highlight w:val="cyan"/>
          <w:lang w:eastAsia="pt-BR"/>
        </w:rPr>
        <w:t>No mínimo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color w:val="000000"/>
          <w:sz w:val="19"/>
          <w:szCs w:val="19"/>
          <w:shd w:val="clear" w:color="auto" w:fill="F7CAAC" w:themeFill="accent2" w:themeFillTint="66"/>
          <w:lang w:eastAsia="pt-BR"/>
        </w:rPr>
        <w:t>5% (cinco por cento)</w:t>
      </w:r>
      <w:r w:rsidRPr="00264FA8">
        <w:rPr>
          <w:rFonts w:ascii="Book Antiqua" w:eastAsia="Times New Roman" w:hAnsi="Book Antiqua" w:cs="Arial"/>
          <w:color w:val="000000"/>
          <w:sz w:val="19"/>
          <w:szCs w:val="19"/>
          <w:lang w:eastAsia="pt-BR"/>
        </w:rPr>
        <w:t xml:space="preserve"> de cada brinquedo e equipamento de lazer existentes nos locais referidos no </w:t>
      </w:r>
      <w:r w:rsidRPr="00264FA8">
        <w:rPr>
          <w:rFonts w:ascii="Book Antiqua" w:eastAsia="Times New Roman" w:hAnsi="Book Antiqua" w:cs="Arial"/>
          <w:b/>
          <w:bCs/>
          <w:color w:val="000000"/>
          <w:sz w:val="19"/>
          <w:szCs w:val="19"/>
          <w:lang w:eastAsia="pt-BR"/>
        </w:rPr>
        <w:t xml:space="preserve">caput </w:t>
      </w:r>
      <w:r w:rsidRPr="00264FA8">
        <w:rPr>
          <w:rFonts w:ascii="Book Antiqua" w:eastAsia="Times New Roman" w:hAnsi="Book Antiqua" w:cs="Arial"/>
          <w:color w:val="000000"/>
          <w:sz w:val="19"/>
          <w:szCs w:val="19"/>
          <w:lang w:eastAsia="pt-BR"/>
        </w:rPr>
        <w:t>devem ser adaptados e identificados, tanto quanto tecnicamente possível, para possibilitar sua utilização por pessoas com deficiência, inclusive visual, ou com mobilidade reduzida</w:t>
      </w:r>
      <w:r w:rsidRPr="00872692">
        <w:rPr>
          <w:rFonts w:ascii="Book Antiqua" w:eastAsia="Times New Roman" w:hAnsi="Book Antiqua" w:cs="Arial"/>
          <w:color w:val="000000"/>
          <w:sz w:val="16"/>
          <w:szCs w:val="16"/>
          <w:lang w:eastAsia="pt-BR"/>
        </w:rPr>
        <w:t xml:space="preserve">. </w:t>
      </w:r>
      <w:hyperlink r:id="rId24" w:anchor="art1" w:history="1">
        <w:r w:rsidRPr="00872692">
          <w:rPr>
            <w:rFonts w:ascii="Book Antiqua" w:eastAsia="Times New Roman" w:hAnsi="Book Antiqua" w:cs="Arial"/>
            <w:color w:val="0000FF"/>
            <w:sz w:val="16"/>
            <w:szCs w:val="16"/>
            <w:u w:val="single"/>
            <w:lang w:eastAsia="pt-BR"/>
          </w:rPr>
          <w:t>(Redação dada pela Lei nº 13.443, de 2017)</w:t>
        </w:r>
      </w:hyperlink>
      <w:r w:rsidR="00E1688A" w:rsidRPr="00872692">
        <w:rPr>
          <w:rFonts w:ascii="Book Antiqua" w:eastAsia="Times New Roman" w:hAnsi="Book Antiqua" w:cs="Times New Roman"/>
          <w:sz w:val="16"/>
          <w:szCs w:val="16"/>
          <w:lang w:eastAsia="pt-BR"/>
        </w:rPr>
        <w:t xml:space="preserve"> </w:t>
      </w:r>
    </w:p>
    <w:p w14:paraId="6C1E8B63" w14:textId="62243F9F"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2" w:name="art5"/>
      <w:bookmarkEnd w:id="12"/>
      <w:r w:rsidRPr="00264FA8">
        <w:rPr>
          <w:rFonts w:ascii="Book Antiqua" w:eastAsia="Times New Roman" w:hAnsi="Book Antiqua" w:cs="Arial"/>
          <w:b/>
          <w:bCs/>
          <w:sz w:val="19"/>
          <w:szCs w:val="19"/>
          <w:highlight w:val="magenta"/>
          <w:lang w:eastAsia="pt-BR"/>
        </w:rPr>
        <w:t>Art. 5</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 xml:space="preserve">O projeto e o traçado dos elementos de urbanização públicos e privados de uso comunitário, nestes compreendidos os itinerários e as passagens de pedestres, os percursos de entrada e de saída de veículos, as escadas e </w:t>
      </w:r>
      <w:r w:rsidRPr="006250DE">
        <w:rPr>
          <w:rFonts w:ascii="Book Antiqua" w:eastAsia="Times New Roman" w:hAnsi="Book Antiqua" w:cs="Arial"/>
          <w:b/>
          <w:bCs/>
          <w:sz w:val="19"/>
          <w:szCs w:val="19"/>
          <w:highlight w:val="cyan"/>
          <w:lang w:eastAsia="pt-BR"/>
        </w:rPr>
        <w:t>rampas</w:t>
      </w:r>
      <w:r w:rsidRPr="006250DE">
        <w:rPr>
          <w:rFonts w:ascii="Book Antiqua" w:eastAsia="Times New Roman" w:hAnsi="Book Antiqua" w:cs="Arial"/>
          <w:b/>
          <w:bCs/>
          <w:sz w:val="19"/>
          <w:szCs w:val="19"/>
          <w:lang w:eastAsia="pt-BR"/>
        </w:rPr>
        <w:t>, deverão observar os parâmetros estabelecidos pelas normas técnicas de acessibilidade da Associação Brasileira de Normas Técnicas – ABNT</w:t>
      </w:r>
      <w:r w:rsidRPr="00872692">
        <w:rPr>
          <w:rFonts w:ascii="Book Antiqua" w:eastAsia="Times New Roman" w:hAnsi="Book Antiqua" w:cs="Arial"/>
          <w:b/>
          <w:bCs/>
          <w:sz w:val="16"/>
          <w:szCs w:val="16"/>
          <w:lang w:eastAsia="pt-BR"/>
        </w:rPr>
        <w:t>.</w:t>
      </w:r>
      <w:r w:rsidR="000A3BDA" w:rsidRPr="00872692">
        <w:rPr>
          <w:rFonts w:ascii="Book Antiqua" w:eastAsia="Times New Roman" w:hAnsi="Book Antiqua" w:cs="Arial"/>
          <w:b/>
          <w:bCs/>
          <w:sz w:val="16"/>
          <w:szCs w:val="16"/>
          <w:lang w:eastAsia="pt-BR"/>
        </w:rPr>
        <w:t xml:space="preserve"> </w:t>
      </w:r>
      <w:r w:rsidR="000A3BDA" w:rsidRPr="00872692">
        <w:rPr>
          <w:rFonts w:ascii="Book Antiqua" w:eastAsia="Times New Roman" w:hAnsi="Book Antiqua" w:cs="Arial"/>
          <w:b/>
          <w:bCs/>
          <w:color w:val="FF0000"/>
          <w:sz w:val="16"/>
          <w:szCs w:val="16"/>
          <w:u w:val="single"/>
          <w:lang w:eastAsia="pt-BR"/>
        </w:rPr>
        <w:t>(Téc. Judic./TRT6-2018)</w:t>
      </w:r>
    </w:p>
    <w:p w14:paraId="6AD6383E" w14:textId="2EB49D02"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b/>
          <w:bCs/>
          <w:sz w:val="16"/>
          <w:szCs w:val="16"/>
          <w:lang w:eastAsia="pt-BR"/>
        </w:rPr>
      </w:pPr>
      <w:bookmarkStart w:id="13" w:name="art6"/>
      <w:bookmarkEnd w:id="13"/>
      <w:r w:rsidRPr="00264FA8">
        <w:rPr>
          <w:rFonts w:ascii="Book Antiqua" w:eastAsia="Times New Roman" w:hAnsi="Book Antiqua" w:cs="Arial"/>
          <w:b/>
          <w:bCs/>
          <w:sz w:val="19"/>
          <w:szCs w:val="19"/>
          <w:highlight w:val="magenta"/>
          <w:lang w:eastAsia="pt-BR"/>
        </w:rPr>
        <w:t>Art. 6</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banheiros de uso público existentes ou a construir em parques, praças, jardins e espaços livres públicos deverão ser acessíveis e dispor, pelo menos, de um sanitário e um lavatório que atendam às especificações das normas técnicas da ABNT</w:t>
      </w:r>
      <w:r w:rsidRPr="00872692">
        <w:rPr>
          <w:rFonts w:ascii="Book Antiqua" w:eastAsia="Times New Roman" w:hAnsi="Book Antiqua" w:cs="Arial"/>
          <w:sz w:val="16"/>
          <w:szCs w:val="16"/>
          <w:lang w:eastAsia="pt-BR"/>
        </w:rPr>
        <w:t>.</w:t>
      </w:r>
      <w:r w:rsidR="005E0D19" w:rsidRPr="00872692">
        <w:rPr>
          <w:rFonts w:ascii="Book Antiqua" w:eastAsia="Times New Roman" w:hAnsi="Book Antiqua" w:cs="Arial"/>
          <w:sz w:val="16"/>
          <w:szCs w:val="16"/>
          <w:lang w:eastAsia="pt-BR"/>
        </w:rPr>
        <w:t xml:space="preserve"> </w:t>
      </w:r>
      <w:r w:rsidR="005E0D19" w:rsidRPr="00872692">
        <w:rPr>
          <w:rFonts w:ascii="Book Antiqua" w:eastAsia="Times New Roman" w:hAnsi="Book Antiqua" w:cs="Arial"/>
          <w:b/>
          <w:bCs/>
          <w:color w:val="FF0000"/>
          <w:sz w:val="16"/>
          <w:szCs w:val="16"/>
          <w:u w:val="single"/>
          <w:lang w:eastAsia="pt-BR"/>
        </w:rPr>
        <w:t>(MPSC-2012)</w:t>
      </w:r>
      <w:r w:rsidR="00140CE3" w:rsidRPr="00872692">
        <w:rPr>
          <w:rFonts w:ascii="Book Antiqua" w:eastAsia="Times New Roman" w:hAnsi="Book Antiqua" w:cs="Arial"/>
          <w:b/>
          <w:bCs/>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p>
    <w:p w14:paraId="5BA9979D" w14:textId="7A0737EF" w:rsidR="00BB218B" w:rsidRPr="00872692" w:rsidRDefault="00BB218B" w:rsidP="00BB218B">
      <w:pPr>
        <w:spacing w:before="300" w:after="300" w:line="240" w:lineRule="auto"/>
        <w:ind w:firstLine="567"/>
        <w:jc w:val="both"/>
        <w:rPr>
          <w:rFonts w:ascii="Book Antiqua" w:eastAsia="Times New Roman" w:hAnsi="Book Antiqua" w:cs="Times New Roman"/>
          <w:color w:val="000000"/>
          <w:sz w:val="16"/>
          <w:szCs w:val="16"/>
          <w:lang w:eastAsia="pt-BR"/>
        </w:rPr>
      </w:pPr>
      <w:bookmarkStart w:id="14" w:name="art6§1"/>
      <w:bookmarkEnd w:id="14"/>
      <w:r w:rsidRPr="00264FA8">
        <w:rPr>
          <w:rFonts w:ascii="Book Antiqua" w:eastAsia="Times New Roman" w:hAnsi="Book Antiqua" w:cs="Times New Roman"/>
          <w:color w:val="000000"/>
          <w:sz w:val="19"/>
          <w:szCs w:val="19"/>
          <w:lang w:eastAsia="pt-BR"/>
        </w:rPr>
        <w:t>§ 1º  Os eventos organizados em espaços públicos e privados em que haja instalação de banheiros químicos deverão contar com unidades acessíveis a pessoas com deficiência ou com mobilidade reduzida</w:t>
      </w:r>
      <w:r w:rsidRPr="00872692">
        <w:rPr>
          <w:rFonts w:ascii="Book Antiqua" w:eastAsia="Times New Roman" w:hAnsi="Book Antiqua" w:cs="Times New Roman"/>
          <w:color w:val="000000"/>
          <w:sz w:val="16"/>
          <w:szCs w:val="16"/>
          <w:lang w:eastAsia="pt-BR"/>
        </w:rPr>
        <w:t xml:space="preserve">. </w:t>
      </w:r>
      <w:hyperlink r:id="rId25" w:anchor="art1" w:history="1">
        <w:r w:rsidRPr="00872692">
          <w:rPr>
            <w:rFonts w:ascii="Book Antiqua" w:eastAsia="Times New Roman" w:hAnsi="Book Antiqua" w:cs="Times New Roman"/>
            <w:color w:val="0000FF"/>
            <w:sz w:val="16"/>
            <w:szCs w:val="16"/>
            <w:u w:val="single"/>
            <w:lang w:eastAsia="pt-BR"/>
          </w:rPr>
          <w:t>(Incluído pela Lei nº 13.825, de 2019)</w:t>
        </w:r>
      </w:hyperlink>
    </w:p>
    <w:p w14:paraId="142A507C" w14:textId="01F9D625" w:rsidR="00BB218B" w:rsidRPr="00872692" w:rsidRDefault="00BB218B" w:rsidP="00BB218B">
      <w:pPr>
        <w:spacing w:before="300" w:after="300" w:line="240" w:lineRule="auto"/>
        <w:ind w:firstLine="567"/>
        <w:jc w:val="both"/>
        <w:rPr>
          <w:rFonts w:ascii="Book Antiqua" w:eastAsia="Times New Roman" w:hAnsi="Book Antiqua" w:cs="Times New Roman"/>
          <w:color w:val="000000"/>
          <w:sz w:val="16"/>
          <w:szCs w:val="16"/>
          <w:lang w:eastAsia="pt-BR"/>
        </w:rPr>
      </w:pPr>
      <w:bookmarkStart w:id="15" w:name="art6§2"/>
      <w:bookmarkEnd w:id="15"/>
      <w:r w:rsidRPr="00264FA8">
        <w:rPr>
          <w:rFonts w:ascii="Book Antiqua" w:eastAsia="Times New Roman" w:hAnsi="Book Antiqua" w:cs="Times New Roman"/>
          <w:color w:val="000000"/>
          <w:sz w:val="19"/>
          <w:szCs w:val="19"/>
          <w:lang w:eastAsia="pt-BR"/>
        </w:rPr>
        <w:t xml:space="preserve">§ 2º  O número mínimo de banheiros químicos acessíveis corresponderá a 10% (dez por cento) do total, garantindo-se pelo menos 1 (uma) unidade acessível caso a aplicação do percentual resulte em fração inferior a 1 (um).  </w:t>
      </w:r>
      <w:hyperlink r:id="rId26" w:anchor="art1" w:history="1">
        <w:r w:rsidRPr="00872692">
          <w:rPr>
            <w:rFonts w:ascii="Book Antiqua" w:eastAsia="Times New Roman" w:hAnsi="Book Antiqua" w:cs="Times New Roman"/>
            <w:color w:val="0000FF"/>
            <w:sz w:val="16"/>
            <w:szCs w:val="16"/>
            <w:u w:val="single"/>
            <w:lang w:eastAsia="pt-BR"/>
          </w:rPr>
          <w:t>(Incluído pela Lei nº 13.825, de 2019)</w:t>
        </w:r>
      </w:hyperlink>
    </w:p>
    <w:p w14:paraId="3738964A" w14:textId="2BC90DD2"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6" w:name="art7"/>
      <w:bookmarkEnd w:id="16"/>
      <w:r w:rsidRPr="00A06F1C">
        <w:rPr>
          <w:rFonts w:ascii="Book Antiqua" w:eastAsia="Times New Roman" w:hAnsi="Book Antiqua" w:cs="Arial"/>
          <w:b/>
          <w:bCs/>
          <w:sz w:val="19"/>
          <w:szCs w:val="19"/>
          <w:highlight w:val="magenta"/>
          <w:lang w:eastAsia="pt-BR"/>
        </w:rPr>
        <w:t>Art. 7</w:t>
      </w:r>
      <w:r w:rsidRPr="00A06F1C">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highlight w:val="cyan"/>
          <w:lang w:eastAsia="pt-BR"/>
        </w:rPr>
        <w:t>Em todas as áreas de estacionamento</w:t>
      </w:r>
      <w:r w:rsidRPr="006250DE">
        <w:rPr>
          <w:rFonts w:ascii="Book Antiqua" w:eastAsia="Times New Roman" w:hAnsi="Book Antiqua" w:cs="Arial"/>
          <w:b/>
          <w:bCs/>
          <w:sz w:val="19"/>
          <w:szCs w:val="19"/>
          <w:lang w:eastAsia="pt-BR"/>
        </w:rPr>
        <w:t xml:space="preserve"> de veículos, localizadas em vias ou em espaços públicos, deverão ser reservadas vagas próximas dos acessos de circulação de pedestres, devidamente sinalizadas, para veículos que transportem pessoas portadoras de deficiência com dificuldade de locomoção</w:t>
      </w:r>
      <w:r w:rsidRPr="00872692">
        <w:rPr>
          <w:rFonts w:ascii="Book Antiqua" w:eastAsia="Times New Roman" w:hAnsi="Book Antiqua" w:cs="Arial"/>
          <w:b/>
          <w:bCs/>
          <w:sz w:val="16"/>
          <w:szCs w:val="16"/>
          <w:lang w:eastAsia="pt-BR"/>
        </w:rPr>
        <w:t>.</w:t>
      </w:r>
      <w:r w:rsidR="00A06F1C" w:rsidRPr="00872692">
        <w:rPr>
          <w:rFonts w:ascii="Book Antiqua" w:eastAsia="Times New Roman" w:hAnsi="Book Antiqua" w:cs="Arial"/>
          <w:b/>
          <w:bCs/>
          <w:sz w:val="16"/>
          <w:szCs w:val="16"/>
          <w:lang w:eastAsia="pt-BR"/>
        </w:rPr>
        <w:t xml:space="preserve"> </w:t>
      </w:r>
      <w:r w:rsidR="00A06F1C" w:rsidRPr="00872692">
        <w:rPr>
          <w:rFonts w:ascii="Book Antiqua" w:eastAsia="Times New Roman" w:hAnsi="Book Antiqua" w:cs="Times New Roman"/>
          <w:b/>
          <w:bCs/>
          <w:color w:val="FF0000"/>
          <w:sz w:val="16"/>
          <w:szCs w:val="16"/>
          <w:u w:val="single"/>
          <w:lang w:eastAsia="pt-BR"/>
        </w:rPr>
        <w:t>(MPGO-2013)</w:t>
      </w:r>
    </w:p>
    <w:p w14:paraId="10EA60CA" w14:textId="110C0AC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7" w:name="art7p"/>
      <w:bookmarkEnd w:id="17"/>
      <w:r w:rsidRPr="006250DE">
        <w:rPr>
          <w:rFonts w:ascii="Book Antiqua" w:eastAsia="Times New Roman" w:hAnsi="Book Antiqua" w:cs="Arial"/>
          <w:b/>
          <w:bCs/>
          <w:sz w:val="19"/>
          <w:szCs w:val="19"/>
          <w:highlight w:val="magenta"/>
          <w:lang w:eastAsia="pt-BR"/>
        </w:rPr>
        <w:t>Parágrafo único</w:t>
      </w:r>
      <w:r w:rsidRPr="006250DE">
        <w:rPr>
          <w:rFonts w:ascii="Book Antiqua" w:eastAsia="Times New Roman" w:hAnsi="Book Antiqua" w:cs="Arial"/>
          <w:b/>
          <w:bCs/>
          <w:sz w:val="19"/>
          <w:szCs w:val="19"/>
          <w:lang w:eastAsia="pt-BR"/>
        </w:rPr>
        <w:t xml:space="preserve">. As vagas a que se refere o caput deste artigo deverão ser em </w:t>
      </w:r>
      <w:r w:rsidRPr="006250DE">
        <w:rPr>
          <w:rFonts w:ascii="Book Antiqua" w:eastAsia="Times New Roman" w:hAnsi="Book Antiqua" w:cs="Arial"/>
          <w:b/>
          <w:bCs/>
          <w:sz w:val="19"/>
          <w:szCs w:val="19"/>
          <w:highlight w:val="cyan"/>
          <w:lang w:eastAsia="pt-BR"/>
        </w:rPr>
        <w:t>número equivalente a dois por cento do total</w:t>
      </w:r>
      <w:r w:rsidRPr="006250DE">
        <w:rPr>
          <w:rFonts w:ascii="Book Antiqua" w:eastAsia="Times New Roman" w:hAnsi="Book Antiqua" w:cs="Arial"/>
          <w:b/>
          <w:bCs/>
          <w:sz w:val="19"/>
          <w:szCs w:val="19"/>
          <w:lang w:eastAsia="pt-BR"/>
        </w:rPr>
        <w:t>, garantida, no mínimo, uma vaga, devidamente sinalizada e com as especificações técnicas de desenho e traçado de acordo com as normas técnicas vigentes</w:t>
      </w:r>
      <w:r w:rsidRPr="00872692">
        <w:rPr>
          <w:rFonts w:ascii="Book Antiqua" w:eastAsia="Times New Roman" w:hAnsi="Book Antiqua" w:cs="Arial"/>
          <w:b/>
          <w:bCs/>
          <w:sz w:val="16"/>
          <w:szCs w:val="16"/>
          <w:lang w:eastAsia="pt-BR"/>
        </w:rPr>
        <w:t>.</w:t>
      </w:r>
      <w:r w:rsidR="00A06F1C" w:rsidRPr="00872692">
        <w:rPr>
          <w:rFonts w:ascii="Book Antiqua" w:eastAsia="Times New Roman" w:hAnsi="Book Antiqua" w:cs="Arial"/>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p>
    <w:p w14:paraId="0A8FD8F0"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III</w:t>
      </w:r>
    </w:p>
    <w:p w14:paraId="4B82217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DO DESENHO E DA LOCALIZAÇÃO DO MOBILIÁRIO URBANO</w:t>
      </w:r>
    </w:p>
    <w:p w14:paraId="5A4AA77F"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264FA8">
        <w:rPr>
          <w:rFonts w:ascii="Book Antiqua" w:eastAsia="Times New Roman" w:hAnsi="Book Antiqua" w:cs="Arial"/>
          <w:sz w:val="19"/>
          <w:szCs w:val="19"/>
          <w:lang w:eastAsia="pt-BR"/>
        </w:rPr>
        <w:t>Art. 8</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Os sinais de tráfego, semáforos, postes de iluminação ou quaisquer outros elementos verticais de sinalização que devam ser instalados em itinerário ou espaço de acesso para pedestres deverão ser dispostos de forma a não dificultar ou impedir a circulação, e de modo que possam ser utilizados com a máxima comodidade.</w:t>
      </w:r>
    </w:p>
    <w:p w14:paraId="7D08A819" w14:textId="6A3F934B" w:rsidR="00A0779F" w:rsidRPr="006250DE" w:rsidRDefault="00A0779F" w:rsidP="00A0779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9" w:name="art9"/>
      <w:bookmarkEnd w:id="19"/>
      <w:r w:rsidRPr="00140CE3">
        <w:rPr>
          <w:rFonts w:ascii="Book Antiqua" w:eastAsia="Times New Roman" w:hAnsi="Book Antiqua" w:cs="Arial"/>
          <w:b/>
          <w:bCs/>
          <w:sz w:val="19"/>
          <w:szCs w:val="19"/>
          <w:highlight w:val="magenta"/>
          <w:lang w:eastAsia="pt-BR"/>
        </w:rPr>
        <w:t xml:space="preserve">Art. </w:t>
      </w:r>
      <w:r w:rsidRPr="006250DE">
        <w:rPr>
          <w:rFonts w:ascii="Book Antiqua" w:eastAsia="Times New Roman" w:hAnsi="Book Antiqua" w:cs="Arial"/>
          <w:b/>
          <w:bCs/>
          <w:sz w:val="19"/>
          <w:szCs w:val="19"/>
          <w:highlight w:val="magenta"/>
          <w:lang w:eastAsia="pt-BR"/>
        </w:rPr>
        <w:t>9</w:t>
      </w:r>
      <w:r w:rsidRPr="006250DE">
        <w:rPr>
          <w:rFonts w:ascii="Book Antiqua" w:eastAsia="Times New Roman" w:hAnsi="Book Antiqua" w:cs="Arial"/>
          <w:b/>
          <w:bCs/>
          <w:sz w:val="19"/>
          <w:szCs w:val="19"/>
          <w:highlight w:val="magenta"/>
          <w:vertAlign w:val="superscript"/>
          <w:lang w:eastAsia="pt-BR"/>
        </w:rPr>
        <w:t>o</w:t>
      </w:r>
      <w:r w:rsidRPr="006250DE">
        <w:rPr>
          <w:rFonts w:ascii="Book Antiqua" w:eastAsia="Times New Roman" w:hAnsi="Book Antiqua" w:cs="Arial"/>
          <w:b/>
          <w:bCs/>
          <w:sz w:val="19"/>
          <w:szCs w:val="19"/>
          <w:lang w:eastAsia="pt-BR"/>
        </w:rPr>
        <w:t xml:space="preserve"> Os semáforos para pedestres instalados nas vias públicas deverão estar equipados com mecanismo que emita sinal sonoro suave, intermitente e sem estridência, ou com mecanismo alternativo, que sirva de guia ou orientação para a travessia de pessoas portadoras de deficiência visual, se a intensidade do fluxo de veículos e a periculosidade da via assim determinarem</w:t>
      </w:r>
      <w:r w:rsidRPr="006250DE">
        <w:rPr>
          <w:rFonts w:ascii="Book Antiqua" w:eastAsia="Times New Roman" w:hAnsi="Book Antiqua" w:cs="Arial"/>
          <w:sz w:val="18"/>
          <w:szCs w:val="18"/>
          <w:lang w:eastAsia="pt-BR"/>
        </w:rPr>
        <w:t>.</w:t>
      </w:r>
      <w:r w:rsidR="00140CE3" w:rsidRPr="006250DE">
        <w:rPr>
          <w:rFonts w:ascii="Book Antiqua" w:eastAsia="Times New Roman" w:hAnsi="Book Antiqua" w:cs="Arial"/>
          <w:sz w:val="18"/>
          <w:szCs w:val="18"/>
          <w:lang w:eastAsia="pt-BR"/>
        </w:rPr>
        <w:t xml:space="preserve"> </w:t>
      </w:r>
      <w:r w:rsidR="00140CE3" w:rsidRPr="006250DE">
        <w:rPr>
          <w:rFonts w:ascii="Book Antiqua" w:eastAsia="Times New Roman" w:hAnsi="Book Antiqua" w:cs="Arial"/>
          <w:b/>
          <w:bCs/>
          <w:color w:val="FF0000"/>
          <w:sz w:val="18"/>
          <w:szCs w:val="18"/>
          <w:u w:val="single"/>
          <w:lang w:eastAsia="pt-BR"/>
        </w:rPr>
        <w:t>(MPES-2013)</w:t>
      </w:r>
      <w:r w:rsidR="006250DE">
        <w:rPr>
          <w:rFonts w:ascii="Book Antiqua" w:eastAsia="Times New Roman" w:hAnsi="Book Antiqua" w:cs="Arial"/>
          <w:b/>
          <w:bCs/>
          <w:color w:val="FF0000"/>
          <w:sz w:val="18"/>
          <w:szCs w:val="18"/>
          <w:lang w:eastAsia="pt-BR"/>
        </w:rPr>
        <w:t xml:space="preserve"> </w:t>
      </w:r>
      <w:r w:rsidR="006250DE">
        <w:rPr>
          <w:rFonts w:ascii="Book Antiqua" w:hAnsi="Book Antiqua"/>
          <w:b/>
          <w:color w:val="FF0000"/>
          <w:sz w:val="18"/>
          <w:szCs w:val="18"/>
          <w:u w:val="single"/>
        </w:rPr>
        <w:t>(Anal. Judic./TRF4-2019)</w:t>
      </w:r>
    </w:p>
    <w:p w14:paraId="5025B5AD" w14:textId="285D2D5A"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 w:name="art9p"/>
      <w:bookmarkEnd w:id="20"/>
      <w:r w:rsidRPr="00264FA8">
        <w:rPr>
          <w:rFonts w:ascii="Book Antiqua" w:eastAsia="Times New Roman" w:hAnsi="Book Antiqua" w:cs="Arial"/>
          <w:color w:val="000000"/>
          <w:sz w:val="19"/>
          <w:szCs w:val="19"/>
          <w:lang w:eastAsia="pt-BR"/>
        </w:rPr>
        <w:lastRenderedPageBreak/>
        <w:t>Parágrafo único. Os semáforos para pedestres instalados em vias públicas de grande circulação, ou que deem acesso aos serviços de reabilitação, devem obrigatoriamente estar equipados com mecanismo que emita sinal sonoro suave para orientação do pedestre</w:t>
      </w:r>
      <w:r w:rsidRPr="00872692">
        <w:rPr>
          <w:rFonts w:ascii="Book Antiqua" w:eastAsia="Times New Roman" w:hAnsi="Book Antiqua" w:cs="Arial"/>
          <w:color w:val="000000"/>
          <w:sz w:val="16"/>
          <w:szCs w:val="16"/>
          <w:lang w:eastAsia="pt-BR"/>
        </w:rPr>
        <w:t xml:space="preserve">.  </w:t>
      </w:r>
      <w:hyperlink r:id="rId27"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51B78B95" w14:textId="024BC4A9"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 w:name="art10"/>
      <w:bookmarkEnd w:id="21"/>
      <w:r w:rsidRPr="00872692">
        <w:rPr>
          <w:rFonts w:ascii="Book Antiqua" w:eastAsia="Times New Roman" w:hAnsi="Book Antiqua" w:cs="Arial"/>
          <w:b/>
          <w:bCs/>
          <w:sz w:val="19"/>
          <w:szCs w:val="19"/>
          <w:highlight w:val="magenta"/>
          <w:lang w:eastAsia="pt-BR"/>
        </w:rPr>
        <w:t>Art. 10</w:t>
      </w:r>
      <w:r w:rsidRPr="00872692">
        <w:rPr>
          <w:rFonts w:ascii="Book Antiqua" w:eastAsia="Times New Roman" w:hAnsi="Book Antiqua" w:cs="Arial"/>
          <w:b/>
          <w:bCs/>
          <w:sz w:val="19"/>
          <w:szCs w:val="19"/>
          <w:lang w:eastAsia="pt-BR"/>
        </w:rPr>
        <w:t>. Os elementos do mobiliário urbano deverão ser projetados e instalados em locais que permitam sejam eles utilizados pelas pessoas portadoras de deficiência ou com mobilidade reduzida.</w:t>
      </w:r>
      <w:r w:rsidR="00872692" w:rsidRPr="00872692">
        <w:rPr>
          <w:rFonts w:ascii="Book Antiqua" w:eastAsia="Times New Roman" w:hAnsi="Book Antiqua" w:cs="Arial"/>
          <w:b/>
          <w:bCs/>
          <w:sz w:val="19"/>
          <w:szCs w:val="19"/>
          <w:lang w:eastAsia="pt-BR"/>
        </w:rPr>
        <w:t xml:space="preserve"> </w:t>
      </w:r>
      <w:r w:rsidR="00872692" w:rsidRPr="00872692">
        <w:rPr>
          <w:rFonts w:ascii="Book Antiqua" w:eastAsia="Times New Roman" w:hAnsi="Book Antiqua" w:cs="Times New Roman"/>
          <w:b/>
          <w:bCs/>
          <w:color w:val="FF0000"/>
          <w:sz w:val="16"/>
          <w:szCs w:val="16"/>
          <w:u w:val="single"/>
          <w:lang w:eastAsia="pt-BR"/>
        </w:rPr>
        <w:t>(Anal. Judic./TRT21-2024)</w:t>
      </w:r>
    </w:p>
    <w:p w14:paraId="0972B5E3" w14:textId="07ACB681"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2" w:name="art10a"/>
      <w:bookmarkEnd w:id="22"/>
      <w:r w:rsidRPr="00872692">
        <w:rPr>
          <w:rFonts w:ascii="Book Antiqua" w:eastAsia="Times New Roman" w:hAnsi="Book Antiqua" w:cs="Arial"/>
          <w:b/>
          <w:bCs/>
          <w:color w:val="000000"/>
          <w:sz w:val="19"/>
          <w:szCs w:val="19"/>
          <w:highlight w:val="magenta"/>
          <w:lang w:eastAsia="pt-BR"/>
        </w:rPr>
        <w:t>Art. 10-A</w:t>
      </w:r>
      <w:r w:rsidRPr="00872692">
        <w:rPr>
          <w:rFonts w:ascii="Book Antiqua" w:eastAsia="Times New Roman" w:hAnsi="Book Antiqua" w:cs="Arial"/>
          <w:b/>
          <w:bCs/>
          <w:color w:val="000000"/>
          <w:sz w:val="19"/>
          <w:szCs w:val="19"/>
          <w:lang w:eastAsia="pt-BR"/>
        </w:rPr>
        <w:t>.  A instalação de qualquer mobiliário urbano em área de circulação comum para pedestre que ofereça risco de acidente à pessoa com deficiência deverá ser indicada mediante sinalização tátil de alerta no piso, de acordo com as normas técnicas pertinentes</w:t>
      </w:r>
      <w:r w:rsidRPr="00872692">
        <w:rPr>
          <w:rFonts w:ascii="Book Antiqua" w:eastAsia="Times New Roman" w:hAnsi="Book Antiqua" w:cs="Arial"/>
          <w:color w:val="000000"/>
          <w:sz w:val="16"/>
          <w:szCs w:val="16"/>
          <w:lang w:eastAsia="pt-BR"/>
        </w:rPr>
        <w:t xml:space="preserve">. </w:t>
      </w:r>
      <w:hyperlink r:id="rId28"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Times New Roman"/>
          <w:sz w:val="16"/>
          <w:szCs w:val="16"/>
          <w:lang w:eastAsia="pt-BR"/>
        </w:rPr>
        <w:t xml:space="preserve"> </w:t>
      </w:r>
    </w:p>
    <w:p w14:paraId="10B88861"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264FA8">
        <w:rPr>
          <w:rFonts w:ascii="Book Antiqua" w:eastAsia="Times New Roman" w:hAnsi="Book Antiqua" w:cs="Arial"/>
          <w:sz w:val="19"/>
          <w:szCs w:val="19"/>
          <w:highlight w:val="green"/>
          <w:lang w:eastAsia="pt-BR"/>
        </w:rPr>
        <w:t>CAPÍTULO IV</w:t>
      </w:r>
    </w:p>
    <w:p w14:paraId="1254AC96"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highlight w:val="green"/>
          <w:lang w:eastAsia="pt-BR"/>
        </w:rPr>
        <w:t>DA ACESSIBILIDADE NOS EDIFÍCIOS PÚBLICOS OU DE USO COLETIVO</w:t>
      </w:r>
    </w:p>
    <w:p w14:paraId="556DA492" w14:textId="43365BF8"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sz w:val="16"/>
          <w:szCs w:val="16"/>
          <w:u w:val="single"/>
          <w:lang w:eastAsia="pt-BR"/>
        </w:rPr>
      </w:pPr>
      <w:bookmarkStart w:id="23" w:name="art11"/>
      <w:bookmarkEnd w:id="23"/>
      <w:r w:rsidRPr="00264FA8">
        <w:rPr>
          <w:rFonts w:ascii="Book Antiqua" w:eastAsia="Times New Roman" w:hAnsi="Book Antiqua" w:cs="Arial"/>
          <w:b/>
          <w:sz w:val="19"/>
          <w:szCs w:val="19"/>
          <w:highlight w:val="magenta"/>
          <w:lang w:eastAsia="pt-BR"/>
        </w:rPr>
        <w:t>Art. 11</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A construção, ampliação ou reforma de edifícios públicos ou privados destinados ao uso coletivo deverão ser executadas de modo que sejam ou se tornem acessíveis às pessoas portadoras de deficiência ou com mobilidade reduzida</w:t>
      </w:r>
      <w:r w:rsidRPr="00872692">
        <w:rPr>
          <w:rFonts w:ascii="Book Antiqua" w:eastAsia="Times New Roman" w:hAnsi="Book Antiqua" w:cs="Arial"/>
          <w:sz w:val="16"/>
          <w:szCs w:val="16"/>
          <w:lang w:eastAsia="pt-BR"/>
        </w:rPr>
        <w:t>.</w:t>
      </w:r>
      <w:r w:rsidR="007B5645" w:rsidRPr="00872692">
        <w:rPr>
          <w:rFonts w:ascii="Book Antiqua" w:eastAsia="Times New Roman" w:hAnsi="Book Antiqua" w:cs="Arial"/>
          <w:sz w:val="16"/>
          <w:szCs w:val="16"/>
          <w:lang w:eastAsia="pt-BR"/>
        </w:rPr>
        <w:t xml:space="preserve"> </w:t>
      </w:r>
      <w:r w:rsidR="007B5645" w:rsidRPr="00872692">
        <w:rPr>
          <w:rFonts w:ascii="Book Antiqua" w:eastAsia="Times New Roman" w:hAnsi="Book Antiqua" w:cs="Times New Roman"/>
          <w:b/>
          <w:bCs/>
          <w:color w:val="FF0000"/>
          <w:sz w:val="16"/>
          <w:szCs w:val="16"/>
          <w:u w:val="single"/>
          <w:lang w:eastAsia="pt-BR"/>
        </w:rPr>
        <w:t>(MPMG-2010)</w:t>
      </w:r>
      <w:r w:rsidR="00A06F1C" w:rsidRPr="00872692">
        <w:rPr>
          <w:rFonts w:ascii="Book Antiqua" w:eastAsia="Times New Roman" w:hAnsi="Book Antiqua" w:cs="Times New Roman"/>
          <w:b/>
          <w:bCs/>
          <w:color w:val="FF0000"/>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r w:rsidR="006250DE" w:rsidRPr="00872692">
        <w:rPr>
          <w:rFonts w:ascii="Book Antiqua" w:eastAsia="Times New Roman" w:hAnsi="Book Antiqua" w:cs="Times New Roman"/>
          <w:b/>
          <w:color w:val="FF0000"/>
          <w:sz w:val="16"/>
          <w:szCs w:val="16"/>
          <w:lang w:eastAsia="pt-BR"/>
        </w:rPr>
        <w:t xml:space="preserve"> </w:t>
      </w:r>
      <w:r w:rsidR="006250DE" w:rsidRPr="00872692">
        <w:rPr>
          <w:rFonts w:ascii="Book Antiqua" w:eastAsia="Times New Roman" w:hAnsi="Book Antiqua" w:cs="Times New Roman"/>
          <w:b/>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4109D6" w:rsidRPr="00264FA8" w14:paraId="776E8886" w14:textId="77777777" w:rsidTr="004109D6">
        <w:tc>
          <w:tcPr>
            <w:tcW w:w="8494" w:type="dxa"/>
            <w:shd w:val="clear" w:color="auto" w:fill="CCFFFF"/>
          </w:tcPr>
          <w:p w14:paraId="3E4BA7BB" w14:textId="30613AC3" w:rsidR="004109D6" w:rsidRPr="00264FA8" w:rsidRDefault="004109D6" w:rsidP="00A0779F">
            <w:pPr>
              <w:spacing w:before="100" w:beforeAutospacing="1" w:after="100" w:afterAutospacing="1"/>
              <w:jc w:val="both"/>
              <w:rPr>
                <w:rFonts w:ascii="Book Antiqua" w:eastAsia="Times New Roman" w:hAnsi="Book Antiqua" w:cs="Times New Roman"/>
                <w:b/>
                <w:sz w:val="19"/>
                <w:szCs w:val="19"/>
                <w:lang w:eastAsia="pt-BR"/>
              </w:rPr>
            </w:pP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b/>
                <w:sz w:val="19"/>
                <w:szCs w:val="19"/>
                <w:highlight w:val="yellow"/>
                <w:lang w:eastAsia="pt-BR"/>
              </w:rPr>
              <w:t>MPSC-2013</w:t>
            </w: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sz w:val="19"/>
                <w:szCs w:val="19"/>
                <w:lang w:eastAsia="pt-BR"/>
              </w:rPr>
              <w:t xml:space="preserve">: A construção, ampliação ou reforma de edifícios públicos ou privados, destinados ao uso coletivo, inclusive aqueles de propriedade das sociedades de economia mista, deverão ser executadas de modo que sejam ou se tornem acessíveis às pessoas portadoras de deficiência ou com mobilidade reduzida. </w:t>
            </w:r>
            <w:r w:rsidRPr="00264FA8">
              <w:rPr>
                <w:rFonts w:ascii="Book Antiqua" w:eastAsia="Times New Roman" w:hAnsi="Book Antiqua" w:cs="Times New Roman"/>
                <w:b/>
                <w:sz w:val="19"/>
                <w:szCs w:val="19"/>
                <w:lang w:eastAsia="pt-BR"/>
              </w:rPr>
              <w:t>BL: art. 11, Lei 10.0</w:t>
            </w:r>
            <w:r w:rsidR="006C1040" w:rsidRPr="00264FA8">
              <w:rPr>
                <w:rFonts w:ascii="Book Antiqua" w:eastAsia="Times New Roman" w:hAnsi="Book Antiqua" w:cs="Times New Roman"/>
                <w:b/>
                <w:sz w:val="19"/>
                <w:szCs w:val="19"/>
                <w:lang w:eastAsia="pt-BR"/>
              </w:rPr>
              <w:t>9</w:t>
            </w:r>
            <w:r w:rsidRPr="00264FA8">
              <w:rPr>
                <w:rFonts w:ascii="Book Antiqua" w:eastAsia="Times New Roman" w:hAnsi="Book Antiqua" w:cs="Times New Roman"/>
                <w:b/>
                <w:sz w:val="19"/>
                <w:szCs w:val="19"/>
                <w:lang w:eastAsia="pt-BR"/>
              </w:rPr>
              <w:t>8.</w:t>
            </w:r>
          </w:p>
        </w:tc>
      </w:tr>
    </w:tbl>
    <w:p w14:paraId="6A4F6A13"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p"/>
      <w:bookmarkEnd w:id="24"/>
      <w:r w:rsidRPr="00264FA8">
        <w:rPr>
          <w:rFonts w:ascii="Book Antiqua" w:eastAsia="Times New Roman" w:hAnsi="Book Antiqua" w:cs="Arial"/>
          <w:sz w:val="19"/>
          <w:szCs w:val="19"/>
          <w:lang w:eastAsia="pt-BR"/>
        </w:rPr>
        <w:t>Parágrafo único. Para os fins do disposto neste artigo, na construção, ampliação ou reforma de edifícios públicos ou privados destinados ao uso coletivo deverão ser observados, pelo menos, os seguintes requisitos de acessibilidade:</w:t>
      </w:r>
    </w:p>
    <w:p w14:paraId="03A5507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 w:name="art11pi"/>
      <w:bookmarkEnd w:id="25"/>
      <w:r w:rsidRPr="00264FA8">
        <w:rPr>
          <w:rFonts w:ascii="Book Antiqua" w:eastAsia="Times New Roman" w:hAnsi="Book Antiqua" w:cs="Arial"/>
          <w:sz w:val="19"/>
          <w:szCs w:val="19"/>
          <w:lang w:eastAsia="pt-BR"/>
        </w:rPr>
        <w:t>I – nas áreas externas ou internas da edificação, destinadas a garagem e a estacionamento de uso público, deverão ser reservadas vagas próximas dos acessos de circulação de pedestres, devidamente sinalizadas, para veículos que transportem pessoas portadoras de deficiência com dificuldade de locomoção permanente;</w:t>
      </w:r>
    </w:p>
    <w:p w14:paraId="780CBED7"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 w:name="art11pii"/>
      <w:bookmarkEnd w:id="26"/>
      <w:r w:rsidRPr="00264FA8">
        <w:rPr>
          <w:rFonts w:ascii="Book Antiqua" w:eastAsia="Times New Roman" w:hAnsi="Book Antiqua" w:cs="Arial"/>
          <w:sz w:val="19"/>
          <w:szCs w:val="19"/>
          <w:lang w:eastAsia="pt-BR"/>
        </w:rPr>
        <w:t>II – pelo menos um dos acessos ao interior da edificação deverá estar livre de barreiras arquitetônicas e de obstáculos que impeçam ou dificultem a acessibilidade de pessoa portadora de deficiência ou com mobilidade reduzida;</w:t>
      </w:r>
    </w:p>
    <w:p w14:paraId="1C02479A"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 w:name="art11piii"/>
      <w:bookmarkEnd w:id="27"/>
      <w:r w:rsidRPr="00264FA8">
        <w:rPr>
          <w:rFonts w:ascii="Book Antiqua" w:eastAsia="Times New Roman" w:hAnsi="Book Antiqua" w:cs="Arial"/>
          <w:sz w:val="19"/>
          <w:szCs w:val="19"/>
          <w:lang w:eastAsia="pt-BR"/>
        </w:rPr>
        <w:t>III – pelo menos um dos itinerários que comuniquem horizontal e verticalmente todas as dependências e serviços do edifício, entre si e com o exterior, deverá cumprir os requisitos de acessibilidade de que trata esta Lei; e</w:t>
      </w:r>
    </w:p>
    <w:p w14:paraId="1E819E69" w14:textId="17ED3EFB"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8" w:name="art11piv"/>
      <w:bookmarkEnd w:id="28"/>
      <w:r w:rsidRPr="006250DE">
        <w:rPr>
          <w:rFonts w:ascii="Book Antiqua" w:eastAsia="Times New Roman" w:hAnsi="Book Antiqua" w:cs="Arial"/>
          <w:b/>
          <w:bCs/>
          <w:sz w:val="19"/>
          <w:szCs w:val="19"/>
          <w:lang w:eastAsia="pt-BR"/>
        </w:rPr>
        <w:t>IV – os edifícios deverão dispor, pelo menos, de um banheiro acessível, distribuindo-se seus equipamentos e acessórios de maneira que possam ser utilizados por pessoa portadora de deficiência ou com mobilidade reduzida</w:t>
      </w:r>
      <w:r w:rsidRPr="00872692">
        <w:rPr>
          <w:rFonts w:ascii="Book Antiqua" w:eastAsia="Times New Roman" w:hAnsi="Book Antiqua" w:cs="Arial"/>
          <w:b/>
          <w:bCs/>
          <w:sz w:val="16"/>
          <w:szCs w:val="16"/>
          <w:lang w:eastAsia="pt-BR"/>
        </w:rPr>
        <w:t>.</w:t>
      </w:r>
      <w:r w:rsidR="006910DA" w:rsidRPr="00872692">
        <w:rPr>
          <w:rFonts w:ascii="Book Antiqua" w:eastAsia="Times New Roman" w:hAnsi="Book Antiqua" w:cs="Arial"/>
          <w:b/>
          <w:bCs/>
          <w:sz w:val="16"/>
          <w:szCs w:val="16"/>
          <w:lang w:eastAsia="pt-BR"/>
        </w:rPr>
        <w:t xml:space="preserve"> </w:t>
      </w:r>
      <w:r w:rsidR="006910DA" w:rsidRPr="00872692">
        <w:rPr>
          <w:rFonts w:ascii="Book Antiqua" w:eastAsia="Times New Roman" w:hAnsi="Book Antiqua" w:cs="Times New Roman"/>
          <w:b/>
          <w:bCs/>
          <w:color w:val="FF0000"/>
          <w:spacing w:val="-3"/>
          <w:sz w:val="16"/>
          <w:szCs w:val="16"/>
          <w:u w:val="single"/>
          <w:lang w:eastAsia="pt-BR"/>
        </w:rPr>
        <w:t>(DPEAM-2011)</w:t>
      </w:r>
    </w:p>
    <w:p w14:paraId="6DA6F636" w14:textId="1EE4254C"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12"/>
      <w:bookmarkEnd w:id="29"/>
      <w:r w:rsidRPr="00A06F1C">
        <w:rPr>
          <w:rFonts w:ascii="Book Antiqua" w:eastAsia="Times New Roman" w:hAnsi="Book Antiqua" w:cs="Arial"/>
          <w:b/>
          <w:bCs/>
          <w:sz w:val="19"/>
          <w:szCs w:val="19"/>
          <w:highlight w:val="magenta"/>
          <w:lang w:eastAsia="pt-BR"/>
        </w:rPr>
        <w:t>Art. 12</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locais de espetáculos, conferências, aulas e outros de natureza similar deverão dispor de espaços reservados para pessoas que utilizam cadeira de rodas, e de lugares específicos para pessoas com deficiência auditiva e visual, inclusive acompanhante, de acordo com a ABNT, de modo a facilitar-lhes as condições de acesso, circulação e comunicação</w:t>
      </w:r>
      <w:r w:rsidRPr="00872692">
        <w:rPr>
          <w:rFonts w:ascii="Book Antiqua" w:eastAsia="Times New Roman" w:hAnsi="Book Antiqua" w:cs="Arial"/>
          <w:sz w:val="16"/>
          <w:szCs w:val="16"/>
          <w:lang w:eastAsia="pt-BR"/>
        </w:rPr>
        <w:t>.</w:t>
      </w:r>
      <w:r w:rsidR="00A06F1C" w:rsidRPr="00872692">
        <w:rPr>
          <w:rFonts w:ascii="Book Antiqua" w:eastAsia="Times New Roman" w:hAnsi="Book Antiqua" w:cs="Arial"/>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p>
    <w:p w14:paraId="39406E2D" w14:textId="4FFDE37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30" w:name="art12a"/>
      <w:bookmarkEnd w:id="30"/>
      <w:r w:rsidRPr="00264FA8">
        <w:rPr>
          <w:rFonts w:ascii="Book Antiqua" w:eastAsia="Times New Roman" w:hAnsi="Book Antiqua" w:cs="Arial"/>
          <w:b/>
          <w:bCs/>
          <w:color w:val="000000"/>
          <w:sz w:val="19"/>
          <w:szCs w:val="19"/>
          <w:highlight w:val="magenta"/>
          <w:lang w:eastAsia="pt-BR"/>
        </w:rPr>
        <w:t>Art. 12-A</w:t>
      </w:r>
      <w:r w:rsidRPr="00264FA8">
        <w:rPr>
          <w:rFonts w:ascii="Book Antiqua" w:eastAsia="Times New Roman" w:hAnsi="Book Antiqua" w:cs="Arial"/>
          <w:color w:val="000000"/>
          <w:sz w:val="19"/>
          <w:szCs w:val="19"/>
          <w:lang w:eastAsia="pt-BR"/>
        </w:rPr>
        <w:t xml:space="preserve">.  Os </w:t>
      </w:r>
      <w:r w:rsidRPr="00264FA8">
        <w:rPr>
          <w:rFonts w:ascii="Book Antiqua" w:eastAsia="Times New Roman" w:hAnsi="Book Antiqua" w:cs="Arial"/>
          <w:b/>
          <w:bCs/>
          <w:caps/>
          <w:color w:val="000000"/>
          <w:sz w:val="19"/>
          <w:szCs w:val="19"/>
          <w:shd w:val="clear" w:color="auto" w:fill="F7CAAC" w:themeFill="accent2" w:themeFillTint="66"/>
          <w:lang w:eastAsia="pt-BR"/>
        </w:rPr>
        <w:t>centros comerciais</w:t>
      </w:r>
      <w:r w:rsidRPr="00264FA8">
        <w:rPr>
          <w:rFonts w:ascii="Book Antiqua" w:eastAsia="Times New Roman" w:hAnsi="Book Antiqua" w:cs="Arial"/>
          <w:color w:val="000000"/>
          <w:sz w:val="19"/>
          <w:szCs w:val="19"/>
          <w:lang w:eastAsia="pt-BR"/>
        </w:rPr>
        <w:t xml:space="preserve"> e os </w:t>
      </w:r>
      <w:r w:rsidRPr="00264FA8">
        <w:rPr>
          <w:rFonts w:ascii="Book Antiqua" w:eastAsia="Times New Roman" w:hAnsi="Book Antiqua" w:cs="Arial"/>
          <w:b/>
          <w:bCs/>
          <w:caps/>
          <w:color w:val="000000"/>
          <w:sz w:val="19"/>
          <w:szCs w:val="19"/>
          <w:shd w:val="clear" w:color="auto" w:fill="F7CAAC" w:themeFill="accent2" w:themeFillTint="66"/>
          <w:lang w:eastAsia="pt-BR"/>
        </w:rPr>
        <w:t>estabelecimentos congêneres</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aps/>
          <w:color w:val="000000"/>
          <w:sz w:val="19"/>
          <w:szCs w:val="19"/>
          <w:highlight w:val="green"/>
          <w:lang w:eastAsia="pt-BR"/>
        </w:rPr>
        <w:t>devem fornecer</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cyan"/>
          <w:lang w:eastAsia="pt-BR"/>
        </w:rPr>
        <w:t>carros</w:t>
      </w:r>
      <w:r w:rsidRPr="00264FA8">
        <w:rPr>
          <w:rFonts w:ascii="Book Antiqua" w:eastAsia="Times New Roman" w:hAnsi="Book Antiqua" w:cs="Arial"/>
          <w:color w:val="000000"/>
          <w:sz w:val="19"/>
          <w:szCs w:val="19"/>
          <w:lang w:eastAsia="pt-BR"/>
        </w:rPr>
        <w:t xml:space="preserve"> e </w:t>
      </w:r>
      <w:r w:rsidRPr="00264FA8">
        <w:rPr>
          <w:rFonts w:ascii="Book Antiqua" w:eastAsia="Times New Roman" w:hAnsi="Book Antiqua" w:cs="Arial"/>
          <w:b/>
          <w:bCs/>
          <w:color w:val="000000"/>
          <w:sz w:val="19"/>
          <w:szCs w:val="19"/>
          <w:highlight w:val="cyan"/>
          <w:lang w:eastAsia="pt-BR"/>
        </w:rPr>
        <w:t>cadeiras de rodas</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yellow"/>
          <w:lang w:eastAsia="pt-BR"/>
        </w:rPr>
        <w:t>motorizados ou não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cyan"/>
          <w:lang w:eastAsia="pt-BR"/>
        </w:rPr>
        <w:t>para o atendimento</w:t>
      </w:r>
      <w:r w:rsidRPr="00264FA8">
        <w:rPr>
          <w:rFonts w:ascii="Book Antiqua" w:eastAsia="Times New Roman" w:hAnsi="Book Antiqua" w:cs="Arial"/>
          <w:color w:val="000000"/>
          <w:sz w:val="19"/>
          <w:szCs w:val="19"/>
          <w:lang w:eastAsia="pt-BR"/>
        </w:rPr>
        <w:t xml:space="preserve"> da </w:t>
      </w:r>
      <w:r w:rsidRPr="00264FA8">
        <w:rPr>
          <w:rFonts w:ascii="Book Antiqua" w:eastAsia="Times New Roman" w:hAnsi="Book Antiqua" w:cs="Arial"/>
          <w:b/>
          <w:bCs/>
          <w:color w:val="000000"/>
          <w:sz w:val="19"/>
          <w:szCs w:val="19"/>
          <w:highlight w:val="yellow"/>
          <w:lang w:eastAsia="pt-BR"/>
        </w:rPr>
        <w:t>pessoa com deficiência</w:t>
      </w:r>
      <w:r w:rsidRPr="00264FA8">
        <w:rPr>
          <w:rFonts w:ascii="Book Antiqua" w:eastAsia="Times New Roman" w:hAnsi="Book Antiqua" w:cs="Arial"/>
          <w:color w:val="000000"/>
          <w:sz w:val="19"/>
          <w:szCs w:val="19"/>
          <w:lang w:eastAsia="pt-BR"/>
        </w:rPr>
        <w:t xml:space="preserve"> ou </w:t>
      </w:r>
      <w:r w:rsidRPr="00264FA8">
        <w:rPr>
          <w:rFonts w:ascii="Book Antiqua" w:eastAsia="Times New Roman" w:hAnsi="Book Antiqua" w:cs="Arial"/>
          <w:b/>
          <w:bCs/>
          <w:color w:val="000000"/>
          <w:sz w:val="19"/>
          <w:szCs w:val="19"/>
          <w:highlight w:val="yellow"/>
          <w:lang w:eastAsia="pt-BR"/>
        </w:rPr>
        <w:t>com mobilidade reduzida</w:t>
      </w:r>
      <w:r w:rsidRPr="00872692">
        <w:rPr>
          <w:rFonts w:ascii="Book Antiqua" w:eastAsia="Times New Roman" w:hAnsi="Book Antiqua" w:cs="Arial"/>
          <w:color w:val="000000"/>
          <w:sz w:val="16"/>
          <w:szCs w:val="16"/>
          <w:lang w:eastAsia="pt-BR"/>
        </w:rPr>
        <w:t>. </w:t>
      </w:r>
      <w:hyperlink r:id="rId29"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0A3BDA" w:rsidRPr="00872692">
        <w:rPr>
          <w:rFonts w:ascii="Book Antiqua" w:eastAsia="Times New Roman" w:hAnsi="Book Antiqua" w:cs="Arial"/>
          <w:b/>
          <w:bCs/>
          <w:color w:val="FF0000"/>
          <w:sz w:val="16"/>
          <w:szCs w:val="16"/>
          <w:u w:val="single"/>
          <w:lang w:eastAsia="pt-BR"/>
        </w:rPr>
        <w:t>(Téc. Judic./TRT6-2018)</w:t>
      </w:r>
    </w:p>
    <w:p w14:paraId="77CF9839"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w:t>
      </w:r>
    </w:p>
    <w:p w14:paraId="720FC7C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EDIFÍCIOS DE USO PRIVADO</w:t>
      </w:r>
    </w:p>
    <w:p w14:paraId="62700DE9" w14:textId="5CF3B61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3"/>
      <w:bookmarkEnd w:id="31"/>
      <w:r w:rsidRPr="00264FA8">
        <w:rPr>
          <w:rFonts w:ascii="Book Antiqua" w:eastAsia="Times New Roman" w:hAnsi="Book Antiqua" w:cs="Arial"/>
          <w:b/>
          <w:sz w:val="19"/>
          <w:szCs w:val="19"/>
          <w:highlight w:val="magenta"/>
          <w:lang w:eastAsia="pt-BR"/>
        </w:rPr>
        <w:lastRenderedPageBreak/>
        <w:t>Art. 13</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 xml:space="preserve">Os edifícios de uso privado em que seja obrigatória a instalação de elevadores </w:t>
      </w:r>
      <w:r w:rsidRPr="006250DE">
        <w:rPr>
          <w:rFonts w:ascii="Book Antiqua" w:eastAsia="Times New Roman" w:hAnsi="Book Antiqua" w:cs="Arial"/>
          <w:b/>
          <w:bCs/>
          <w:caps/>
          <w:sz w:val="19"/>
          <w:szCs w:val="19"/>
          <w:highlight w:val="green"/>
          <w:lang w:eastAsia="pt-BR"/>
        </w:rPr>
        <w:t>deverão ser construídos</w:t>
      </w:r>
      <w:r w:rsidRPr="006250DE">
        <w:rPr>
          <w:rFonts w:ascii="Book Antiqua" w:eastAsia="Times New Roman" w:hAnsi="Book Antiqua" w:cs="Arial"/>
          <w:b/>
          <w:bCs/>
          <w:sz w:val="19"/>
          <w:szCs w:val="19"/>
          <w:lang w:eastAsia="pt-BR"/>
        </w:rPr>
        <w:t xml:space="preserve"> atendendo aos seguintes requisitos mínimos de acessibilidade</w:t>
      </w:r>
      <w:r w:rsidRPr="00872692">
        <w:rPr>
          <w:rFonts w:ascii="Book Antiqua" w:eastAsia="Times New Roman" w:hAnsi="Book Antiqua" w:cs="Arial"/>
          <w:sz w:val="16"/>
          <w:szCs w:val="16"/>
          <w:lang w:eastAsia="pt-BR"/>
        </w:rPr>
        <w:t>:</w:t>
      </w:r>
      <w:r w:rsidR="000A3BDA" w:rsidRPr="00872692">
        <w:rPr>
          <w:rFonts w:ascii="Book Antiqua" w:eastAsia="Times New Roman" w:hAnsi="Book Antiqua" w:cs="Arial"/>
          <w:sz w:val="16"/>
          <w:szCs w:val="16"/>
          <w:lang w:eastAsia="pt-BR"/>
        </w:rPr>
        <w:t xml:space="preserve"> </w:t>
      </w:r>
      <w:r w:rsidR="000A3BDA" w:rsidRPr="00872692">
        <w:rPr>
          <w:rFonts w:ascii="Book Antiqua" w:eastAsia="Times New Roman" w:hAnsi="Book Antiqua" w:cs="Arial"/>
          <w:b/>
          <w:bCs/>
          <w:color w:val="FF0000"/>
          <w:sz w:val="16"/>
          <w:szCs w:val="16"/>
          <w:u w:val="single"/>
          <w:lang w:eastAsia="pt-BR"/>
        </w:rPr>
        <w:t>(Téc. Judic./TRT6-2018)</w:t>
      </w:r>
    </w:p>
    <w:p w14:paraId="7FD27DC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2" w:name="art13i"/>
      <w:bookmarkEnd w:id="32"/>
      <w:r w:rsidRPr="00264FA8">
        <w:rPr>
          <w:rFonts w:ascii="Book Antiqua" w:eastAsia="Times New Roman" w:hAnsi="Book Antiqua" w:cs="Arial"/>
          <w:sz w:val="19"/>
          <w:szCs w:val="19"/>
          <w:lang w:eastAsia="pt-BR"/>
        </w:rPr>
        <w:t>I – percurso acessível que una as unidades habitacionais com o exterior e com as dependências de uso comum;</w:t>
      </w:r>
    </w:p>
    <w:p w14:paraId="49304F3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3ii"/>
      <w:bookmarkEnd w:id="33"/>
      <w:r w:rsidRPr="00264FA8">
        <w:rPr>
          <w:rFonts w:ascii="Book Antiqua" w:eastAsia="Times New Roman" w:hAnsi="Book Antiqua" w:cs="Arial"/>
          <w:sz w:val="19"/>
          <w:szCs w:val="19"/>
          <w:lang w:eastAsia="pt-BR"/>
        </w:rPr>
        <w:t>II – percurso acessível que una a edificação à via pública, às edificações e aos serviços anexos de uso comum e aos edifícios vizinhos;</w:t>
      </w:r>
    </w:p>
    <w:p w14:paraId="5D5B46F2"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4" w:name="art13iii"/>
      <w:bookmarkEnd w:id="34"/>
      <w:r w:rsidRPr="00264FA8">
        <w:rPr>
          <w:rFonts w:ascii="Book Antiqua" w:eastAsia="Times New Roman" w:hAnsi="Book Antiqua" w:cs="Arial"/>
          <w:sz w:val="19"/>
          <w:szCs w:val="19"/>
          <w:lang w:eastAsia="pt-BR"/>
        </w:rPr>
        <w:t>III – cabine do elevador e respectiva porta de entrada acessíveis para pessoas portadoras de deficiência ou com mobilidade reduzida.</w:t>
      </w:r>
    </w:p>
    <w:p w14:paraId="11BD8F94" w14:textId="1E8A9B2A"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b/>
          <w:bCs/>
          <w:sz w:val="18"/>
          <w:szCs w:val="18"/>
          <w:lang w:eastAsia="pt-BR"/>
        </w:rPr>
      </w:pPr>
      <w:bookmarkStart w:id="35" w:name="art14"/>
      <w:bookmarkEnd w:id="35"/>
      <w:r w:rsidRPr="00264FA8">
        <w:rPr>
          <w:rFonts w:ascii="Book Antiqua" w:eastAsia="Times New Roman" w:hAnsi="Book Antiqua" w:cs="Arial"/>
          <w:b/>
          <w:sz w:val="19"/>
          <w:szCs w:val="19"/>
          <w:highlight w:val="magenta"/>
          <w:lang w:eastAsia="pt-BR"/>
        </w:rPr>
        <w:t>Art. 14</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edifícios a serem construídos com mais de um pavimento além do pavimento de acesso, à exceção das habitações unifamiliares, e que não estejam obrigados à instalação de elevador, deverão dispor de especificações técnicas e de projeto que facilitem a instalação de um elevador adaptado, devendo os demais elementos de uso comum destes edifícios atender aos requisitos de acessibilidade</w:t>
      </w:r>
      <w:r w:rsidRPr="00872692">
        <w:rPr>
          <w:rFonts w:ascii="Book Antiqua" w:eastAsia="Times New Roman" w:hAnsi="Book Antiqua" w:cs="Arial"/>
          <w:b/>
          <w:bCs/>
          <w:sz w:val="18"/>
          <w:szCs w:val="18"/>
          <w:lang w:eastAsia="pt-BR"/>
        </w:rPr>
        <w:t>.</w:t>
      </w:r>
      <w:r w:rsidR="006250DE" w:rsidRPr="00872692">
        <w:rPr>
          <w:rFonts w:ascii="Book Antiqua" w:eastAsia="Times New Roman" w:hAnsi="Book Antiqua" w:cs="Arial"/>
          <w:b/>
          <w:bCs/>
          <w:sz w:val="18"/>
          <w:szCs w:val="18"/>
          <w:lang w:eastAsia="pt-BR"/>
        </w:rPr>
        <w:t xml:space="preserve"> </w:t>
      </w:r>
      <w:r w:rsidR="006250DE" w:rsidRPr="00872692">
        <w:rPr>
          <w:rFonts w:ascii="Book Antiqua" w:hAnsi="Book Antiqua"/>
          <w:b/>
          <w:color w:val="FF0000"/>
          <w:sz w:val="16"/>
          <w:szCs w:val="16"/>
          <w:u w:val="single"/>
        </w:rPr>
        <w:t>(MPSC-2014)</w:t>
      </w:r>
    </w:p>
    <w:tbl>
      <w:tblPr>
        <w:tblStyle w:val="Tabelacomgrade"/>
        <w:tblW w:w="0" w:type="auto"/>
        <w:shd w:val="clear" w:color="auto" w:fill="CCFFFF"/>
        <w:tblLook w:val="04A0" w:firstRow="1" w:lastRow="0" w:firstColumn="1" w:lastColumn="0" w:noHBand="0" w:noVBand="1"/>
      </w:tblPr>
      <w:tblGrid>
        <w:gridCol w:w="8494"/>
      </w:tblGrid>
      <w:tr w:rsidR="006C1040" w:rsidRPr="00264FA8" w14:paraId="1E186112" w14:textId="77777777" w:rsidTr="00966A9D">
        <w:tc>
          <w:tcPr>
            <w:tcW w:w="8494" w:type="dxa"/>
            <w:shd w:val="clear" w:color="auto" w:fill="CCFFFF"/>
          </w:tcPr>
          <w:p w14:paraId="0DCA1F1D" w14:textId="3DBA568C" w:rsidR="006C1040" w:rsidRPr="00264FA8" w:rsidRDefault="006C1040" w:rsidP="00966A9D">
            <w:pPr>
              <w:spacing w:before="100" w:beforeAutospacing="1" w:after="100" w:afterAutospacing="1"/>
              <w:jc w:val="both"/>
              <w:rPr>
                <w:rFonts w:ascii="Book Antiqua" w:eastAsia="Times New Roman" w:hAnsi="Book Antiqua" w:cs="Times New Roman"/>
                <w:sz w:val="19"/>
                <w:szCs w:val="19"/>
                <w:lang w:eastAsia="pt-BR"/>
              </w:rPr>
            </w:pP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b/>
                <w:sz w:val="19"/>
                <w:szCs w:val="19"/>
                <w:highlight w:val="yellow"/>
                <w:lang w:eastAsia="pt-BR"/>
              </w:rPr>
              <w:t>MPSC-2014</w:t>
            </w:r>
            <w:r w:rsidRPr="00264FA8">
              <w:rPr>
                <w:rFonts w:ascii="Book Antiqua" w:eastAsia="Times New Roman" w:hAnsi="Book Antiqua" w:cs="Times New Roman"/>
                <w:b/>
                <w:sz w:val="19"/>
                <w:szCs w:val="19"/>
                <w:lang w:eastAsia="pt-BR"/>
              </w:rPr>
              <w:t xml:space="preserve">): </w:t>
            </w:r>
            <w:r w:rsidRPr="00264FA8">
              <w:rPr>
                <w:rFonts w:ascii="Book Antiqua" w:eastAsia="Times New Roman" w:hAnsi="Book Antiqua" w:cs="Times New Roman"/>
                <w:sz w:val="19"/>
                <w:szCs w:val="19"/>
                <w:lang w:eastAsia="pt-BR"/>
              </w:rPr>
              <w:t xml:space="preserve">Nos termos da Lei 10098/00, constam disposições de acessibilidade nos edifícios públicos ou nos edifícios privados destinados ao uso coletivo, assim como de acessibilidade nos edifícios de uso privado em que seja, ou não, obrigatória a instalação de elevadores. </w:t>
            </w:r>
            <w:r w:rsidRPr="00264FA8">
              <w:rPr>
                <w:rFonts w:ascii="Book Antiqua" w:eastAsia="Times New Roman" w:hAnsi="Book Antiqua" w:cs="Times New Roman"/>
                <w:b/>
                <w:sz w:val="19"/>
                <w:szCs w:val="19"/>
                <w:lang w:eastAsia="pt-BR"/>
              </w:rPr>
              <w:t>BL: arts. 11, 13 e 14 da Lei 10098/00.</w:t>
            </w:r>
          </w:p>
        </w:tc>
      </w:tr>
    </w:tbl>
    <w:p w14:paraId="3039D631"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15"/>
      <w:bookmarkEnd w:id="36"/>
      <w:r w:rsidRPr="00264FA8">
        <w:rPr>
          <w:rFonts w:ascii="Book Antiqua" w:eastAsia="Times New Roman" w:hAnsi="Book Antiqua" w:cs="Arial"/>
          <w:sz w:val="19"/>
          <w:szCs w:val="19"/>
          <w:lang w:eastAsia="pt-BR"/>
        </w:rPr>
        <w:t>Art. 15. Caberá ao órgão federal responsável pela coordenação da política habitacional regulamentar a reserva de um percentual mínimo do total das habitações, conforme a característica da população local, para o atendimento da demanda de pessoas portadoras de deficiência ou com mobilidade reduzida.</w:t>
      </w:r>
    </w:p>
    <w:p w14:paraId="35DADCD5"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w:t>
      </w:r>
    </w:p>
    <w:p w14:paraId="2856B8B6"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VEÍCULOS DE TRANSPORTE COLETIVO</w:t>
      </w:r>
    </w:p>
    <w:p w14:paraId="21F8F616" w14:textId="77777777" w:rsidR="00A0779F" w:rsidRPr="00264FA8" w:rsidRDefault="00A0779F" w:rsidP="00A0779F">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37" w:name="art16"/>
      <w:bookmarkEnd w:id="37"/>
      <w:r w:rsidRPr="00264FA8">
        <w:rPr>
          <w:rFonts w:ascii="Book Antiqua" w:eastAsia="Times New Roman" w:hAnsi="Book Antiqua" w:cs="Arial"/>
          <w:sz w:val="19"/>
          <w:szCs w:val="19"/>
          <w:lang w:eastAsia="pt-BR"/>
        </w:rPr>
        <w:t>Art. 16. Os veículos de transporte coletivo deverão cumprir os requisitos de acessibilidade estabelecidos nas normas técnicas específicas.</w:t>
      </w:r>
    </w:p>
    <w:p w14:paraId="670566E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VII</w:t>
      </w:r>
    </w:p>
    <w:p w14:paraId="5549C5F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SISTEMAS DE COMUNICAÇÃO E SINALIZAÇÃO</w:t>
      </w:r>
    </w:p>
    <w:p w14:paraId="2930AC92" w14:textId="77777777" w:rsidR="00CB1CBB" w:rsidRPr="00CB1CBB" w:rsidRDefault="00CB1CBB" w:rsidP="00CB1CBB">
      <w:pPr>
        <w:spacing w:before="100" w:beforeAutospacing="1" w:after="100" w:afterAutospacing="1" w:line="240" w:lineRule="auto"/>
        <w:ind w:firstLine="450"/>
        <w:jc w:val="both"/>
        <w:rPr>
          <w:rFonts w:ascii="Book Antiqua" w:eastAsia="Times New Roman" w:hAnsi="Book Antiqua" w:cs="Arial"/>
          <w:color w:val="3333FF"/>
          <w:sz w:val="16"/>
          <w:szCs w:val="16"/>
          <w:lang w:eastAsia="pt-BR"/>
        </w:rPr>
      </w:pPr>
      <w:bookmarkStart w:id="38" w:name="art17"/>
      <w:bookmarkEnd w:id="38"/>
      <w:r w:rsidRPr="00CB1CBB">
        <w:rPr>
          <w:rFonts w:ascii="Book Antiqua" w:eastAsia="Times New Roman" w:hAnsi="Book Antiqua" w:cs="Arial"/>
          <w:sz w:val="19"/>
          <w:szCs w:val="19"/>
          <w:lang w:eastAsia="pt-BR"/>
        </w:rPr>
        <w:t>Art. 17. O poder público promoverá a eliminação de barreiras na comunicação e estabelecerá mecanismos e alternativas técnicas que tornem acessíveis os sistemas de comunicação e sinalização às pessoas com deficiência sensorial e com necessidades complexas de comunicação, para garantir-lhes o direito de acesso à informação, à comunicação, ao trabalho, à educação, ao transporte, à cultura, ao esporte e ao lazer.      </w:t>
      </w:r>
      <w:hyperlink r:id="rId30" w:anchor="art2" w:history="1">
        <w:r w:rsidRPr="00CB1CBB">
          <w:rPr>
            <w:rStyle w:val="Hyperlink"/>
            <w:rFonts w:ascii="Book Antiqua" w:eastAsia="Times New Roman" w:hAnsi="Book Antiqua" w:cs="Arial"/>
            <w:color w:val="3333FF"/>
            <w:sz w:val="16"/>
            <w:szCs w:val="16"/>
            <w:lang w:eastAsia="pt-BR"/>
          </w:rPr>
          <w:t>(Redação dada pela Lei nº 15.249, de 2025)</w:t>
        </w:r>
      </w:hyperlink>
    </w:p>
    <w:p w14:paraId="4B591D41" w14:textId="77777777" w:rsidR="00CB1CBB" w:rsidRPr="00CB1CBB" w:rsidRDefault="00CB1CBB" w:rsidP="00CB1CBB">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CB1CBB">
        <w:rPr>
          <w:rFonts w:ascii="Book Antiqua" w:eastAsia="Times New Roman" w:hAnsi="Book Antiqua" w:cs="Arial"/>
          <w:sz w:val="19"/>
          <w:szCs w:val="19"/>
          <w:lang w:eastAsia="pt-BR"/>
        </w:rPr>
        <w:t>Parágrafo único. As ações previstas no </w:t>
      </w:r>
      <w:r w:rsidRPr="00CB1CBB">
        <w:rPr>
          <w:rFonts w:ascii="Book Antiqua" w:eastAsia="Times New Roman" w:hAnsi="Book Antiqua" w:cs="Arial"/>
          <w:i/>
          <w:iCs/>
          <w:sz w:val="19"/>
          <w:szCs w:val="19"/>
          <w:lang w:eastAsia="pt-BR"/>
        </w:rPr>
        <w:t>caput</w:t>
      </w:r>
      <w:r w:rsidRPr="00CB1CBB">
        <w:rPr>
          <w:rFonts w:ascii="Book Antiqua" w:eastAsia="Times New Roman" w:hAnsi="Book Antiqua" w:cs="Arial"/>
          <w:sz w:val="19"/>
          <w:szCs w:val="19"/>
          <w:lang w:eastAsia="pt-BR"/>
        </w:rPr>
        <w:t> deste artigo incluirão a instalação, em espaços públicos e abertos ao público, de sistemas de comunicação aumentativa e alternativa compostos de pranchas de baixa tecnologia com pictogramas, para atender às necessidades comunicativas específicas de cada contexto.   </w:t>
      </w:r>
      <w:r w:rsidRPr="00CB1CBB">
        <w:rPr>
          <w:rFonts w:ascii="Book Antiqua" w:eastAsia="Times New Roman" w:hAnsi="Book Antiqua" w:cs="Arial"/>
          <w:color w:val="3333FF"/>
          <w:sz w:val="16"/>
          <w:szCs w:val="16"/>
          <w:lang w:eastAsia="pt-BR"/>
        </w:rPr>
        <w:t>  </w:t>
      </w:r>
      <w:hyperlink r:id="rId31" w:anchor="art2" w:history="1">
        <w:r w:rsidRPr="00CB1CBB">
          <w:rPr>
            <w:rStyle w:val="Hyperlink"/>
            <w:rFonts w:ascii="Book Antiqua" w:eastAsia="Times New Roman" w:hAnsi="Book Antiqua" w:cs="Arial"/>
            <w:color w:val="3333FF"/>
            <w:sz w:val="16"/>
            <w:szCs w:val="16"/>
            <w:lang w:eastAsia="pt-BR"/>
          </w:rPr>
          <w:t>(Incluído pela Lei nº 15.249, de 2025)</w:t>
        </w:r>
      </w:hyperlink>
    </w:p>
    <w:p w14:paraId="53C5487E" w14:textId="77777777"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9" w:name="art18"/>
      <w:bookmarkEnd w:id="39"/>
      <w:r w:rsidRPr="00264FA8">
        <w:rPr>
          <w:rFonts w:ascii="Book Antiqua" w:eastAsia="Times New Roman" w:hAnsi="Book Antiqua" w:cs="Arial"/>
          <w:sz w:val="19"/>
          <w:szCs w:val="19"/>
          <w:lang w:eastAsia="pt-BR"/>
        </w:rPr>
        <w:t>Art. 18. O Poder Público implementará a formação de profissionais intérpretes de escrita em braile, linguagem de sinais e de guias-intérpretes, para facilitar qualquer tipo de comunicação direta à pessoa portadora de deficiência sensorial e com dificuldade de comunicação</w:t>
      </w:r>
      <w:r w:rsidRPr="00872692">
        <w:rPr>
          <w:rFonts w:ascii="Book Antiqua" w:eastAsia="Times New Roman" w:hAnsi="Book Antiqua" w:cs="Arial"/>
          <w:sz w:val="18"/>
          <w:szCs w:val="18"/>
          <w:lang w:eastAsia="pt-BR"/>
        </w:rPr>
        <w:t xml:space="preserve">.                 </w:t>
      </w:r>
      <w:hyperlink r:id="rId32" w:anchor="art1" w:history="1">
        <w:r w:rsidRPr="00872692">
          <w:rPr>
            <w:rFonts w:ascii="Book Antiqua" w:eastAsia="Times New Roman" w:hAnsi="Book Antiqua" w:cs="Arial"/>
            <w:color w:val="0000FF"/>
            <w:sz w:val="18"/>
            <w:szCs w:val="18"/>
            <w:u w:val="single"/>
            <w:lang w:eastAsia="pt-BR"/>
          </w:rPr>
          <w:t>Regulamento</w:t>
        </w:r>
      </w:hyperlink>
    </w:p>
    <w:p w14:paraId="527AE629"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19"/>
      <w:bookmarkEnd w:id="40"/>
      <w:r w:rsidRPr="00264FA8">
        <w:rPr>
          <w:rFonts w:ascii="Book Antiqua" w:eastAsia="Times New Roman" w:hAnsi="Book Antiqua" w:cs="Arial"/>
          <w:sz w:val="19"/>
          <w:szCs w:val="19"/>
          <w:lang w:eastAsia="pt-BR"/>
        </w:rPr>
        <w:t>Art. 19. Os serviços de radiodifusão sonora e de sons e imagens adotarão plano de medidas técnicas com o objetivo de permitir o uso da linguagem de sinais ou outra subtitulação, para garantir o direito de acesso à informação às pessoas portadoras de deficiência auditiva, na forma e no prazo previstos em regulamento.</w:t>
      </w:r>
    </w:p>
    <w:p w14:paraId="4FDC8B4F"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VIII</w:t>
      </w:r>
    </w:p>
    <w:p w14:paraId="5AD93C6D"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lastRenderedPageBreak/>
        <w:t>DISPOSIÇÕES SOBRE AJUDAS TÉCNICAS</w:t>
      </w:r>
    </w:p>
    <w:p w14:paraId="5AEFFC8F"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0"/>
      <w:bookmarkEnd w:id="41"/>
      <w:r w:rsidRPr="00264FA8">
        <w:rPr>
          <w:rFonts w:ascii="Book Antiqua" w:eastAsia="Times New Roman" w:hAnsi="Book Antiqua" w:cs="Arial"/>
          <w:sz w:val="19"/>
          <w:szCs w:val="19"/>
          <w:lang w:eastAsia="pt-BR"/>
        </w:rPr>
        <w:t>Art. 20. O Poder Público promoverá a supressão de barreiras urbanísticas, arquitetônicas, de transporte e de comunicação, mediante ajudas técnicas.</w:t>
      </w:r>
    </w:p>
    <w:p w14:paraId="43B8E76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21"/>
      <w:bookmarkEnd w:id="42"/>
      <w:r w:rsidRPr="00264FA8">
        <w:rPr>
          <w:rFonts w:ascii="Book Antiqua" w:eastAsia="Times New Roman" w:hAnsi="Book Antiqua" w:cs="Arial"/>
          <w:sz w:val="19"/>
          <w:szCs w:val="19"/>
          <w:lang w:eastAsia="pt-BR"/>
        </w:rPr>
        <w:t>Art. 21. O Poder Público, por meio dos organismos de apoio à pesquisa e das agências de financiamento, fomentará programas destinados:</w:t>
      </w:r>
    </w:p>
    <w:p w14:paraId="2792DC2C"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1i"/>
      <w:bookmarkEnd w:id="43"/>
      <w:r w:rsidRPr="00264FA8">
        <w:rPr>
          <w:rFonts w:ascii="Book Antiqua" w:eastAsia="Times New Roman" w:hAnsi="Book Antiqua" w:cs="Arial"/>
          <w:sz w:val="19"/>
          <w:szCs w:val="19"/>
          <w:lang w:eastAsia="pt-BR"/>
        </w:rPr>
        <w:t>I – à promoção de pesquisas científicas voltadas ao tratamento e prevenção de deficiências;</w:t>
      </w:r>
    </w:p>
    <w:p w14:paraId="481557D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4" w:name="art21ii"/>
      <w:bookmarkEnd w:id="44"/>
      <w:r w:rsidRPr="00264FA8">
        <w:rPr>
          <w:rFonts w:ascii="Book Antiqua" w:eastAsia="Times New Roman" w:hAnsi="Book Antiqua" w:cs="Arial"/>
          <w:sz w:val="19"/>
          <w:szCs w:val="19"/>
          <w:lang w:eastAsia="pt-BR"/>
        </w:rPr>
        <w:t>II – ao desenvolvimento tecnológico orientado à produção de ajudas técnicas para as pessoas portadoras de deficiência;</w:t>
      </w:r>
    </w:p>
    <w:p w14:paraId="75D743A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21iii"/>
      <w:bookmarkEnd w:id="45"/>
      <w:r w:rsidRPr="00264FA8">
        <w:rPr>
          <w:rFonts w:ascii="Book Antiqua" w:eastAsia="Times New Roman" w:hAnsi="Book Antiqua" w:cs="Arial"/>
          <w:sz w:val="19"/>
          <w:szCs w:val="19"/>
          <w:lang w:eastAsia="pt-BR"/>
        </w:rPr>
        <w:t>III – à especialização de recursos humanos em acessibilidade.</w:t>
      </w:r>
    </w:p>
    <w:p w14:paraId="5E4BE74A"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IX</w:t>
      </w:r>
    </w:p>
    <w:p w14:paraId="20F4D894"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DAS MEDIDAS DE FOMENTO À ELIMINAÇÃO DE BARREIRAS</w:t>
      </w:r>
    </w:p>
    <w:p w14:paraId="6C255F4F" w14:textId="77777777" w:rsidR="00A0779F" w:rsidRPr="00264FA8" w:rsidRDefault="00A0779F" w:rsidP="00A0779F">
      <w:pPr>
        <w:spacing w:before="100" w:beforeAutospacing="1" w:after="100" w:afterAutospacing="1" w:line="240" w:lineRule="auto"/>
        <w:jc w:val="both"/>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 xml:space="preserve">        </w:t>
      </w:r>
      <w:bookmarkStart w:id="46" w:name="art22"/>
      <w:bookmarkEnd w:id="46"/>
      <w:r w:rsidRPr="00264FA8">
        <w:rPr>
          <w:rFonts w:ascii="Book Antiqua" w:eastAsia="Times New Roman" w:hAnsi="Book Antiqua" w:cs="Arial"/>
          <w:sz w:val="19"/>
          <w:szCs w:val="19"/>
          <w:lang w:eastAsia="pt-BR"/>
        </w:rPr>
        <w:t>Art. 22. É instituído, no âmbito da Secretaria de Estado de Direitos Humanos do Ministério da Justiça, o Programa Nacional de Acessibilidade, com dotação orçamentária específica, cuja execução será disciplinada em regulamento.</w:t>
      </w:r>
    </w:p>
    <w:p w14:paraId="70C646B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X</w:t>
      </w:r>
    </w:p>
    <w:p w14:paraId="0193E5C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DISPOSIÇÕES FINAIS</w:t>
      </w:r>
    </w:p>
    <w:p w14:paraId="21E2AA2F" w14:textId="7232A0FD" w:rsidR="00A0779F" w:rsidRPr="009A7F13" w:rsidRDefault="00A0779F" w:rsidP="00A0779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7" w:name="art23"/>
      <w:bookmarkEnd w:id="47"/>
      <w:r w:rsidRPr="009A7F13">
        <w:rPr>
          <w:rFonts w:ascii="Book Antiqua" w:eastAsia="Times New Roman" w:hAnsi="Book Antiqua" w:cs="Arial"/>
          <w:b/>
          <w:bCs/>
          <w:sz w:val="19"/>
          <w:szCs w:val="19"/>
          <w:highlight w:val="magenta"/>
          <w:lang w:eastAsia="pt-BR"/>
        </w:rPr>
        <w:t>Art. 23</w:t>
      </w:r>
      <w:r w:rsidRPr="009A7F13">
        <w:rPr>
          <w:rFonts w:ascii="Book Antiqua" w:eastAsia="Times New Roman" w:hAnsi="Book Antiqua" w:cs="Arial"/>
          <w:b/>
          <w:bCs/>
          <w:sz w:val="19"/>
          <w:szCs w:val="19"/>
          <w:lang w:eastAsia="pt-BR"/>
        </w:rPr>
        <w:t>. A Administração Pública federal direta e indireta destinará, anualmente, dotação orçamentária para as adaptações, eliminações e supressões de barreiras arquitetônicas existentes nos edifícios de uso público de sua propriedade e naqueles que estejam sob sua administração ou uso.</w:t>
      </w:r>
      <w:r w:rsidR="009A7F13" w:rsidRPr="009A7F13">
        <w:rPr>
          <w:rFonts w:ascii="Book Antiqua" w:eastAsia="Times New Roman" w:hAnsi="Book Antiqua" w:cs="Arial"/>
          <w:b/>
          <w:bCs/>
          <w:sz w:val="19"/>
          <w:szCs w:val="19"/>
          <w:lang w:eastAsia="pt-BR"/>
        </w:rPr>
        <w:t xml:space="preserve"> </w:t>
      </w:r>
      <w:r w:rsidR="009A7F13" w:rsidRPr="009A7F13">
        <w:rPr>
          <w:rFonts w:ascii="Book Antiqua" w:hAnsi="Book Antiqua"/>
          <w:b/>
          <w:bCs/>
          <w:color w:val="FF0000"/>
          <w:sz w:val="16"/>
          <w:szCs w:val="16"/>
          <w:u w:val="single"/>
        </w:rPr>
        <w:t>(MPMG-2024)</w:t>
      </w:r>
    </w:p>
    <w:p w14:paraId="0FA78AF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8" w:name="art13p"/>
      <w:bookmarkEnd w:id="48"/>
      <w:r w:rsidRPr="00264FA8">
        <w:rPr>
          <w:rFonts w:ascii="Book Antiqua" w:eastAsia="Times New Roman" w:hAnsi="Book Antiqua" w:cs="Arial"/>
          <w:sz w:val="19"/>
          <w:szCs w:val="19"/>
          <w:lang w:eastAsia="pt-BR"/>
        </w:rPr>
        <w:t>Parágrafo único. A implementação das adaptações, eliminações e supressões de barreiras arquitetônicas referidas no caput deste artigo deverá ser iniciada a partir do primeiro ano de vigência desta Lei.</w:t>
      </w:r>
    </w:p>
    <w:p w14:paraId="298B0C6C"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9" w:name="art24"/>
      <w:bookmarkEnd w:id="49"/>
      <w:r w:rsidRPr="00264FA8">
        <w:rPr>
          <w:rFonts w:ascii="Book Antiqua" w:eastAsia="Times New Roman" w:hAnsi="Book Antiqua" w:cs="Arial"/>
          <w:sz w:val="19"/>
          <w:szCs w:val="19"/>
          <w:lang w:eastAsia="pt-BR"/>
        </w:rPr>
        <w:t>Art. 24. O Poder Público promoverá campanhas informativas e educativas dirigidas à população em geral, com a finalidade de conscientizá-la e sensibilizá-la quanto à acessibilidade e à integração social da pessoa portadora de deficiência ou com mobilidade reduzida.</w:t>
      </w:r>
    </w:p>
    <w:p w14:paraId="56684F8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25"/>
      <w:bookmarkEnd w:id="50"/>
      <w:r w:rsidRPr="00264FA8">
        <w:rPr>
          <w:rFonts w:ascii="Book Antiqua" w:eastAsia="Times New Roman" w:hAnsi="Book Antiqua" w:cs="Arial"/>
          <w:sz w:val="19"/>
          <w:szCs w:val="19"/>
          <w:lang w:eastAsia="pt-BR"/>
        </w:rPr>
        <w:t>Art. 25. As disposições desta Lei aplicam-se aos edifícios ou imóveis declarados bens de interesse cultural ou de valor histórico-artístico, desde que as modificações necessárias observem as normas específicas reguladoras destes bens.</w:t>
      </w:r>
    </w:p>
    <w:p w14:paraId="7ABFF0C1"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1" w:name="art26"/>
      <w:bookmarkEnd w:id="51"/>
      <w:r w:rsidRPr="00264FA8">
        <w:rPr>
          <w:rFonts w:ascii="Book Antiqua" w:eastAsia="Times New Roman" w:hAnsi="Book Antiqua" w:cs="Arial"/>
          <w:sz w:val="19"/>
          <w:szCs w:val="19"/>
          <w:lang w:eastAsia="pt-BR"/>
        </w:rPr>
        <w:t>Art. 26. As organizações representativas de pessoas portadoras de deficiência terão legitimidade para acompanhar o cumprimento dos requisitos de acessibilidade estabelecidos nesta Lei.</w:t>
      </w:r>
    </w:p>
    <w:p w14:paraId="3084044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2" w:name="art27"/>
      <w:bookmarkEnd w:id="52"/>
      <w:r w:rsidRPr="00264FA8">
        <w:rPr>
          <w:rFonts w:ascii="Book Antiqua" w:eastAsia="Times New Roman" w:hAnsi="Book Antiqua" w:cs="Arial"/>
          <w:sz w:val="19"/>
          <w:szCs w:val="19"/>
          <w:lang w:eastAsia="pt-BR"/>
        </w:rPr>
        <w:t>Art. 27. Esta Lei entra em vigor na data de sua publicação.</w:t>
      </w:r>
    </w:p>
    <w:p w14:paraId="53A46AC3" w14:textId="77777777" w:rsidR="00A0779F" w:rsidRPr="00264FA8" w:rsidRDefault="00A0779F" w:rsidP="00A0779F">
      <w:pPr>
        <w:spacing w:before="100" w:beforeAutospacing="1" w:after="100" w:afterAutospacing="1" w:line="240" w:lineRule="auto"/>
        <w:ind w:firstLine="450"/>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Brasília, 19 de dezembro de 2000; 179</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da Independência e 112</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da República.</w:t>
      </w:r>
    </w:p>
    <w:p w14:paraId="65A08E4F" w14:textId="77777777" w:rsidR="00A0779F" w:rsidRPr="00264FA8" w:rsidRDefault="00A0779F" w:rsidP="00A0779F">
      <w:pPr>
        <w:spacing w:before="100" w:beforeAutospacing="1" w:after="100" w:afterAutospacing="1" w:line="240" w:lineRule="auto"/>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FERNANDO HENRIQUE CARDOSO</w:t>
      </w:r>
      <w:r w:rsidRPr="00264FA8">
        <w:rPr>
          <w:rFonts w:ascii="Book Antiqua" w:eastAsia="Times New Roman" w:hAnsi="Book Antiqua" w:cs="Arial"/>
          <w:sz w:val="19"/>
          <w:szCs w:val="19"/>
          <w:lang w:eastAsia="pt-BR"/>
        </w:rPr>
        <w:br/>
      </w:r>
      <w:r w:rsidRPr="00264FA8">
        <w:rPr>
          <w:rFonts w:ascii="Book Antiqua" w:eastAsia="Times New Roman" w:hAnsi="Book Antiqua" w:cs="Arial"/>
          <w:i/>
          <w:iCs/>
          <w:sz w:val="19"/>
          <w:szCs w:val="19"/>
          <w:lang w:eastAsia="pt-BR"/>
        </w:rPr>
        <w:t>José Gregori</w:t>
      </w:r>
    </w:p>
    <w:p w14:paraId="78252A82" w14:textId="6A1CC44B" w:rsidR="008D5956" w:rsidRPr="00264FA8" w:rsidRDefault="00A0779F" w:rsidP="00264FA8">
      <w:pPr>
        <w:spacing w:before="100" w:beforeAutospacing="1" w:after="100" w:afterAutospacing="1" w:line="240" w:lineRule="auto"/>
        <w:rPr>
          <w:rFonts w:ascii="Book Antiqua" w:eastAsia="Times New Roman" w:hAnsi="Book Antiqua" w:cs="Times New Roman"/>
          <w:sz w:val="19"/>
          <w:szCs w:val="19"/>
          <w:lang w:eastAsia="pt-BR"/>
        </w:rPr>
      </w:pPr>
      <w:r w:rsidRPr="00264FA8">
        <w:rPr>
          <w:rFonts w:ascii="Book Antiqua" w:eastAsia="Times New Roman" w:hAnsi="Book Antiqua" w:cs="Arial"/>
          <w:color w:val="FF0000"/>
          <w:sz w:val="19"/>
          <w:szCs w:val="19"/>
          <w:lang w:eastAsia="pt-BR"/>
        </w:rPr>
        <w:t>Este texto não substitui o publicado no DOU de 20.12.2000</w:t>
      </w:r>
      <w:r w:rsidR="00264FA8">
        <w:rPr>
          <w:rFonts w:ascii="Book Antiqua" w:eastAsia="Times New Roman" w:hAnsi="Book Antiqua" w:cs="Times New Roman"/>
          <w:sz w:val="19"/>
          <w:szCs w:val="19"/>
          <w:lang w:eastAsia="pt-BR"/>
        </w:rPr>
        <w:t>.</w:t>
      </w:r>
    </w:p>
    <w:sectPr w:rsidR="008D5956" w:rsidRPr="00264FA8" w:rsidSect="00056D5F">
      <w:pgSz w:w="11906" w:h="16838"/>
      <w:pgMar w:top="993"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78DAC" w14:textId="77777777" w:rsidR="00320AE5" w:rsidRDefault="00320AE5" w:rsidP="004109D6">
      <w:pPr>
        <w:spacing w:after="0" w:line="240" w:lineRule="auto"/>
      </w:pPr>
      <w:r>
        <w:separator/>
      </w:r>
    </w:p>
  </w:endnote>
  <w:endnote w:type="continuationSeparator" w:id="0">
    <w:p w14:paraId="2DCDDAE5" w14:textId="77777777" w:rsidR="00320AE5" w:rsidRDefault="00320AE5" w:rsidP="00410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AFA4D" w14:textId="77777777" w:rsidR="00320AE5" w:rsidRDefault="00320AE5" w:rsidP="004109D6">
      <w:pPr>
        <w:spacing w:after="0" w:line="240" w:lineRule="auto"/>
      </w:pPr>
      <w:r>
        <w:separator/>
      </w:r>
    </w:p>
  </w:footnote>
  <w:footnote w:type="continuationSeparator" w:id="0">
    <w:p w14:paraId="612F6263" w14:textId="77777777" w:rsidR="00320AE5" w:rsidRDefault="00320AE5" w:rsidP="00410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6131350">
    <w:abstractNumId w:val="2"/>
  </w:num>
  <w:num w:numId="2" w16cid:durableId="521479448">
    <w:abstractNumId w:val="1"/>
  </w:num>
  <w:num w:numId="3" w16cid:durableId="176326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E8"/>
    <w:rsid w:val="000225F6"/>
    <w:rsid w:val="00025EFD"/>
    <w:rsid w:val="00033F4B"/>
    <w:rsid w:val="0005369A"/>
    <w:rsid w:val="00056D5F"/>
    <w:rsid w:val="000A3BDA"/>
    <w:rsid w:val="000F2A7A"/>
    <w:rsid w:val="00140CE3"/>
    <w:rsid w:val="00142700"/>
    <w:rsid w:val="0015487B"/>
    <w:rsid w:val="00264FA8"/>
    <w:rsid w:val="002B5467"/>
    <w:rsid w:val="00320AE5"/>
    <w:rsid w:val="00336334"/>
    <w:rsid w:val="00353457"/>
    <w:rsid w:val="00362C99"/>
    <w:rsid w:val="004109D6"/>
    <w:rsid w:val="00427872"/>
    <w:rsid w:val="0045444F"/>
    <w:rsid w:val="004C0657"/>
    <w:rsid w:val="005101DD"/>
    <w:rsid w:val="005D5551"/>
    <w:rsid w:val="005E0D19"/>
    <w:rsid w:val="006141D5"/>
    <w:rsid w:val="006250DE"/>
    <w:rsid w:val="0062563D"/>
    <w:rsid w:val="006910DA"/>
    <w:rsid w:val="006A30BB"/>
    <w:rsid w:val="006C1040"/>
    <w:rsid w:val="00702F4D"/>
    <w:rsid w:val="00785457"/>
    <w:rsid w:val="007B5645"/>
    <w:rsid w:val="007D2311"/>
    <w:rsid w:val="0081539C"/>
    <w:rsid w:val="00872692"/>
    <w:rsid w:val="008A2D0E"/>
    <w:rsid w:val="008C0F29"/>
    <w:rsid w:val="008C2B5D"/>
    <w:rsid w:val="008D5956"/>
    <w:rsid w:val="009A7F13"/>
    <w:rsid w:val="009E4AF7"/>
    <w:rsid w:val="00A06F1C"/>
    <w:rsid w:val="00A0779F"/>
    <w:rsid w:val="00A30C7B"/>
    <w:rsid w:val="00A625F3"/>
    <w:rsid w:val="00A94121"/>
    <w:rsid w:val="00AC230A"/>
    <w:rsid w:val="00AC58E6"/>
    <w:rsid w:val="00AE5AD4"/>
    <w:rsid w:val="00B5098A"/>
    <w:rsid w:val="00BB218B"/>
    <w:rsid w:val="00BC17DB"/>
    <w:rsid w:val="00BD2F46"/>
    <w:rsid w:val="00C362ED"/>
    <w:rsid w:val="00C530C0"/>
    <w:rsid w:val="00C5541E"/>
    <w:rsid w:val="00C95B3C"/>
    <w:rsid w:val="00CB1CBB"/>
    <w:rsid w:val="00D453E2"/>
    <w:rsid w:val="00D718F6"/>
    <w:rsid w:val="00D73E37"/>
    <w:rsid w:val="00DB3357"/>
    <w:rsid w:val="00DC5FE8"/>
    <w:rsid w:val="00E1688A"/>
    <w:rsid w:val="00E30204"/>
    <w:rsid w:val="00E65863"/>
    <w:rsid w:val="00F340F4"/>
    <w:rsid w:val="00FC4B57"/>
    <w:rsid w:val="00FF2E29"/>
    <w:rsid w:val="00FF59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B0B6D"/>
  <w15:chartTrackingRefBased/>
  <w15:docId w15:val="{091FAE91-E179-42B9-96F7-078D6200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109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09D6"/>
  </w:style>
  <w:style w:type="paragraph" w:styleId="Rodap">
    <w:name w:val="footer"/>
    <w:basedOn w:val="Normal"/>
    <w:link w:val="RodapChar"/>
    <w:uiPriority w:val="99"/>
    <w:unhideWhenUsed/>
    <w:rsid w:val="004109D6"/>
    <w:pPr>
      <w:tabs>
        <w:tab w:val="center" w:pos="4252"/>
        <w:tab w:val="right" w:pos="8504"/>
      </w:tabs>
      <w:spacing w:after="0" w:line="240" w:lineRule="auto"/>
    </w:pPr>
  </w:style>
  <w:style w:type="character" w:customStyle="1" w:styleId="RodapChar">
    <w:name w:val="Rodapé Char"/>
    <w:basedOn w:val="Fontepargpadro"/>
    <w:link w:val="Rodap"/>
    <w:uiPriority w:val="99"/>
    <w:rsid w:val="004109D6"/>
  </w:style>
  <w:style w:type="table" w:styleId="Tabelacomgrade">
    <w:name w:val="Table Grid"/>
    <w:basedOn w:val="Tabelanormal"/>
    <w:uiPriority w:val="39"/>
    <w:rsid w:val="00410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F59B0"/>
    <w:pPr>
      <w:ind w:left="720"/>
      <w:contextualSpacing/>
    </w:pPr>
  </w:style>
  <w:style w:type="character" w:styleId="Hyperlink">
    <w:name w:val="Hyperlink"/>
    <w:basedOn w:val="Fontepargpadro"/>
    <w:uiPriority w:val="99"/>
    <w:unhideWhenUsed/>
    <w:rsid w:val="00BB218B"/>
    <w:rPr>
      <w:color w:val="0563C1" w:themeColor="hyperlink"/>
      <w:u w:val="single"/>
    </w:rPr>
  </w:style>
  <w:style w:type="character" w:styleId="MenoPendente">
    <w:name w:val="Unresolved Mention"/>
    <w:basedOn w:val="Fontepargpadro"/>
    <w:uiPriority w:val="99"/>
    <w:semiHidden/>
    <w:unhideWhenUsed/>
    <w:rsid w:val="00BB2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036408">
      <w:bodyDiv w:val="1"/>
      <w:marLeft w:val="0"/>
      <w:marRight w:val="0"/>
      <w:marTop w:val="0"/>
      <w:marBottom w:val="0"/>
      <w:divBdr>
        <w:top w:val="none" w:sz="0" w:space="0" w:color="auto"/>
        <w:left w:val="none" w:sz="0" w:space="0" w:color="auto"/>
        <w:bottom w:val="none" w:sz="0" w:space="0" w:color="auto"/>
        <w:right w:val="none" w:sz="0" w:space="0" w:color="auto"/>
      </w:divBdr>
    </w:div>
    <w:div w:id="2109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46.htm" TargetMode="External"/><Relationship Id="rId18" Type="http://schemas.openxmlformats.org/officeDocument/2006/relationships/hyperlink" Target="http://www.planalto.gov.br/CCIVIL_03/_Ato2015-2018/2015/Lei/L13146.htm" TargetMode="External"/><Relationship Id="rId26" Type="http://schemas.openxmlformats.org/officeDocument/2006/relationships/hyperlink" Target="http://www.planalto.gov.br/ccivil_03/_Ato2019-2022/2019/Lei/L13825.htm" TargetMode="External"/><Relationship Id="rId3" Type="http://schemas.openxmlformats.org/officeDocument/2006/relationships/settings" Target="settings.xml"/><Relationship Id="rId21" Type="http://schemas.openxmlformats.org/officeDocument/2006/relationships/hyperlink" Target="https://www.planalto.gov.br/ccivil_03/_Ato2023-2026/2025/Lei/L15249.htm" TargetMode="External"/><Relationship Id="rId34" Type="http://schemas.openxmlformats.org/officeDocument/2006/relationships/theme" Target="theme/theme1.xml"/><Relationship Id="rId7" Type="http://schemas.openxmlformats.org/officeDocument/2006/relationships/hyperlink" Target="http://www.planalto.gov.br/CCIVIL_03/_Ato2015-2018/2015/Lei/L13146.htm" TargetMode="External"/><Relationship Id="rId12" Type="http://schemas.openxmlformats.org/officeDocument/2006/relationships/hyperlink" Target="http://www.planalto.gov.br/CCIVIL_03/_Ato2015-2018/2015/Lei/L13146.htm" TargetMode="External"/><Relationship Id="rId17" Type="http://schemas.openxmlformats.org/officeDocument/2006/relationships/hyperlink" Target="http://www.planalto.gov.br/CCIVIL_03/_Ato2015-2018/2015/Lei/L13146.htm" TargetMode="External"/><Relationship Id="rId25" Type="http://schemas.openxmlformats.org/officeDocument/2006/relationships/hyperlink" Target="http://www.planalto.gov.br/ccivil_03/_Ato2019-2022/2019/Lei/L13825.ht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lanalto.gov.br/CCIVIL_03/_Ato2015-2018/2015/Lei/L13146.htm" TargetMode="External"/><Relationship Id="rId20" Type="http://schemas.openxmlformats.org/officeDocument/2006/relationships/hyperlink" Target="http://www.planalto.gov.br/CCIVIL_03/_Ato2015-2018/2015/Lei/L13146.htm" TargetMode="External"/><Relationship Id="rId29" Type="http://schemas.openxmlformats.org/officeDocument/2006/relationships/hyperlink" Target="http://www.planalto.gov.br/CCIVIL_03/_Ato2015-2018/2015/Lei/L13146.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5-2018/2015/Lei/L13146.htm" TargetMode="External"/><Relationship Id="rId24" Type="http://schemas.openxmlformats.org/officeDocument/2006/relationships/hyperlink" Target="http://www.planalto.gov.br/CCIVIL_03/_Ato2015-2018/2017/Lei/L13443.htm" TargetMode="External"/><Relationship Id="rId32" Type="http://schemas.openxmlformats.org/officeDocument/2006/relationships/hyperlink" Target="http://www.planalto.gov.br/CCIVIL_03/_Ato2004-2006/2005/Decreto/D5626.htm" TargetMode="External"/><Relationship Id="rId5" Type="http://schemas.openxmlformats.org/officeDocument/2006/relationships/footnotes" Target="footnotes.xml"/><Relationship Id="rId15" Type="http://schemas.openxmlformats.org/officeDocument/2006/relationships/hyperlink" Target="http://www.planalto.gov.br/CCIVIL_03/_Ato2015-2018/2015/Lei/L13146.htm" TargetMode="External"/><Relationship Id="rId23" Type="http://schemas.openxmlformats.org/officeDocument/2006/relationships/hyperlink" Target="http://www.planalto.gov.br/CCIVIL_03/_Ato2015-2018/2015/Lei/L13146.htm" TargetMode="External"/><Relationship Id="rId28" Type="http://schemas.openxmlformats.org/officeDocument/2006/relationships/hyperlink" Target="http://www.planalto.gov.br/CCIVIL_03/_Ato2015-2018/2015/Lei/L13146.htm" TargetMode="External"/><Relationship Id="rId10" Type="http://schemas.openxmlformats.org/officeDocument/2006/relationships/hyperlink" Target="http://www.planalto.gov.br/CCIVIL_03/_Ato2015-2018/2015/Lei/L13146.htm" TargetMode="External"/><Relationship Id="rId19" Type="http://schemas.openxmlformats.org/officeDocument/2006/relationships/hyperlink" Target="http://www.planalto.gov.br/CCIVIL_03/_Ato2015-2018/2015/Lei/L13146.htm" TargetMode="External"/><Relationship Id="rId31" Type="http://schemas.openxmlformats.org/officeDocument/2006/relationships/hyperlink" Target="https://www.planalto.gov.br/ccivil_03/_Ato2023-2026/2025/Lei/L15249.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5/Lei/L13146.htm" TargetMode="External"/><Relationship Id="rId14" Type="http://schemas.openxmlformats.org/officeDocument/2006/relationships/hyperlink" Target="http://www.planalto.gov.br/CCIVIL_03/_Ato2015-2018/2015/Lei/L13146.htm" TargetMode="External"/><Relationship Id="rId22" Type="http://schemas.openxmlformats.org/officeDocument/2006/relationships/hyperlink" Target="http://www.planalto.gov.br/CCIVIL_03/_Ato2015-2018/2015/Lei/L13146.htm" TargetMode="External"/><Relationship Id="rId27" Type="http://schemas.openxmlformats.org/officeDocument/2006/relationships/hyperlink" Target="http://www.planalto.gov.br/CCIVIL_03/_Ato2015-2018/2015/Lei/L13146.htm" TargetMode="External"/><Relationship Id="rId30" Type="http://schemas.openxmlformats.org/officeDocument/2006/relationships/hyperlink" Target="https://www.planalto.gov.br/ccivil_03/_Ato2023-2026/2025/Lei/L15249.htm" TargetMode="External"/><Relationship Id="rId8" Type="http://schemas.openxmlformats.org/officeDocument/2006/relationships/hyperlink" Target="http://www.planalto.gov.br/CCIVIL_03/_Ato2015-2018/2015/Lei/L131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3551</Words>
  <Characters>19179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44</cp:revision>
  <dcterms:created xsi:type="dcterms:W3CDTF">2018-08-05T00:22:00Z</dcterms:created>
  <dcterms:modified xsi:type="dcterms:W3CDTF">2025-12-03T17:32:00Z</dcterms:modified>
</cp:coreProperties>
</file>