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6D769" w14:textId="13562958" w:rsidR="00061407" w:rsidRPr="00061407" w:rsidRDefault="00061407" w:rsidP="00704C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</w:pPr>
      <w:r w:rsidRPr="00061407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 xml:space="preserve">(Atualização em </w:t>
      </w:r>
      <w:r w:rsidR="00583DF9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21</w:t>
      </w:r>
      <w:r w:rsidRPr="00061407">
        <w:rPr>
          <w:rFonts w:ascii="Book Antiqua" w:eastAsia="Times New Roman" w:hAnsi="Book Antiqua" w:cs="Times New Roman"/>
          <w:b/>
          <w:bCs/>
          <w:color w:val="FF0000"/>
          <w:kern w:val="0"/>
          <w:sz w:val="19"/>
          <w:szCs w:val="19"/>
          <w:lang w:eastAsia="pt-BR"/>
          <w14:ligatures w14:val="none"/>
        </w:rPr>
        <w:t>/04/2023: questões de concurso)</w:t>
      </w:r>
    </w:p>
    <w:p w14:paraId="311714C3" w14:textId="708374DB" w:rsidR="00704C36" w:rsidRPr="00704C36" w:rsidRDefault="00000000" w:rsidP="00704C3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hyperlink r:id="rId4" w:history="1">
        <w:r w:rsidR="00704C36" w:rsidRPr="00704C36">
          <w:rPr>
            <w:rFonts w:ascii="Book Antiqua" w:eastAsia="Times New Roman" w:hAnsi="Book Antiqua" w:cs="Arial"/>
            <w:b/>
            <w:bCs/>
            <w:color w:val="000080"/>
            <w:kern w:val="0"/>
            <w:sz w:val="19"/>
            <w:szCs w:val="19"/>
            <w:u w:val="single"/>
            <w:lang w:eastAsia="pt-BR"/>
            <w14:ligatures w14:val="none"/>
          </w:rPr>
          <w:t>DECRETO Nº 93.240, DE 9 DE SETEMBRO DE 1986.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6519"/>
      </w:tblGrid>
      <w:tr w:rsidR="00704C36" w:rsidRPr="00704C36" w14:paraId="0947C023" w14:textId="77777777" w:rsidTr="00704C36">
        <w:trPr>
          <w:tblCellSpacing w:w="0" w:type="dxa"/>
        </w:trPr>
        <w:tc>
          <w:tcPr>
            <w:tcW w:w="1167" w:type="pct"/>
            <w:vAlign w:val="center"/>
            <w:hideMark/>
          </w:tcPr>
          <w:p w14:paraId="5D843975" w14:textId="77777777" w:rsidR="00704C36" w:rsidRPr="00704C36" w:rsidRDefault="00704C36" w:rsidP="00704C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color w:val="000000"/>
                <w:kern w:val="0"/>
                <w:sz w:val="19"/>
                <w:szCs w:val="19"/>
                <w:lang w:eastAsia="pt-BR"/>
                <w14:ligatures w14:val="none"/>
              </w:rPr>
            </w:pPr>
          </w:p>
        </w:tc>
        <w:tc>
          <w:tcPr>
            <w:tcW w:w="3833" w:type="pct"/>
            <w:vAlign w:val="center"/>
            <w:hideMark/>
          </w:tcPr>
          <w:p w14:paraId="349D1552" w14:textId="77777777" w:rsidR="00704C36" w:rsidRPr="00704C36" w:rsidRDefault="00704C36" w:rsidP="00704C36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kern w:val="0"/>
                <w:sz w:val="19"/>
                <w:szCs w:val="19"/>
                <w:lang w:eastAsia="pt-BR"/>
                <w14:ligatures w14:val="none"/>
              </w:rPr>
            </w:pPr>
            <w:r w:rsidRPr="00704C36">
              <w:rPr>
                <w:rFonts w:ascii="Book Antiqua" w:eastAsia="Times New Roman" w:hAnsi="Book Antiqua" w:cs="Arial"/>
                <w:color w:val="800000"/>
                <w:kern w:val="0"/>
                <w:sz w:val="19"/>
                <w:szCs w:val="19"/>
                <w:lang w:eastAsia="pt-BR"/>
                <w14:ligatures w14:val="none"/>
              </w:rPr>
              <w:t>Regulamenta a Lei nº 7.433, de 18 de dezembro de 1985, que ‘’dispõe sobre os requisitos para a lavratura de escrituras públicas, e dá outras providências’’.</w:t>
            </w:r>
          </w:p>
        </w:tc>
      </w:tr>
    </w:tbl>
    <w:p w14:paraId="20A2ADEC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O PRESIDENTE DA </w:t>
      </w:r>
      <w:proofErr w:type="gramStart"/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REPÚBLICA 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</w:t>
      </w:r>
      <w:proofErr w:type="gram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no uso das atribuições que lhe confere o artigo 81, item III, da Constituição,</w:t>
      </w:r>
    </w:p>
    <w:p w14:paraId="1BF6FAD9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outlineLvl w:val="0"/>
        <w:rPr>
          <w:rFonts w:ascii="Book Antiqua" w:eastAsia="Times New Roman" w:hAnsi="Book Antiqua" w:cs="Times New Roman"/>
          <w:b/>
          <w:bCs/>
          <w:color w:val="000000"/>
          <w:kern w:val="36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36"/>
          <w:sz w:val="19"/>
          <w:szCs w:val="19"/>
          <w:lang w:eastAsia="pt-BR"/>
          <w14:ligatures w14:val="none"/>
        </w:rPr>
        <w:t>        DECRETA:</w:t>
      </w:r>
    </w:p>
    <w:p w14:paraId="6D020E94" w14:textId="65409544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Art. 1º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Para a lavratura de atos notariais, relativos a imóveis, serão apresentados os seguintes documentos e certidões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: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FD24B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D24B6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(Cartórios/TJRS-2015)</w:t>
      </w:r>
      <w:r w:rsidR="00583DF9">
        <w:rPr>
          <w:rFonts w:ascii="Book Antiqua" w:hAnsi="Book Antiqua" w:cs="Times New Roman"/>
          <w:b/>
          <w:color w:val="FF0000"/>
          <w:sz w:val="18"/>
          <w:szCs w:val="18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02F62301" w14:textId="537380D5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I - </w:t>
      </w:r>
      <w:proofErr w:type="gramStart"/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documentos de identificação das partes e das demais pessoas que comparecerem na escritura pública, quando julgados necessários pelo Tabelião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583D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37A98BBF" w14:textId="329E9F6F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II - </w:t>
      </w:r>
      <w:proofErr w:type="gramStart"/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o</w:t>
      </w:r>
      <w:proofErr w:type="gramEnd"/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comprovante do pagamento do Imposto sobre a Transmissão de Bens Imóveis e de Direitos a eles relativos, quando incidente sobre o ato, ressalvadas as hipóteses em que a lei autorize a efetivação do pagamento após a sua lavratura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FD24B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FD24B6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(Cartórios/TJRS-2015)</w:t>
      </w:r>
    </w:p>
    <w:p w14:paraId="7E62E292" w14:textId="36D4C39E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 III - as certidões fiscais, assim entendidas:</w:t>
      </w:r>
      <w:r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FD24B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D24B6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(Cartórios/TJRS-2015)</w:t>
      </w:r>
      <w:r w:rsidR="00583DF9">
        <w:rPr>
          <w:rFonts w:ascii="Book Antiqua" w:hAnsi="Book Antiqua" w:cs="Times New Roman"/>
          <w:b/>
          <w:color w:val="FF0000"/>
          <w:sz w:val="18"/>
          <w:szCs w:val="18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329AF71F" w14:textId="6C2DFB15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       a) em relação aos imóveis urbanos, as certidões referentes aos tributos que incidam sobre o imóvel, observado o disposto no § 2º, deste artigo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FD24B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D24B6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(Cartórios/TJRS-2015)</w:t>
      </w:r>
    </w:p>
    <w:p w14:paraId="7E07324E" w14:textId="5724297E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b) em relação aos imóveis rurais, o Certificado de Cadastro emitido pelo Instituto Nacional de Colonização e Reforma Agrária - INCRA, com a prova de quitação do último Imposto Territorial Rural lançado ou, quando o prazo para o seu pagamento 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yellow"/>
          <w:lang w:eastAsia="pt-BR"/>
          <w14:ligatures w14:val="none"/>
        </w:rPr>
        <w:t>ainda não tenha vencido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, do Imposto Territorial Rural correspondente ao 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exercício imediatamente anterior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061407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061407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583DF9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7521D690" w14:textId="7FB42F7C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IV - </w:t>
      </w:r>
      <w:proofErr w:type="gramStart"/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a</w:t>
      </w:r>
      <w:proofErr w:type="gramEnd"/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certidão de ações reais e pessoais reipersecutórias, relativas ao imóvel, e a de ônus reais, expedidas pelo Registro de Imóveis competente, cujo prazo de validade, para este fim, será de </w:t>
      </w: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cyan"/>
          <w:lang w:eastAsia="pt-BR"/>
          <w14:ligatures w14:val="none"/>
        </w:rPr>
        <w:t>30 (trinta) dias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;</w:t>
      </w:r>
      <w:r w:rsidR="00FD24B6" w:rsidRPr="00FD24B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FD24B6" w:rsidRPr="00FD24B6">
        <w:rPr>
          <w:rFonts w:ascii="Book Antiqua" w:hAnsi="Book Antiqua" w:cs="Times New Roman"/>
          <w:b/>
          <w:bCs/>
          <w:color w:val="FF0000"/>
          <w:sz w:val="18"/>
          <w:szCs w:val="18"/>
          <w:u w:val="single"/>
        </w:rPr>
        <w:t>(Cartórios/TJRS-2015)</w:t>
      </w:r>
      <w:r w:rsidR="00583DF9">
        <w:rPr>
          <w:rFonts w:ascii="Book Antiqua" w:hAnsi="Book Antiqua" w:cs="Times New Roman"/>
          <w:b/>
          <w:bCs/>
          <w:color w:val="FF0000"/>
          <w:sz w:val="18"/>
          <w:szCs w:val="18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2E3158CF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V - </w:t>
      </w:r>
      <w:proofErr w:type="gramStart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os</w:t>
      </w:r>
      <w:proofErr w:type="gram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demais documentos e certidões, cuja apresentação seja exigida por lei.</w:t>
      </w:r>
    </w:p>
    <w:p w14:paraId="3628D8D6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§ 1º O Tabelião consignará na escritura pública a apresentação dos documentos e das certidões mencionadas nos incisos II, III, IV e V, deste artigo.</w:t>
      </w:r>
    </w:p>
    <w:p w14:paraId="58136933" w14:textId="5C92C84C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§ 2º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As certidões referidas na letra </w:t>
      </w:r>
      <w:r w:rsidRPr="00704C36">
        <w:rPr>
          <w:rFonts w:ascii="Book Antiqua" w:eastAsia="Times New Roman" w:hAnsi="Book Antiqua" w:cs="Arial"/>
          <w:b/>
          <w:bCs/>
          <w:i/>
          <w:iCs/>
          <w:color w:val="000000"/>
          <w:kern w:val="0"/>
          <w:sz w:val="19"/>
          <w:szCs w:val="19"/>
          <w:lang w:eastAsia="pt-BR"/>
          <w14:ligatures w14:val="none"/>
        </w:rPr>
        <w:t>a</w:t>
      </w:r>
      <w:r w:rsidRPr="00704C36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 , do inciso III, deste artigo, somente serão exigidas para a lavratura das escrituras públicas que impliquem a transferência de domínio e a sua apresentação poderá ser dispensada pelo adquirente que, neste caso, responderá, nos termos da lei, pelo pagamento dos débitos fiscais existentes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u w:val="single"/>
          <w:lang w:eastAsia="pt-BR"/>
        </w:rPr>
        <w:t>(Cartórios/TJPI-2013)</w:t>
      </w:r>
      <w:r w:rsidR="00FD24B6">
        <w:rPr>
          <w:rFonts w:ascii="Book Antiqua" w:eastAsia="Times New Roman" w:hAnsi="Book Antiqua" w:cs="Times New Roman"/>
          <w:b/>
          <w:bCs/>
          <w:color w:val="FF0000"/>
          <w:sz w:val="18"/>
          <w:szCs w:val="18"/>
          <w:lang w:eastAsia="pt-BR"/>
        </w:rPr>
        <w:t xml:space="preserve"> </w:t>
      </w:r>
      <w:r w:rsidR="00FD24B6">
        <w:rPr>
          <w:rFonts w:ascii="Book Antiqua" w:hAnsi="Book Antiqua" w:cs="Times New Roman"/>
          <w:b/>
          <w:color w:val="FF0000"/>
          <w:sz w:val="18"/>
          <w:szCs w:val="18"/>
          <w:u w:val="single"/>
        </w:rPr>
        <w:t>(Cartórios/TJRS-2015)</w:t>
      </w:r>
      <w:r w:rsidR="00583DF9">
        <w:rPr>
          <w:rFonts w:ascii="Book Antiqua" w:hAnsi="Book Antiqua" w:cs="Times New Roman"/>
          <w:b/>
          <w:color w:val="FF0000"/>
          <w:sz w:val="18"/>
          <w:szCs w:val="18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</w:p>
    <w:p w14:paraId="7BB7B319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§ 3º A apresentação das certidões previstas no inciso IV, deste artigo, não eximirá o outorgante da obrigação de </w:t>
      </w:r>
      <w:proofErr w:type="spellStart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declararar</w:t>
      </w:r>
      <w:proofErr w:type="spell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na escritura pública, sob pena de responsabilidade civil e penal, a existência de outras ações reais e pessoais reipersecutórias, relativas ao imóvel, e de outros ônus reais incidentes sobre o mesmo.</w:t>
      </w:r>
    </w:p>
    <w:p w14:paraId="515EC3A9" w14:textId="7DD3E6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r w:rsidR="00583DF9"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.</w:t>
      </w: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2º</w:t>
      </w: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O Tabelião fica desobrigado de manter, em cartório, o original ou cópias autenticadas das certidões mencionadas nos incisos III e IV, do artigo 1º, desde que transcreva na escritura pública os elementos necessários à sua identificação, devendo, neste caso, as certidões acompanharem o traslado da escritura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="00583D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</w:t>
      </w:r>
      <w:r w:rsidR="00583DF9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DFT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-2019)</w:t>
      </w:r>
      <w:r w:rsidR="00583D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(Cartórios/TJRS-2019)</w:t>
      </w:r>
    </w:p>
    <w:p w14:paraId="3B8514B8" w14:textId="79576865" w:rsidR="00704C36" w:rsidRPr="00583DF9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b/>
          <w:bCs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lastRenderedPageBreak/>
        <w:t xml:space="preserve">        </w:t>
      </w:r>
      <w:proofErr w:type="spellStart"/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>Art</w:t>
      </w:r>
      <w:proofErr w:type="spellEnd"/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highlight w:val="magenta"/>
          <w:lang w:eastAsia="pt-BR"/>
          <w14:ligatures w14:val="none"/>
        </w:rPr>
        <w:t xml:space="preserve"> 3º</w:t>
      </w:r>
      <w:r w:rsidR="00583DF9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.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P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>Na escritura pública relativa a imóvel urbano cuja descrição e caracterização conste da certidão do Registro de Imóveis, o instrumento poderá consignar, a critério do Tabelião, exclusivamente o número do registro ou matrícula no Registro de Imóveis, sua completa localização, logradouro, número, bairro, cidade, Estado e os documentos e certidões mencionados nos incisos II, III, IV e V, do artigo 1º.</w:t>
      </w:r>
      <w:r w:rsidR="00583DF9">
        <w:rPr>
          <w:rFonts w:ascii="Book Antiqua" w:eastAsia="Times New Roman" w:hAnsi="Book Antiqua" w:cs="Arial"/>
          <w:b/>
          <w:bCs/>
          <w:color w:val="000000"/>
          <w:kern w:val="0"/>
          <w:sz w:val="19"/>
          <w:szCs w:val="19"/>
          <w:lang w:eastAsia="pt-BR"/>
          <w14:ligatures w14:val="none"/>
        </w:rPr>
        <w:t xml:space="preserve"> </w:t>
      </w:r>
      <w:r w:rsidR="00583DF9" w:rsidRPr="00BB210C">
        <w:rPr>
          <w:rFonts w:ascii="Book Antiqua" w:eastAsia="Times New Roman" w:hAnsi="Book Antiqua" w:cs="Arial"/>
          <w:b/>
          <w:bCs/>
          <w:color w:val="FF0000"/>
          <w:kern w:val="0"/>
          <w:sz w:val="18"/>
          <w:szCs w:val="18"/>
          <w:u w:val="single"/>
          <w:lang w:eastAsia="pt-BR"/>
          <w14:ligatures w14:val="none"/>
        </w:rPr>
        <w:t>(Cartórios/TJRS-2019)</w:t>
      </w:r>
    </w:p>
    <w:p w14:paraId="7B78A704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proofErr w:type="spellStart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4º As disposições deste decreto aplicam-se, no que couberem, ao instrumento particular previsto no </w:t>
      </w:r>
      <w:hyperlink r:id="rId5" w:anchor="art61" w:history="1">
        <w:r w:rsidRPr="00704C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artigo 61, da Lei nº 4.380, de 21 de agosto de 1964</w:t>
        </w:r>
      </w:hyperlink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modificada pela </w:t>
      </w:r>
      <w:hyperlink r:id="rId6" w:history="1">
        <w:r w:rsidRPr="00704C36">
          <w:rPr>
            <w:rFonts w:ascii="Book Antiqua" w:eastAsia="Times New Roman" w:hAnsi="Book Antiqua" w:cs="Arial"/>
            <w:color w:val="0000FF"/>
            <w:kern w:val="0"/>
            <w:sz w:val="19"/>
            <w:szCs w:val="19"/>
            <w:u w:val="single"/>
            <w:lang w:eastAsia="pt-BR"/>
            <w14:ligatures w14:val="none"/>
          </w:rPr>
          <w:t>Lei nº 5.049, de 29 de junho de 1966</w:t>
        </w:r>
      </w:hyperlink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, ao qual se anexarão os documentos e as certidões apresentadas.</w:t>
      </w:r>
    </w:p>
    <w:p w14:paraId="5EAC2BED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proofErr w:type="spellStart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5º Este decreto entrará em vigor na data de sua publicação.</w:t>
      </w:r>
    </w:p>
    <w:p w14:paraId="0E1E1D75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        </w:t>
      </w:r>
      <w:proofErr w:type="spellStart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Art</w:t>
      </w:r>
      <w:proofErr w:type="spellEnd"/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 xml:space="preserve"> 6º Revogam-se as disposições em contrário.</w:t>
      </w:r>
    </w:p>
    <w:p w14:paraId="345CDCBC" w14:textId="77777777" w:rsidR="00704C36" w:rsidRPr="00704C36" w:rsidRDefault="00704C36" w:rsidP="00704C36">
      <w:pPr>
        <w:spacing w:before="100" w:beforeAutospacing="1" w:after="100" w:afterAutospacing="1" w:line="240" w:lineRule="auto"/>
        <w:ind w:firstLine="150"/>
        <w:jc w:val="both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        Brasília, 9 de setembro de 1986; 165º da Independência e 98º da República.</w:t>
      </w:r>
    </w:p>
    <w:p w14:paraId="698CD9DB" w14:textId="77777777" w:rsidR="00704C36" w:rsidRPr="00704C36" w:rsidRDefault="00704C36" w:rsidP="00704C3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t>JOSÉ SARNEY</w:t>
      </w:r>
      <w:r w:rsidRPr="00704C36">
        <w:rPr>
          <w:rFonts w:ascii="Book Antiqua" w:eastAsia="Times New Roman" w:hAnsi="Book Antiqua" w:cs="Arial"/>
          <w:color w:val="000000"/>
          <w:kern w:val="0"/>
          <w:sz w:val="19"/>
          <w:szCs w:val="19"/>
          <w:lang w:eastAsia="pt-BR"/>
          <w14:ligatures w14:val="none"/>
        </w:rPr>
        <w:br/>
      </w:r>
      <w:r w:rsidRPr="00704C36">
        <w:rPr>
          <w:rFonts w:ascii="Book Antiqua" w:eastAsia="Times New Roman" w:hAnsi="Book Antiqua" w:cs="Arial"/>
          <w:i/>
          <w:iCs/>
          <w:color w:val="000000"/>
          <w:kern w:val="0"/>
          <w:sz w:val="19"/>
          <w:szCs w:val="19"/>
          <w:lang w:eastAsia="pt-BR"/>
          <w14:ligatures w14:val="none"/>
        </w:rPr>
        <w:t>Paulo Brossard</w:t>
      </w:r>
    </w:p>
    <w:p w14:paraId="5B8EA449" w14:textId="77777777" w:rsidR="00704C36" w:rsidRPr="00704C36" w:rsidRDefault="00704C36" w:rsidP="00704C36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color w:val="000000"/>
          <w:kern w:val="0"/>
          <w:sz w:val="19"/>
          <w:szCs w:val="19"/>
          <w:lang w:eastAsia="pt-BR"/>
          <w14:ligatures w14:val="none"/>
        </w:rPr>
      </w:pPr>
      <w:r w:rsidRPr="00704C36">
        <w:rPr>
          <w:rFonts w:ascii="Book Antiqua" w:eastAsia="Times New Roman" w:hAnsi="Book Antiqua" w:cs="Arial"/>
          <w:color w:val="FF0000"/>
          <w:kern w:val="0"/>
          <w:sz w:val="19"/>
          <w:szCs w:val="19"/>
          <w:lang w:eastAsia="pt-BR"/>
          <w14:ligatures w14:val="none"/>
        </w:rPr>
        <w:t>Este texto não substitui o publicado no D.O.U.   10.9.1986</w:t>
      </w:r>
    </w:p>
    <w:p w14:paraId="36C7B808" w14:textId="77777777" w:rsidR="00BB7FE6" w:rsidRPr="00704C36" w:rsidRDefault="00BB7FE6" w:rsidP="00704C36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BB7FE6" w:rsidRPr="00704C36" w:rsidSect="00061407">
      <w:pgSz w:w="11906" w:h="16838"/>
      <w:pgMar w:top="1135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65"/>
    <w:rsid w:val="00061407"/>
    <w:rsid w:val="00583DF9"/>
    <w:rsid w:val="006B1409"/>
    <w:rsid w:val="00704C36"/>
    <w:rsid w:val="00BB7FE6"/>
    <w:rsid w:val="00D346F6"/>
    <w:rsid w:val="00EB4165"/>
    <w:rsid w:val="00FD2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C1F81"/>
  <w15:chartTrackingRefBased/>
  <w15:docId w15:val="{30A8D722-0946-414D-A863-E69FE0599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0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LEIS/L5049.htm" TargetMode="External"/><Relationship Id="rId5" Type="http://schemas.openxmlformats.org/officeDocument/2006/relationships/hyperlink" Target="https://www.planalto.gov.br/ccivil_03/LEIS/L4380.htm" TargetMode="External"/><Relationship Id="rId4" Type="http://schemas.openxmlformats.org/officeDocument/2006/relationships/hyperlink" Target="http://legislacao.planalto.gov.br/legisla/legislacao.nsf/Viw_Identificacao/DEC%2093.240-1986?OpenDocumen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725</Words>
  <Characters>3920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3</cp:revision>
  <dcterms:created xsi:type="dcterms:W3CDTF">2023-04-14T16:16:00Z</dcterms:created>
  <dcterms:modified xsi:type="dcterms:W3CDTF">2023-04-21T15:44:00Z</dcterms:modified>
</cp:coreProperties>
</file>