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FD6A5" w14:textId="1380BCF9" w:rsidR="0027426B" w:rsidRPr="0027426B" w:rsidRDefault="0027426B" w:rsidP="00940C91">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27426B">
        <w:rPr>
          <w:rFonts w:ascii="Book Antiqua" w:eastAsia="Times New Roman" w:hAnsi="Book Antiqua" w:cs="Times New Roman"/>
          <w:b/>
          <w:bCs/>
          <w:color w:val="FF0000"/>
          <w:sz w:val="19"/>
          <w:szCs w:val="19"/>
          <w:lang w:eastAsia="pt-BR"/>
        </w:rPr>
        <w:t>(Atualização em 13/05/2022: questões de concurso)</w:t>
      </w:r>
    </w:p>
    <w:p w14:paraId="5B76DE7C" w14:textId="3BEB5DF2" w:rsidR="00940C91" w:rsidRPr="00940C91" w:rsidRDefault="00940C91" w:rsidP="00940C9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940C91">
          <w:rPr>
            <w:rFonts w:ascii="Book Antiqua" w:eastAsia="Times New Roman" w:hAnsi="Book Antiqua" w:cs="Arial"/>
            <w:b/>
            <w:bCs/>
            <w:color w:val="000080"/>
            <w:sz w:val="19"/>
            <w:szCs w:val="19"/>
            <w:lang w:eastAsia="pt-BR"/>
          </w:rPr>
          <w:t>LEI N</w:t>
        </w:r>
        <w:r w:rsidRPr="00940C91">
          <w:rPr>
            <w:rFonts w:ascii="Book Antiqua" w:eastAsia="Times New Roman" w:hAnsi="Book Antiqua" w:cs="Arial"/>
            <w:b/>
            <w:bCs/>
            <w:color w:val="000080"/>
            <w:sz w:val="19"/>
            <w:szCs w:val="19"/>
            <w:vertAlign w:val="superscript"/>
            <w:lang w:eastAsia="pt-BR"/>
          </w:rPr>
          <w:t>o</w:t>
        </w:r>
        <w:r w:rsidRPr="00940C91">
          <w:rPr>
            <w:rFonts w:ascii="Book Antiqua" w:eastAsia="Times New Roman" w:hAnsi="Book Antiqua" w:cs="Arial"/>
            <w:b/>
            <w:bCs/>
            <w:color w:val="000080"/>
            <w:sz w:val="19"/>
            <w:szCs w:val="19"/>
            <w:lang w:eastAsia="pt-BR"/>
          </w:rPr>
          <w:t> 5.741, DE 1 DE DEZEMBRO DE 1971.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40C91" w:rsidRPr="00940C91" w14:paraId="44B47C42" w14:textId="77777777" w:rsidTr="00940C91">
        <w:trPr>
          <w:tblCellSpacing w:w="0" w:type="dxa"/>
        </w:trPr>
        <w:tc>
          <w:tcPr>
            <w:tcW w:w="1333" w:type="pct"/>
            <w:vAlign w:val="center"/>
            <w:hideMark/>
          </w:tcPr>
          <w:p w14:paraId="7A421E79" w14:textId="77777777" w:rsidR="00940C91" w:rsidRPr="00940C91" w:rsidRDefault="00940C91" w:rsidP="00940C91">
            <w:pPr>
              <w:spacing w:before="100" w:beforeAutospacing="1" w:after="100" w:afterAutospacing="1" w:line="240" w:lineRule="auto"/>
              <w:jc w:val="both"/>
              <w:rPr>
                <w:rFonts w:ascii="Book Antiqua" w:eastAsia="Times New Roman" w:hAnsi="Book Antiqua" w:cs="Times New Roman"/>
                <w:sz w:val="19"/>
                <w:szCs w:val="19"/>
                <w:lang w:eastAsia="pt-BR"/>
              </w:rPr>
            </w:pPr>
            <w:r w:rsidRPr="00940C91">
              <w:rPr>
                <w:rFonts w:ascii="Book Antiqua" w:eastAsia="Times New Roman" w:hAnsi="Book Antiqua" w:cs="Times New Roman"/>
                <w:sz w:val="19"/>
                <w:szCs w:val="19"/>
                <w:lang w:eastAsia="pt-BR"/>
              </w:rPr>
              <w:t> </w:t>
            </w:r>
          </w:p>
        </w:tc>
        <w:tc>
          <w:tcPr>
            <w:tcW w:w="3667" w:type="pct"/>
            <w:vAlign w:val="center"/>
            <w:hideMark/>
          </w:tcPr>
          <w:p w14:paraId="55980995" w14:textId="77777777" w:rsidR="00940C91" w:rsidRPr="00940C91" w:rsidRDefault="00940C91" w:rsidP="00940C91">
            <w:pPr>
              <w:spacing w:before="100" w:beforeAutospacing="1" w:after="100" w:afterAutospacing="1" w:line="240" w:lineRule="auto"/>
              <w:jc w:val="both"/>
              <w:rPr>
                <w:rFonts w:ascii="Book Antiqua" w:eastAsia="Times New Roman" w:hAnsi="Book Antiqua" w:cs="Times New Roman"/>
                <w:sz w:val="19"/>
                <w:szCs w:val="19"/>
                <w:lang w:eastAsia="pt-BR"/>
              </w:rPr>
            </w:pPr>
            <w:r w:rsidRPr="00940C91">
              <w:rPr>
                <w:rFonts w:ascii="Book Antiqua" w:eastAsia="Times New Roman" w:hAnsi="Book Antiqua" w:cs="Arial"/>
                <w:color w:val="800000"/>
                <w:sz w:val="19"/>
                <w:szCs w:val="19"/>
                <w:lang w:eastAsia="pt-BR"/>
              </w:rPr>
              <w:t>Dispõe sobre a proteção do financiamento de bens imóveis vinculados ao Sistema Financeiro da Habitação.</w:t>
            </w:r>
          </w:p>
        </w:tc>
      </w:tr>
    </w:tbl>
    <w:p w14:paraId="5B0FD5BA"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940C91">
        <w:rPr>
          <w:rFonts w:ascii="Book Antiqua" w:eastAsia="Times New Roman" w:hAnsi="Book Antiqua" w:cs="Arial"/>
          <w:b/>
          <w:bCs/>
          <w:color w:val="000000"/>
          <w:sz w:val="19"/>
          <w:szCs w:val="19"/>
          <w:lang w:eastAsia="pt-BR"/>
        </w:rPr>
        <w:t>O PRESIDENTE DA REPÚBLICA</w:t>
      </w:r>
      <w:r w:rsidRPr="00940C91">
        <w:rPr>
          <w:rFonts w:ascii="Book Antiqua" w:eastAsia="Times New Roman" w:hAnsi="Book Antiqua" w:cs="Arial"/>
          <w:color w:val="000000"/>
          <w:sz w:val="19"/>
          <w:szCs w:val="19"/>
          <w:lang w:eastAsia="pt-BR"/>
        </w:rPr>
        <w:t> , faço saber que o Congresso Nacional decreta e eu sanciono a seguinte Lei:</w:t>
      </w:r>
    </w:p>
    <w:p w14:paraId="0987340A" w14:textId="25CE3C92"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0" w:name="art1"/>
      <w:bookmarkEnd w:id="0"/>
      <w:r w:rsidRPr="0027426B">
        <w:rPr>
          <w:rFonts w:ascii="Book Antiqua" w:eastAsia="Times New Roman" w:hAnsi="Book Antiqua" w:cs="Arial"/>
          <w:b/>
          <w:bCs/>
          <w:color w:val="000000"/>
          <w:sz w:val="19"/>
          <w:szCs w:val="19"/>
          <w:highlight w:val="magenta"/>
          <w:lang w:eastAsia="pt-BR"/>
        </w:rPr>
        <w:t>Art. 1º</w:t>
      </w:r>
      <w:r w:rsidRPr="00940C91">
        <w:rPr>
          <w:rFonts w:ascii="Book Antiqua" w:eastAsia="Times New Roman" w:hAnsi="Book Antiqua" w:cs="Arial"/>
          <w:color w:val="000000"/>
          <w:sz w:val="19"/>
          <w:szCs w:val="19"/>
          <w:lang w:eastAsia="pt-BR"/>
        </w:rPr>
        <w:t xml:space="preserve"> </w:t>
      </w:r>
      <w:r w:rsidRPr="0027426B">
        <w:rPr>
          <w:rFonts w:ascii="Book Antiqua" w:eastAsia="Times New Roman" w:hAnsi="Book Antiqua" w:cs="Arial"/>
          <w:b/>
          <w:bCs/>
          <w:color w:val="000000"/>
          <w:sz w:val="19"/>
          <w:szCs w:val="19"/>
          <w:lang w:eastAsia="pt-BR"/>
        </w:rPr>
        <w:t>Para a cobrança de crédito hipotecário vinculado ao Sistema Financeiro da Habitação criado pela </w:t>
      </w:r>
      <w:hyperlink r:id="rId5" w:history="1">
        <w:r w:rsidRPr="0027426B">
          <w:rPr>
            <w:rFonts w:ascii="Book Antiqua" w:eastAsia="Times New Roman" w:hAnsi="Book Antiqua" w:cs="Arial"/>
            <w:b/>
            <w:bCs/>
            <w:color w:val="0000FF"/>
            <w:sz w:val="19"/>
            <w:szCs w:val="19"/>
            <w:u w:val="single"/>
            <w:lang w:eastAsia="pt-BR"/>
          </w:rPr>
          <w:t>Lei nº 4.380, de 21 de agosto de 1964</w:t>
        </w:r>
      </w:hyperlink>
      <w:r w:rsidRPr="0027426B">
        <w:rPr>
          <w:rFonts w:ascii="Book Antiqua" w:eastAsia="Times New Roman" w:hAnsi="Book Antiqua" w:cs="Arial"/>
          <w:b/>
          <w:bCs/>
          <w:color w:val="000000"/>
          <w:sz w:val="19"/>
          <w:szCs w:val="19"/>
          <w:lang w:eastAsia="pt-BR"/>
        </w:rPr>
        <w:t>, é lícito ao credor promover a execução de que tratam os </w:t>
      </w:r>
      <w:hyperlink r:id="rId6" w:anchor="art31" w:history="1">
        <w:r w:rsidRPr="0027426B">
          <w:rPr>
            <w:rFonts w:ascii="Book Antiqua" w:eastAsia="Times New Roman" w:hAnsi="Book Antiqua" w:cs="Arial"/>
            <w:b/>
            <w:bCs/>
            <w:color w:val="0000FF"/>
            <w:sz w:val="19"/>
            <w:szCs w:val="19"/>
            <w:u w:val="single"/>
            <w:lang w:eastAsia="pt-BR"/>
          </w:rPr>
          <w:t>artigos 31 e 32 do Decreto-lei nº 70, de 21 de novembro de 1966</w:t>
        </w:r>
      </w:hyperlink>
      <w:r w:rsidRPr="0027426B">
        <w:rPr>
          <w:rFonts w:ascii="Book Antiqua" w:eastAsia="Times New Roman" w:hAnsi="Book Antiqua" w:cs="Arial"/>
          <w:b/>
          <w:bCs/>
          <w:color w:val="000000"/>
          <w:sz w:val="19"/>
          <w:szCs w:val="19"/>
          <w:lang w:eastAsia="pt-BR"/>
        </w:rPr>
        <w:t>, ou ajuizar a ação executiva na forma da presente lei</w:t>
      </w:r>
      <w:r w:rsidRPr="00940C91">
        <w:rPr>
          <w:rFonts w:ascii="Book Antiqua" w:eastAsia="Times New Roman" w:hAnsi="Book Antiqua" w:cs="Arial"/>
          <w:color w:val="000000"/>
          <w:sz w:val="19"/>
          <w:szCs w:val="19"/>
          <w:lang w:eastAsia="pt-BR"/>
        </w:rPr>
        <w:t>.</w:t>
      </w:r>
      <w:r w:rsidR="0027426B">
        <w:rPr>
          <w:rFonts w:ascii="Book Antiqua" w:eastAsia="Times New Roman" w:hAnsi="Book Antiqua" w:cs="Arial"/>
          <w:color w:val="000000"/>
          <w:sz w:val="19"/>
          <w:szCs w:val="19"/>
          <w:lang w:eastAsia="pt-BR"/>
        </w:rPr>
        <w:t xml:space="preserve"> </w:t>
      </w:r>
      <w:r w:rsidR="0027426B" w:rsidRPr="0027426B">
        <w:rPr>
          <w:rFonts w:ascii="Book Antiqua" w:eastAsia="Times New Roman" w:hAnsi="Book Antiqua" w:cs="Arial"/>
          <w:b/>
          <w:bCs/>
          <w:color w:val="FF0000"/>
          <w:sz w:val="18"/>
          <w:szCs w:val="18"/>
          <w:u w:val="single"/>
          <w:lang w:eastAsia="pt-BR"/>
        </w:rPr>
        <w:t>(Cartórios/TJSP-2016)</w:t>
      </w:r>
    </w:p>
    <w:p w14:paraId="31BFA153"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 w:name="art2."/>
      <w:bookmarkStart w:id="2" w:name="art2"/>
      <w:bookmarkEnd w:id="1"/>
      <w:bookmarkEnd w:id="2"/>
      <w:r w:rsidRPr="00940C91">
        <w:rPr>
          <w:rFonts w:ascii="Book Antiqua" w:eastAsia="Times New Roman" w:hAnsi="Book Antiqua" w:cs="Arial"/>
          <w:color w:val="000000"/>
          <w:sz w:val="19"/>
          <w:szCs w:val="19"/>
          <w:lang w:eastAsia="pt-BR"/>
        </w:rPr>
        <w:t>Art. 2 º A execução terá início por petição escrita, com os requisitos do </w:t>
      </w:r>
      <w:hyperlink r:id="rId7" w:anchor="art282" w:history="1">
        <w:r w:rsidRPr="00940C91">
          <w:rPr>
            <w:rFonts w:ascii="Book Antiqua" w:eastAsia="Times New Roman" w:hAnsi="Book Antiqua" w:cs="Arial"/>
            <w:color w:val="0000FF"/>
            <w:sz w:val="19"/>
            <w:szCs w:val="19"/>
            <w:u w:val="single"/>
            <w:lang w:eastAsia="pt-BR"/>
          </w:rPr>
          <w:t>Art. 282 do Código de Processo Civil</w:t>
        </w:r>
      </w:hyperlink>
      <w:r w:rsidRPr="00940C91">
        <w:rPr>
          <w:rFonts w:ascii="Book Antiqua" w:eastAsia="Times New Roman" w:hAnsi="Book Antiqua" w:cs="Arial"/>
          <w:color w:val="000000"/>
          <w:sz w:val="19"/>
          <w:szCs w:val="19"/>
          <w:lang w:eastAsia="pt-BR"/>
        </w:rPr>
        <w:t xml:space="preserve">, apresentada em três vias, servindo a segunda e terceira de mandado e </w:t>
      </w:r>
      <w:proofErr w:type="spellStart"/>
      <w:r w:rsidRPr="00940C91">
        <w:rPr>
          <w:rFonts w:ascii="Book Antiqua" w:eastAsia="Times New Roman" w:hAnsi="Book Antiqua" w:cs="Arial"/>
          <w:color w:val="000000"/>
          <w:sz w:val="19"/>
          <w:szCs w:val="19"/>
          <w:lang w:eastAsia="pt-BR"/>
        </w:rPr>
        <w:t>contra-fé</w:t>
      </w:r>
      <w:proofErr w:type="spellEnd"/>
      <w:r w:rsidRPr="00940C91">
        <w:rPr>
          <w:rFonts w:ascii="Book Antiqua" w:eastAsia="Times New Roman" w:hAnsi="Book Antiqua" w:cs="Arial"/>
          <w:color w:val="000000"/>
          <w:sz w:val="19"/>
          <w:szCs w:val="19"/>
          <w:lang w:eastAsia="pt-BR"/>
        </w:rPr>
        <w:t>, e sendo a primeira instruída com:                 </w:t>
      </w:r>
      <w:hyperlink r:id="rId8" w:anchor="art2" w:history="1">
        <w:r w:rsidRPr="00940C91">
          <w:rPr>
            <w:rFonts w:ascii="Book Antiqua" w:eastAsia="Times New Roman" w:hAnsi="Book Antiqua" w:cs="Arial"/>
            <w:color w:val="0000FF"/>
            <w:sz w:val="19"/>
            <w:szCs w:val="19"/>
            <w:u w:val="single"/>
            <w:lang w:eastAsia="pt-BR"/>
          </w:rPr>
          <w:t>(Redação dada pela Lei nº  6.071, de 1974)</w:t>
        </w:r>
      </w:hyperlink>
    </w:p>
    <w:p w14:paraId="1F9CC2B9"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3" w:name="art2i"/>
      <w:bookmarkEnd w:id="3"/>
      <w:r w:rsidRPr="00940C91">
        <w:rPr>
          <w:rFonts w:ascii="Book Antiqua" w:eastAsia="Times New Roman" w:hAnsi="Book Antiqua" w:cs="Arial"/>
          <w:color w:val="000000"/>
          <w:sz w:val="19"/>
          <w:szCs w:val="19"/>
          <w:lang w:eastAsia="pt-BR"/>
        </w:rPr>
        <w:t>I - o título da dívida devidamente inscrita;              </w:t>
      </w:r>
      <w:hyperlink r:id="rId9" w:anchor="art2" w:history="1">
        <w:r w:rsidRPr="00940C91">
          <w:rPr>
            <w:rFonts w:ascii="Book Antiqua" w:eastAsia="Times New Roman" w:hAnsi="Book Antiqua" w:cs="Arial"/>
            <w:color w:val="0000FF"/>
            <w:sz w:val="19"/>
            <w:szCs w:val="19"/>
            <w:u w:val="single"/>
            <w:lang w:eastAsia="pt-BR"/>
          </w:rPr>
          <w:t>(Redação dada pela Lei nº  6.071, de 1974)</w:t>
        </w:r>
      </w:hyperlink>
    </w:p>
    <w:p w14:paraId="5BE6F751"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4" w:name="art2ii"/>
      <w:bookmarkEnd w:id="4"/>
      <w:r w:rsidRPr="00940C91">
        <w:rPr>
          <w:rFonts w:ascii="Book Antiqua" w:eastAsia="Times New Roman" w:hAnsi="Book Antiqua" w:cs="Arial"/>
          <w:color w:val="000000"/>
          <w:sz w:val="19"/>
          <w:szCs w:val="19"/>
          <w:lang w:eastAsia="pt-BR"/>
        </w:rPr>
        <w:t>Il - a indicação do valor das prestações e encargos cujo não pagamento deu lugar ao vencimento do contrato;             </w:t>
      </w:r>
      <w:hyperlink r:id="rId10" w:anchor="art2" w:history="1">
        <w:r w:rsidRPr="00940C91">
          <w:rPr>
            <w:rFonts w:ascii="Book Antiqua" w:eastAsia="Times New Roman" w:hAnsi="Book Antiqua" w:cs="Arial"/>
            <w:color w:val="0000FF"/>
            <w:sz w:val="19"/>
            <w:szCs w:val="19"/>
            <w:u w:val="single"/>
            <w:lang w:eastAsia="pt-BR"/>
          </w:rPr>
          <w:t>(Redação dada pela Lei nº  6.071, de 1974)</w:t>
        </w:r>
      </w:hyperlink>
    </w:p>
    <w:p w14:paraId="46AABC89"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5" w:name="art2iii"/>
      <w:bookmarkEnd w:id="5"/>
      <w:r w:rsidRPr="00940C91">
        <w:rPr>
          <w:rFonts w:ascii="Book Antiqua" w:eastAsia="Times New Roman" w:hAnsi="Book Antiqua" w:cs="Arial"/>
          <w:color w:val="000000"/>
          <w:sz w:val="19"/>
          <w:szCs w:val="19"/>
          <w:lang w:eastAsia="pt-BR"/>
        </w:rPr>
        <w:t xml:space="preserve">III - o saldo devedor, discriminadas as </w:t>
      </w:r>
      <w:proofErr w:type="spellStart"/>
      <w:r w:rsidRPr="00940C91">
        <w:rPr>
          <w:rFonts w:ascii="Book Antiqua" w:eastAsia="Times New Roman" w:hAnsi="Book Antiqua" w:cs="Arial"/>
          <w:color w:val="000000"/>
          <w:sz w:val="19"/>
          <w:szCs w:val="19"/>
          <w:lang w:eastAsia="pt-BR"/>
        </w:rPr>
        <w:t>parceIas</w:t>
      </w:r>
      <w:proofErr w:type="spellEnd"/>
      <w:r w:rsidRPr="00940C91">
        <w:rPr>
          <w:rFonts w:ascii="Book Antiqua" w:eastAsia="Times New Roman" w:hAnsi="Book Antiqua" w:cs="Arial"/>
          <w:color w:val="000000"/>
          <w:sz w:val="19"/>
          <w:szCs w:val="19"/>
          <w:lang w:eastAsia="pt-BR"/>
        </w:rPr>
        <w:t xml:space="preserve"> relativas a principal, juros, multa e outros encargos contratuais fiscais e honorários advocatícios;             </w:t>
      </w:r>
      <w:hyperlink r:id="rId11" w:anchor="art2" w:history="1">
        <w:r w:rsidRPr="00940C91">
          <w:rPr>
            <w:rFonts w:ascii="Book Antiqua" w:eastAsia="Times New Roman" w:hAnsi="Book Antiqua" w:cs="Arial"/>
            <w:color w:val="0000FF"/>
            <w:sz w:val="19"/>
            <w:szCs w:val="19"/>
            <w:u w:val="single"/>
            <w:lang w:eastAsia="pt-BR"/>
          </w:rPr>
          <w:t>(Redação dada pela Lei nº  6.071, de 1974)</w:t>
        </w:r>
      </w:hyperlink>
    </w:p>
    <w:p w14:paraId="1F0FB301"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6" w:name="art2iv"/>
      <w:bookmarkEnd w:id="6"/>
      <w:r w:rsidRPr="00940C91">
        <w:rPr>
          <w:rFonts w:ascii="Book Antiqua" w:eastAsia="Times New Roman" w:hAnsi="Book Antiqua" w:cs="Arial"/>
          <w:color w:val="000000"/>
          <w:sz w:val="19"/>
          <w:szCs w:val="19"/>
          <w:lang w:eastAsia="pt-BR"/>
        </w:rPr>
        <w:t>IV - cópia dos avisos regulamentares reclamando o pagamento da dívida, expedidos segundo instruções do Banco Nacional da Habitação.           </w:t>
      </w:r>
      <w:hyperlink r:id="rId12" w:anchor="art2" w:history="1">
        <w:r w:rsidRPr="00940C91">
          <w:rPr>
            <w:rFonts w:ascii="Book Antiqua" w:eastAsia="Times New Roman" w:hAnsi="Book Antiqua" w:cs="Arial"/>
            <w:color w:val="0000FF"/>
            <w:sz w:val="19"/>
            <w:szCs w:val="19"/>
            <w:u w:val="single"/>
            <w:lang w:eastAsia="pt-BR"/>
          </w:rPr>
          <w:t>(Redação dada pela Lei nº  6.071, de 1974)</w:t>
        </w:r>
      </w:hyperlink>
    </w:p>
    <w:p w14:paraId="38530208" w14:textId="09EA5419"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7" w:name="art3"/>
      <w:bookmarkEnd w:id="7"/>
      <w:r w:rsidRPr="00940C91">
        <w:rPr>
          <w:rFonts w:ascii="Book Antiqua" w:eastAsia="Times New Roman" w:hAnsi="Book Antiqua" w:cs="Arial"/>
          <w:color w:val="000000"/>
          <w:sz w:val="19"/>
          <w:szCs w:val="19"/>
          <w:lang w:eastAsia="pt-BR"/>
        </w:rPr>
        <w:t>Art. 3º O devedor será citado para pagar o valor do crédito reclamado ou depositá-lo em juízo no prazo de vinte e quatro horas, sob pena de lhe ser penhorado o imóvel hipotecado.</w:t>
      </w:r>
    </w:p>
    <w:p w14:paraId="06280E40"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8" w:name="art3§1."/>
      <w:bookmarkStart w:id="9" w:name="art3§1"/>
      <w:bookmarkEnd w:id="8"/>
      <w:bookmarkEnd w:id="9"/>
      <w:r w:rsidRPr="00940C91">
        <w:rPr>
          <w:rFonts w:ascii="Book Antiqua" w:eastAsia="Times New Roman" w:hAnsi="Book Antiqua" w:cs="Arial"/>
          <w:color w:val="000000"/>
          <w:sz w:val="19"/>
          <w:szCs w:val="19"/>
          <w:lang w:eastAsia="pt-BR"/>
        </w:rPr>
        <w:t>§ 1º A citação far-se-á na pessoa do réu e de seu cônjuge ou de seus representantes legais.           </w:t>
      </w:r>
      <w:hyperlink r:id="rId13" w:anchor="art18" w:history="1">
        <w:r w:rsidRPr="00940C91">
          <w:rPr>
            <w:rFonts w:ascii="Book Antiqua" w:eastAsia="Times New Roman" w:hAnsi="Book Antiqua" w:cs="Arial"/>
            <w:color w:val="0000FF"/>
            <w:sz w:val="19"/>
            <w:szCs w:val="19"/>
            <w:u w:val="single"/>
            <w:lang w:eastAsia="pt-BR"/>
          </w:rPr>
          <w:t>(Redação dada pela Lei nº 8.004, de 1990).</w:t>
        </w:r>
      </w:hyperlink>
    </w:p>
    <w:p w14:paraId="49B761A0"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0" w:name="art3§2"/>
      <w:bookmarkEnd w:id="10"/>
      <w:r w:rsidRPr="00940C91">
        <w:rPr>
          <w:rFonts w:ascii="Book Antiqua" w:eastAsia="Times New Roman" w:hAnsi="Book Antiqua" w:cs="Arial"/>
          <w:color w:val="000000"/>
          <w:sz w:val="19"/>
          <w:szCs w:val="19"/>
          <w:lang w:eastAsia="pt-BR"/>
        </w:rPr>
        <w:t>§ 2º Se o executado e seu cônjuge se acharem fora da jurisdição da situação do imóvel, a citação far-se-á por meio de edital, pelo prazo de 10 (dez) dias, publicado, uma vez no órgão oficial do Estado e, pelo menos, duas vezes em jornal local de grande circulação onde houver.</w:t>
      </w:r>
    </w:p>
    <w:p w14:paraId="1B290FB1" w14:textId="7DA90A2F"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1" w:name="art4"/>
      <w:bookmarkEnd w:id="11"/>
      <w:r w:rsidRPr="00940C91">
        <w:rPr>
          <w:rFonts w:ascii="Book Antiqua" w:eastAsia="Times New Roman" w:hAnsi="Book Antiqua" w:cs="Arial"/>
          <w:color w:val="000000"/>
          <w:sz w:val="19"/>
          <w:szCs w:val="19"/>
          <w:lang w:eastAsia="pt-BR"/>
        </w:rPr>
        <w:t xml:space="preserve">Art. 4º Se o executado não pagar a dívida indicada no inciso II do art. 2º, acrescida das custas e honorários de advogado ou não depositar o saldo devedor, efetuar-se-á penhora do imóvel hipotecado, sendo nomeado depositário o </w:t>
      </w:r>
      <w:proofErr w:type="spellStart"/>
      <w:r w:rsidRPr="00940C91">
        <w:rPr>
          <w:rFonts w:ascii="Book Antiqua" w:eastAsia="Times New Roman" w:hAnsi="Book Antiqua" w:cs="Arial"/>
          <w:color w:val="000000"/>
          <w:sz w:val="19"/>
          <w:szCs w:val="19"/>
          <w:lang w:eastAsia="pt-BR"/>
        </w:rPr>
        <w:t>exeqüente</w:t>
      </w:r>
      <w:proofErr w:type="spellEnd"/>
      <w:r w:rsidRPr="00940C91">
        <w:rPr>
          <w:rFonts w:ascii="Book Antiqua" w:eastAsia="Times New Roman" w:hAnsi="Book Antiqua" w:cs="Arial"/>
          <w:color w:val="000000"/>
          <w:sz w:val="19"/>
          <w:szCs w:val="19"/>
          <w:lang w:eastAsia="pt-BR"/>
        </w:rPr>
        <w:t xml:space="preserve"> ou quem </w:t>
      </w:r>
      <w:proofErr w:type="spellStart"/>
      <w:r w:rsidRPr="00940C91">
        <w:rPr>
          <w:rFonts w:ascii="Book Antiqua" w:eastAsia="Times New Roman" w:hAnsi="Book Antiqua" w:cs="Arial"/>
          <w:color w:val="000000"/>
          <w:sz w:val="19"/>
          <w:szCs w:val="19"/>
          <w:lang w:eastAsia="pt-BR"/>
        </w:rPr>
        <w:t>êste</w:t>
      </w:r>
      <w:proofErr w:type="spellEnd"/>
      <w:r w:rsidRPr="00940C91">
        <w:rPr>
          <w:rFonts w:ascii="Book Antiqua" w:eastAsia="Times New Roman" w:hAnsi="Book Antiqua" w:cs="Arial"/>
          <w:color w:val="000000"/>
          <w:sz w:val="19"/>
          <w:szCs w:val="19"/>
          <w:lang w:eastAsia="pt-BR"/>
        </w:rPr>
        <w:t xml:space="preserve"> indicar.</w:t>
      </w:r>
    </w:p>
    <w:p w14:paraId="114BC79B"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2" w:name="art4§1"/>
      <w:bookmarkEnd w:id="12"/>
      <w:r w:rsidRPr="00940C91">
        <w:rPr>
          <w:rFonts w:ascii="Book Antiqua" w:eastAsia="Times New Roman" w:hAnsi="Book Antiqua" w:cs="Arial"/>
          <w:color w:val="000000"/>
          <w:sz w:val="19"/>
          <w:szCs w:val="19"/>
          <w:lang w:eastAsia="pt-BR"/>
        </w:rPr>
        <w:t xml:space="preserve">§ 1º Se o executado não estiver na posse direta do imóvel, o juiz ordenará a expedição de mandado de desocupação contra a pessoa que o estiver ocupando, para entregá-lo ao </w:t>
      </w:r>
      <w:proofErr w:type="spellStart"/>
      <w:r w:rsidRPr="00940C91">
        <w:rPr>
          <w:rFonts w:ascii="Book Antiqua" w:eastAsia="Times New Roman" w:hAnsi="Book Antiqua" w:cs="Arial"/>
          <w:color w:val="000000"/>
          <w:sz w:val="19"/>
          <w:szCs w:val="19"/>
          <w:lang w:eastAsia="pt-BR"/>
        </w:rPr>
        <w:t>exeqüente</w:t>
      </w:r>
      <w:proofErr w:type="spellEnd"/>
      <w:r w:rsidRPr="00940C91">
        <w:rPr>
          <w:rFonts w:ascii="Book Antiqua" w:eastAsia="Times New Roman" w:hAnsi="Book Antiqua" w:cs="Arial"/>
          <w:color w:val="000000"/>
          <w:sz w:val="19"/>
          <w:szCs w:val="19"/>
          <w:lang w:eastAsia="pt-BR"/>
        </w:rPr>
        <w:t xml:space="preserve"> no prazo de 10 (dez) dias.</w:t>
      </w:r>
    </w:p>
    <w:p w14:paraId="233531AB"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3" w:name="art4§2"/>
      <w:bookmarkEnd w:id="13"/>
      <w:r w:rsidRPr="00940C91">
        <w:rPr>
          <w:rFonts w:ascii="Book Antiqua" w:eastAsia="Times New Roman" w:hAnsi="Book Antiqua" w:cs="Arial"/>
          <w:color w:val="000000"/>
          <w:sz w:val="19"/>
          <w:szCs w:val="19"/>
          <w:lang w:eastAsia="pt-BR"/>
        </w:rPr>
        <w:t xml:space="preserve">§ 2º Se o executado estiver na posse direta do imóvel, o juiz ordenará que o desocupe no prazo de 30 (trinta) dias, entregando-o ao </w:t>
      </w:r>
      <w:proofErr w:type="spellStart"/>
      <w:r w:rsidRPr="00940C91">
        <w:rPr>
          <w:rFonts w:ascii="Book Antiqua" w:eastAsia="Times New Roman" w:hAnsi="Book Antiqua" w:cs="Arial"/>
          <w:color w:val="000000"/>
          <w:sz w:val="19"/>
          <w:szCs w:val="19"/>
          <w:lang w:eastAsia="pt-BR"/>
        </w:rPr>
        <w:t>exeqüente</w:t>
      </w:r>
      <w:proofErr w:type="spellEnd"/>
      <w:r w:rsidRPr="00940C91">
        <w:rPr>
          <w:rFonts w:ascii="Book Antiqua" w:eastAsia="Times New Roman" w:hAnsi="Book Antiqua" w:cs="Arial"/>
          <w:color w:val="000000"/>
          <w:sz w:val="19"/>
          <w:szCs w:val="19"/>
          <w:lang w:eastAsia="pt-BR"/>
        </w:rPr>
        <w:t>.</w:t>
      </w:r>
    </w:p>
    <w:p w14:paraId="59E29533" w14:textId="3C9D4EFC" w:rsidR="00940C91" w:rsidRPr="0027426B" w:rsidRDefault="00940C91" w:rsidP="00940C91">
      <w:pPr>
        <w:spacing w:before="100" w:beforeAutospacing="1" w:after="100" w:afterAutospacing="1" w:line="240" w:lineRule="auto"/>
        <w:ind w:firstLine="450"/>
        <w:jc w:val="both"/>
        <w:rPr>
          <w:rFonts w:ascii="Book Antiqua" w:eastAsia="Times New Roman" w:hAnsi="Book Antiqua" w:cs="Arial"/>
          <w:b/>
          <w:bCs/>
          <w:color w:val="000000"/>
          <w:sz w:val="18"/>
          <w:szCs w:val="18"/>
          <w:u w:val="single"/>
          <w:lang w:eastAsia="pt-BR"/>
        </w:rPr>
      </w:pPr>
      <w:bookmarkStart w:id="14" w:name="art5."/>
      <w:bookmarkStart w:id="15" w:name="art5"/>
      <w:bookmarkEnd w:id="14"/>
      <w:bookmarkEnd w:id="15"/>
      <w:r w:rsidRPr="0027426B">
        <w:rPr>
          <w:rFonts w:ascii="Book Antiqua" w:eastAsia="Times New Roman" w:hAnsi="Book Antiqua" w:cs="Arial"/>
          <w:b/>
          <w:bCs/>
          <w:color w:val="000000"/>
          <w:sz w:val="19"/>
          <w:szCs w:val="19"/>
          <w:highlight w:val="magenta"/>
          <w:lang w:eastAsia="pt-BR"/>
        </w:rPr>
        <w:t>Art. 5 º</w:t>
      </w:r>
      <w:r w:rsidRPr="00940C91">
        <w:rPr>
          <w:rFonts w:ascii="Book Antiqua" w:eastAsia="Times New Roman" w:hAnsi="Book Antiqua" w:cs="Arial"/>
          <w:color w:val="000000"/>
          <w:sz w:val="19"/>
          <w:szCs w:val="19"/>
          <w:lang w:eastAsia="pt-BR"/>
        </w:rPr>
        <w:t xml:space="preserve"> </w:t>
      </w:r>
      <w:r w:rsidRPr="0027426B">
        <w:rPr>
          <w:rFonts w:ascii="Book Antiqua" w:eastAsia="Times New Roman" w:hAnsi="Book Antiqua" w:cs="Arial"/>
          <w:b/>
          <w:bCs/>
          <w:color w:val="000000"/>
          <w:sz w:val="19"/>
          <w:szCs w:val="19"/>
          <w:lang w:eastAsia="pt-BR"/>
        </w:rPr>
        <w:t>O executado poderá opor embargos no prazo de dez (10) dias contados da penhora e que serão recebidos com efeito suspensivo, desde que alegue e prove</w:t>
      </w:r>
      <w:r w:rsidRPr="0027426B">
        <w:rPr>
          <w:rFonts w:ascii="Book Antiqua" w:eastAsia="Times New Roman" w:hAnsi="Book Antiqua" w:cs="Arial"/>
          <w:color w:val="000000"/>
          <w:sz w:val="18"/>
          <w:szCs w:val="18"/>
          <w:lang w:eastAsia="pt-BR"/>
        </w:rPr>
        <w:t>:  </w:t>
      </w:r>
      <w:hyperlink r:id="rId14" w:anchor="art14" w:history="1">
        <w:r w:rsidRPr="0027426B">
          <w:rPr>
            <w:rFonts w:ascii="Book Antiqua" w:eastAsia="Times New Roman" w:hAnsi="Book Antiqua" w:cs="Arial"/>
            <w:color w:val="0000FF"/>
            <w:sz w:val="18"/>
            <w:szCs w:val="18"/>
            <w:u w:val="single"/>
            <w:lang w:eastAsia="pt-BR"/>
          </w:rPr>
          <w:t>(Redação dada pela Lei nº 6.014, de 1973)</w:t>
        </w:r>
      </w:hyperlink>
      <w:r w:rsidR="0027426B">
        <w:rPr>
          <w:rFonts w:ascii="Book Antiqua" w:eastAsia="Times New Roman" w:hAnsi="Book Antiqua" w:cs="Arial"/>
          <w:color w:val="0000FF"/>
          <w:sz w:val="18"/>
          <w:szCs w:val="18"/>
          <w:lang w:eastAsia="pt-BR"/>
        </w:rPr>
        <w:t xml:space="preserve"> </w:t>
      </w:r>
      <w:bookmarkStart w:id="16" w:name="_Hlk103350373"/>
      <w:r w:rsidR="0027426B" w:rsidRPr="0027426B">
        <w:rPr>
          <w:rFonts w:ascii="Book Antiqua" w:eastAsia="Times New Roman" w:hAnsi="Book Antiqua" w:cs="Arial"/>
          <w:b/>
          <w:bCs/>
          <w:color w:val="FF0000"/>
          <w:sz w:val="18"/>
          <w:szCs w:val="18"/>
          <w:u w:val="single"/>
          <w:lang w:eastAsia="pt-BR"/>
        </w:rPr>
        <w:t>(Cartórios/TJSP-2016)</w:t>
      </w:r>
      <w:bookmarkEnd w:id="16"/>
    </w:p>
    <w:p w14:paraId="6482B133" w14:textId="0A231B81"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7" w:name="art5i."/>
      <w:bookmarkEnd w:id="17"/>
      <w:r w:rsidRPr="00940C91">
        <w:rPr>
          <w:rFonts w:ascii="Book Antiqua" w:eastAsia="Times New Roman" w:hAnsi="Book Antiqua" w:cs="Arial"/>
          <w:color w:val="000000"/>
          <w:sz w:val="19"/>
          <w:szCs w:val="19"/>
          <w:lang w:eastAsia="pt-BR"/>
        </w:rPr>
        <w:t>I - que depositou por inteiro a importância reclamada na inicial;  </w:t>
      </w:r>
      <w:hyperlink r:id="rId15" w:anchor="art14" w:history="1">
        <w:r w:rsidRPr="00940C91">
          <w:rPr>
            <w:rFonts w:ascii="Book Antiqua" w:eastAsia="Times New Roman" w:hAnsi="Book Antiqua" w:cs="Arial"/>
            <w:color w:val="0000FF"/>
            <w:sz w:val="19"/>
            <w:szCs w:val="19"/>
            <w:u w:val="single"/>
            <w:lang w:eastAsia="pt-BR"/>
          </w:rPr>
          <w:t>(Redação dada pela Lei nº 6.014, de 1973)</w:t>
        </w:r>
      </w:hyperlink>
    </w:p>
    <w:p w14:paraId="04D4CC0B" w14:textId="485B5366"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8" w:name="art5ii."/>
      <w:bookmarkEnd w:id="18"/>
      <w:r w:rsidRPr="00940C91">
        <w:rPr>
          <w:rFonts w:ascii="Book Antiqua" w:eastAsia="Times New Roman" w:hAnsi="Book Antiqua" w:cs="Arial"/>
          <w:color w:val="000000"/>
          <w:sz w:val="19"/>
          <w:szCs w:val="19"/>
          <w:lang w:eastAsia="pt-BR"/>
        </w:rPr>
        <w:lastRenderedPageBreak/>
        <w:t>II - que resgatou a dívida, oferecendo desde logo a prova da quitação.  </w:t>
      </w:r>
      <w:hyperlink r:id="rId16" w:anchor="art14" w:history="1">
        <w:r w:rsidRPr="00940C91">
          <w:rPr>
            <w:rFonts w:ascii="Book Antiqua" w:eastAsia="Times New Roman" w:hAnsi="Book Antiqua" w:cs="Arial"/>
            <w:color w:val="0000FF"/>
            <w:sz w:val="19"/>
            <w:szCs w:val="19"/>
            <w:u w:val="single"/>
            <w:lang w:eastAsia="pt-BR"/>
          </w:rPr>
          <w:t>(Redação dada pela Lei nº 6.014, de 1973)</w:t>
        </w:r>
      </w:hyperlink>
    </w:p>
    <w:p w14:paraId="72A485A7" w14:textId="1DEF1044"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9" w:name="art5p"/>
      <w:bookmarkEnd w:id="19"/>
      <w:r w:rsidRPr="00940C91">
        <w:rPr>
          <w:rFonts w:ascii="Book Antiqua" w:eastAsia="Times New Roman" w:hAnsi="Book Antiqua" w:cs="Arial"/>
          <w:color w:val="000000"/>
          <w:sz w:val="19"/>
          <w:szCs w:val="19"/>
          <w:lang w:eastAsia="pt-BR"/>
        </w:rPr>
        <w:t>Parágrafo único. Os demais fundos de fundamentos de embargos, previstos no </w:t>
      </w:r>
      <w:hyperlink r:id="rId17" w:anchor="art741.." w:history="1">
        <w:r w:rsidRPr="00940C91">
          <w:rPr>
            <w:rFonts w:ascii="Book Antiqua" w:eastAsia="Times New Roman" w:hAnsi="Book Antiqua" w:cs="Arial"/>
            <w:color w:val="0000FF"/>
            <w:sz w:val="19"/>
            <w:szCs w:val="19"/>
            <w:u w:val="single"/>
            <w:lang w:eastAsia="pt-BR"/>
          </w:rPr>
          <w:t>artigo 741 do Código de Processo Civil</w:t>
        </w:r>
      </w:hyperlink>
      <w:r w:rsidRPr="00940C91">
        <w:rPr>
          <w:rFonts w:ascii="Book Antiqua" w:eastAsia="Times New Roman" w:hAnsi="Book Antiqua" w:cs="Arial"/>
          <w:color w:val="000000"/>
          <w:sz w:val="19"/>
          <w:szCs w:val="19"/>
          <w:lang w:eastAsia="pt-BR"/>
        </w:rPr>
        <w:t>, não suspendem a execução.  </w:t>
      </w:r>
      <w:hyperlink r:id="rId18" w:anchor="art14" w:history="1">
        <w:r w:rsidRPr="00940C91">
          <w:rPr>
            <w:rFonts w:ascii="Book Antiqua" w:eastAsia="Times New Roman" w:hAnsi="Book Antiqua" w:cs="Arial"/>
            <w:color w:val="0000FF"/>
            <w:sz w:val="19"/>
            <w:szCs w:val="19"/>
            <w:u w:val="single"/>
            <w:lang w:eastAsia="pt-BR"/>
          </w:rPr>
          <w:t>(Incluído dada pela Lei nº 6.014, de 1973)</w:t>
        </w:r>
      </w:hyperlink>
    </w:p>
    <w:p w14:paraId="2CA858B2" w14:textId="471D6042"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0" w:name="art6"/>
      <w:bookmarkEnd w:id="20"/>
      <w:r w:rsidRPr="0027426B">
        <w:rPr>
          <w:rFonts w:ascii="Book Antiqua" w:eastAsia="Times New Roman" w:hAnsi="Book Antiqua" w:cs="Arial"/>
          <w:b/>
          <w:bCs/>
          <w:color w:val="000000"/>
          <w:sz w:val="19"/>
          <w:szCs w:val="19"/>
          <w:highlight w:val="magenta"/>
          <w:lang w:eastAsia="pt-BR"/>
        </w:rPr>
        <w:t>Art. 6º</w:t>
      </w:r>
      <w:r w:rsidRPr="00940C91">
        <w:rPr>
          <w:rFonts w:ascii="Book Antiqua" w:eastAsia="Times New Roman" w:hAnsi="Book Antiqua" w:cs="Arial"/>
          <w:color w:val="000000"/>
          <w:sz w:val="19"/>
          <w:szCs w:val="19"/>
          <w:lang w:eastAsia="pt-BR"/>
        </w:rPr>
        <w:t xml:space="preserve"> </w:t>
      </w:r>
      <w:r w:rsidRPr="0027426B">
        <w:rPr>
          <w:rFonts w:ascii="Book Antiqua" w:eastAsia="Times New Roman" w:hAnsi="Book Antiqua" w:cs="Arial"/>
          <w:b/>
          <w:bCs/>
          <w:color w:val="000000"/>
          <w:sz w:val="19"/>
          <w:szCs w:val="19"/>
          <w:lang w:eastAsia="pt-BR"/>
        </w:rPr>
        <w:t>Rejeitados os embargos referidos no caput do artigo anterior, o juiz ordenará a venda do imóvel hipotecado em praça pública por preço não inferior do saldo devedor expedindo-se edital pelo prazo de 10 (dez) dias</w:t>
      </w:r>
      <w:r w:rsidRPr="00940C91">
        <w:rPr>
          <w:rFonts w:ascii="Book Antiqua" w:eastAsia="Times New Roman" w:hAnsi="Book Antiqua" w:cs="Arial"/>
          <w:color w:val="000000"/>
          <w:sz w:val="19"/>
          <w:szCs w:val="19"/>
          <w:lang w:eastAsia="pt-BR"/>
        </w:rPr>
        <w:t>.</w:t>
      </w:r>
      <w:r w:rsidR="0027426B">
        <w:rPr>
          <w:rFonts w:ascii="Book Antiqua" w:eastAsia="Times New Roman" w:hAnsi="Book Antiqua" w:cs="Arial"/>
          <w:color w:val="000000"/>
          <w:sz w:val="19"/>
          <w:szCs w:val="19"/>
          <w:lang w:eastAsia="pt-BR"/>
        </w:rPr>
        <w:t xml:space="preserve"> </w:t>
      </w:r>
      <w:r w:rsidR="0027426B" w:rsidRPr="0027426B">
        <w:rPr>
          <w:rFonts w:ascii="Book Antiqua" w:eastAsia="Times New Roman" w:hAnsi="Book Antiqua" w:cs="Arial"/>
          <w:b/>
          <w:bCs/>
          <w:color w:val="FF0000"/>
          <w:sz w:val="18"/>
          <w:szCs w:val="18"/>
          <w:u w:val="single"/>
          <w:lang w:eastAsia="pt-BR"/>
        </w:rPr>
        <w:t>(Cartórios/TJSP-2016)</w:t>
      </w:r>
    </w:p>
    <w:p w14:paraId="515F7669"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940C91">
        <w:rPr>
          <w:rFonts w:ascii="Book Antiqua" w:eastAsia="Times New Roman" w:hAnsi="Book Antiqua" w:cs="Arial"/>
          <w:color w:val="000000"/>
          <w:sz w:val="19"/>
          <w:szCs w:val="19"/>
          <w:lang w:eastAsia="pt-BR"/>
        </w:rPr>
        <w:t>Parágrafo único. O edital será afixado à porta do edifício onde tiver sede o juízo e publicado três vezes, por extrato, em um dos jornais locais de maior circulação, onde houver.</w:t>
      </w:r>
    </w:p>
    <w:p w14:paraId="564E7A80" w14:textId="729B5116"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1" w:name="art7"/>
      <w:bookmarkEnd w:id="21"/>
      <w:r w:rsidRPr="00940C91">
        <w:rPr>
          <w:rFonts w:ascii="Book Antiqua" w:eastAsia="Times New Roman" w:hAnsi="Book Antiqua" w:cs="Arial"/>
          <w:color w:val="000000"/>
          <w:sz w:val="19"/>
          <w:szCs w:val="19"/>
          <w:lang w:eastAsia="pt-BR"/>
        </w:rPr>
        <w:t xml:space="preserve">Art. 7º Não havendo licitante na praça pública, o Juiz adjudicará, dentro de quarenta e oito horas, ao </w:t>
      </w:r>
      <w:proofErr w:type="spellStart"/>
      <w:r w:rsidRPr="00940C91">
        <w:rPr>
          <w:rFonts w:ascii="Book Antiqua" w:eastAsia="Times New Roman" w:hAnsi="Book Antiqua" w:cs="Arial"/>
          <w:color w:val="000000"/>
          <w:sz w:val="19"/>
          <w:szCs w:val="19"/>
          <w:lang w:eastAsia="pt-BR"/>
        </w:rPr>
        <w:t>exeqüente</w:t>
      </w:r>
      <w:proofErr w:type="spellEnd"/>
      <w:r w:rsidRPr="00940C91">
        <w:rPr>
          <w:rFonts w:ascii="Book Antiqua" w:eastAsia="Times New Roman" w:hAnsi="Book Antiqua" w:cs="Arial"/>
          <w:color w:val="000000"/>
          <w:sz w:val="19"/>
          <w:szCs w:val="19"/>
          <w:lang w:eastAsia="pt-BR"/>
        </w:rPr>
        <w:t xml:space="preserve"> o imóvel hipotecado, ficando exonerado o executado da obrigação de pagar o restante da dívida.</w:t>
      </w:r>
    </w:p>
    <w:p w14:paraId="1BBE70F8" w14:textId="4B829B73"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2" w:name="art8"/>
      <w:bookmarkEnd w:id="22"/>
      <w:r w:rsidRPr="00940C91">
        <w:rPr>
          <w:rFonts w:ascii="Book Antiqua" w:eastAsia="Times New Roman" w:hAnsi="Book Antiqua" w:cs="Arial"/>
          <w:color w:val="000000"/>
          <w:sz w:val="19"/>
          <w:szCs w:val="19"/>
          <w:lang w:eastAsia="pt-BR"/>
        </w:rPr>
        <w:t>Art. 8º É lícito ao executado remir o imóvel penhorado, desde que deposite em juízo, até a assinatura do auto de arrematação, a importância que baste ao pagamento da dívida reclamada mais custas e honorários advocatícios; caso em que convalescerá o contrato hipotecário.</w:t>
      </w:r>
    </w:p>
    <w:p w14:paraId="7400A638" w14:textId="6C925853"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3" w:name="art9"/>
      <w:bookmarkEnd w:id="23"/>
      <w:r w:rsidRPr="00940C91">
        <w:rPr>
          <w:rFonts w:ascii="Book Antiqua" w:eastAsia="Times New Roman" w:hAnsi="Book Antiqua" w:cs="Arial"/>
          <w:b/>
          <w:bCs/>
          <w:color w:val="000000"/>
          <w:sz w:val="19"/>
          <w:szCs w:val="19"/>
          <w:highlight w:val="magenta"/>
          <w:lang w:eastAsia="pt-BR"/>
        </w:rPr>
        <w:t>Art. 9º</w:t>
      </w:r>
      <w:r w:rsidRPr="00940C91">
        <w:rPr>
          <w:rFonts w:ascii="Book Antiqua" w:eastAsia="Times New Roman" w:hAnsi="Book Antiqua" w:cs="Arial"/>
          <w:color w:val="000000"/>
          <w:sz w:val="19"/>
          <w:szCs w:val="19"/>
          <w:lang w:eastAsia="pt-BR"/>
        </w:rPr>
        <w:t xml:space="preserve"> Constitui crime de ação pública, punido com a pena de detenção de 6 (seis) meses a 2 (dois) anos e multa de cinco a vinte salários mínimos, invadir alguém, ou ocupar, </w:t>
      </w:r>
      <w:r w:rsidRPr="00940C91">
        <w:rPr>
          <w:rFonts w:ascii="Book Antiqua" w:eastAsia="Times New Roman" w:hAnsi="Book Antiqua" w:cs="Arial"/>
          <w:b/>
          <w:bCs/>
          <w:color w:val="000000"/>
          <w:sz w:val="19"/>
          <w:szCs w:val="19"/>
          <w:highlight w:val="cyan"/>
          <w:lang w:eastAsia="pt-BR"/>
        </w:rPr>
        <w:t>com o fim de esbulho possessório</w:t>
      </w:r>
      <w:r w:rsidRPr="00940C91">
        <w:rPr>
          <w:rFonts w:ascii="Book Antiqua" w:eastAsia="Times New Roman" w:hAnsi="Book Antiqua" w:cs="Arial"/>
          <w:color w:val="000000"/>
          <w:sz w:val="19"/>
          <w:szCs w:val="19"/>
          <w:lang w:eastAsia="pt-BR"/>
        </w:rPr>
        <w:t>, terreno ou unidade residencial, construída ou em construção, objeto de financiamento do Sistema Financeiro da Habitação.</w:t>
      </w:r>
    </w:p>
    <w:p w14:paraId="57F5A129"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940C91">
        <w:rPr>
          <w:rFonts w:ascii="Book Antiqua" w:eastAsia="Times New Roman" w:hAnsi="Book Antiqua" w:cs="Arial"/>
          <w:color w:val="000000"/>
          <w:sz w:val="19"/>
          <w:szCs w:val="19"/>
          <w:lang w:eastAsia="pt-BR"/>
        </w:rPr>
        <w:t>§ 1º Se o agente usa de violência, incorre também nas penas a esta cominada.</w:t>
      </w:r>
    </w:p>
    <w:p w14:paraId="0534949D" w14:textId="3C099054" w:rsidR="00940C91" w:rsidRDefault="00940C91" w:rsidP="00940C91">
      <w:pPr>
        <w:spacing w:before="100" w:beforeAutospacing="1" w:after="100" w:afterAutospacing="1" w:line="240" w:lineRule="auto"/>
        <w:ind w:firstLine="450"/>
        <w:jc w:val="both"/>
        <w:rPr>
          <w:rFonts w:ascii="Book Antiqua" w:eastAsia="Times New Roman" w:hAnsi="Book Antiqua" w:cs="Times New Roman"/>
          <w:b/>
          <w:bCs/>
          <w:color w:val="FF0000"/>
          <w:sz w:val="19"/>
          <w:szCs w:val="19"/>
          <w:u w:val="single"/>
          <w:lang w:eastAsia="pt-BR"/>
        </w:rPr>
      </w:pPr>
      <w:r w:rsidRPr="00940C91">
        <w:rPr>
          <w:rFonts w:ascii="Book Antiqua" w:eastAsia="Times New Roman" w:hAnsi="Book Antiqua" w:cs="Arial"/>
          <w:b/>
          <w:bCs/>
          <w:color w:val="000000"/>
          <w:sz w:val="19"/>
          <w:szCs w:val="19"/>
          <w:highlight w:val="magenta"/>
          <w:lang w:eastAsia="pt-BR"/>
        </w:rPr>
        <w:t>§ 2º</w:t>
      </w:r>
      <w:r w:rsidRPr="00940C91">
        <w:rPr>
          <w:rFonts w:ascii="Book Antiqua" w:eastAsia="Times New Roman" w:hAnsi="Book Antiqua" w:cs="Arial"/>
          <w:color w:val="000000"/>
          <w:sz w:val="19"/>
          <w:szCs w:val="19"/>
          <w:lang w:eastAsia="pt-BR"/>
        </w:rPr>
        <w:t xml:space="preserve"> </w:t>
      </w:r>
      <w:r w:rsidRPr="00940C91">
        <w:rPr>
          <w:rFonts w:ascii="Book Antiqua" w:eastAsia="Times New Roman" w:hAnsi="Book Antiqua" w:cs="Arial"/>
          <w:b/>
          <w:bCs/>
          <w:caps/>
          <w:color w:val="000000"/>
          <w:sz w:val="19"/>
          <w:szCs w:val="19"/>
          <w:highlight w:val="green"/>
          <w:lang w:eastAsia="pt-BR"/>
        </w:rPr>
        <w:t>É</w:t>
      </w:r>
      <w:r w:rsidRPr="00940C91">
        <w:rPr>
          <w:rFonts w:ascii="Book Antiqua" w:eastAsia="Times New Roman" w:hAnsi="Book Antiqua" w:cs="Arial"/>
          <w:b/>
          <w:bCs/>
          <w:caps/>
          <w:color w:val="000000"/>
          <w:sz w:val="19"/>
          <w:szCs w:val="19"/>
          <w:lang w:eastAsia="pt-BR"/>
        </w:rPr>
        <w:t xml:space="preserve"> </w:t>
      </w:r>
      <w:r w:rsidRPr="00940C91">
        <w:rPr>
          <w:rFonts w:ascii="Book Antiqua" w:eastAsia="Times New Roman" w:hAnsi="Book Antiqua" w:cs="Arial"/>
          <w:b/>
          <w:bCs/>
          <w:caps/>
          <w:color w:val="000000"/>
          <w:sz w:val="19"/>
          <w:szCs w:val="19"/>
          <w:shd w:val="clear" w:color="auto" w:fill="F7CAAC" w:themeFill="accent2" w:themeFillTint="66"/>
          <w:lang w:eastAsia="pt-BR"/>
        </w:rPr>
        <w:t>isento da pena</w:t>
      </w:r>
      <w:r w:rsidRPr="00940C91">
        <w:rPr>
          <w:rFonts w:ascii="Book Antiqua" w:eastAsia="Times New Roman" w:hAnsi="Book Antiqua" w:cs="Arial"/>
          <w:color w:val="000000"/>
          <w:sz w:val="19"/>
          <w:szCs w:val="19"/>
          <w:lang w:eastAsia="pt-BR"/>
        </w:rPr>
        <w:t xml:space="preserve"> de esbulho o agente que, espontaneamente, desocupa o imóvel antes de qualquer medida coativa.</w:t>
      </w:r>
      <w:r>
        <w:rPr>
          <w:rFonts w:ascii="Book Antiqua" w:eastAsia="Times New Roman" w:hAnsi="Book Antiqua" w:cs="Arial"/>
          <w:color w:val="000000"/>
          <w:sz w:val="19"/>
          <w:szCs w:val="19"/>
          <w:lang w:eastAsia="pt-BR"/>
        </w:rPr>
        <w:t xml:space="preserve"> </w:t>
      </w:r>
    </w:p>
    <w:tbl>
      <w:tblPr>
        <w:tblStyle w:val="Tabelacomgrade"/>
        <w:tblW w:w="0" w:type="auto"/>
        <w:tblLook w:val="04A0" w:firstRow="1" w:lastRow="0" w:firstColumn="1" w:lastColumn="0" w:noHBand="0" w:noVBand="1"/>
      </w:tblPr>
      <w:tblGrid>
        <w:gridCol w:w="8494"/>
      </w:tblGrid>
      <w:tr w:rsidR="00940C91" w14:paraId="3B52FD91" w14:textId="77777777" w:rsidTr="00940C91">
        <w:tc>
          <w:tcPr>
            <w:tcW w:w="8494" w:type="dxa"/>
            <w:shd w:val="clear" w:color="auto" w:fill="CCFFFF"/>
          </w:tcPr>
          <w:p w14:paraId="2CD9D1D1" w14:textId="1100659C" w:rsidR="00940C91" w:rsidRPr="00940C91" w:rsidRDefault="00940C91" w:rsidP="00940C9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40C91">
              <w:rPr>
                <w:rFonts w:ascii="Book Antiqua" w:eastAsia="Times New Roman" w:hAnsi="Book Antiqua" w:cs="Arial"/>
                <w:b/>
                <w:bCs/>
                <w:color w:val="000000"/>
                <w:sz w:val="19"/>
                <w:szCs w:val="19"/>
                <w:highlight w:val="yellow"/>
                <w:lang w:eastAsia="pt-BR"/>
              </w:rPr>
              <w:t>TRF5-2015-CESPE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40C91">
              <w:rPr>
                <w:rFonts w:ascii="Book Antiqua" w:eastAsia="Times New Roman" w:hAnsi="Book Antiqua" w:cs="Arial"/>
                <w:i/>
                <w:iCs/>
                <w:color w:val="000000"/>
                <w:sz w:val="19"/>
                <w:szCs w:val="19"/>
                <w:lang w:eastAsia="pt-BR"/>
              </w:rPr>
              <w:t>“Josué, maior, capaz, líder de grupo comunitário ligado a pessoas sem teto, constatou que um prédio com cinquenta apartamentos, dentro de um conjunto habitacional, encontrava-se vazio, com as chaves de todas as unidades na portaria para fins de vistoria e concessão de alvará para ocupação. Tratava-se de prédio construído no âmbito de programa governamental de moradia, gerido e financiado por banco público federal com recursos do Sistema Financeiro Habitacional e destinado a pessoas de baixa renda, e parte dos apartamentos já havia sido entregue às famílias contempladas pelo programa, que aguardavam somente a autorização para ocupar seus imóveis. Josué, aproveitando-se do fato de o prédio estar vazio, organizou e liderou, no mesmo dia, no período noturno, a invasão do prédio, no fim da qual todas as unidades residenciais foram ocupadas com o fim de utilização como moradia definitiva. Tudo se deu de forma pacífica, sem danos aos imóveis e sem violência, mas o movimento impossibilitou a vistoria e entrega dos apartamentos às famílias que faziam parte do programa de moradia. Após duas semanas da ocupação, Josué, acompanhado de representantes das famílias invasores, procurou a Defensoria Pública Federal para obter assistência jurídica para regularizar a situação em que se encontravam. Após a consulta jurídica, a desocupação do prédio teve início, e, por fim, as autoridades públicas competentes assumiram compromisso no sentido de prestar às famílias invasoras assistência administrativa e, se fosse o caso, judicial, para que estas pudessem ingressar em programas governamentais de moradia. As famílias foram advertidas acerca das consequências legais da continuidade da ocupação irregular, e, por fim, todos os invasores decidiram, após trinta dias vivendo no prédio, desocupar espontaneamente os apartamentos. Após a saída dos invasores, verificou-se que os apartamentos foram deixados nas mesmas condições em que se encontravam antes da ocupação. Durante os trinta dias de ocupação, o banco gestor, apesar de ter sido formalmente comunicado da invasão pela empresa construtora, não adotou quaisquer medidas administrativas ou judiciais, e não houve instauração de procedimento administrativo investigatório até a desocupação.”</w:t>
            </w:r>
            <w:r>
              <w:rPr>
                <w:rFonts w:ascii="Book Antiqua" w:eastAsia="Times New Roman" w:hAnsi="Book Antiqua" w:cs="Arial"/>
                <w:i/>
                <w:iCs/>
                <w:color w:val="000000"/>
                <w:sz w:val="19"/>
                <w:szCs w:val="19"/>
                <w:lang w:eastAsia="pt-BR"/>
              </w:rPr>
              <w:t xml:space="preserve"> </w:t>
            </w:r>
            <w:r w:rsidRPr="00940C91">
              <w:rPr>
                <w:rFonts w:ascii="Book Antiqua" w:eastAsia="Times New Roman" w:hAnsi="Book Antiqua" w:cs="Arial"/>
                <w:color w:val="000000"/>
                <w:sz w:val="19"/>
                <w:szCs w:val="19"/>
                <w:lang w:eastAsia="pt-BR"/>
              </w:rPr>
              <w:t>A respeito dessa situação hipotética, assinale a opção correta</w:t>
            </w:r>
            <w:r>
              <w:rPr>
                <w:rFonts w:ascii="Book Antiqua" w:eastAsia="Times New Roman" w:hAnsi="Book Antiqua" w:cs="Arial"/>
                <w:color w:val="000000"/>
                <w:sz w:val="19"/>
                <w:szCs w:val="19"/>
                <w:lang w:eastAsia="pt-BR"/>
              </w:rPr>
              <w:t xml:space="preserve">: </w:t>
            </w:r>
            <w:r w:rsidRPr="00940C91">
              <w:rPr>
                <w:rFonts w:ascii="Book Antiqua" w:eastAsia="Times New Roman" w:hAnsi="Book Antiqua" w:cs="Arial"/>
                <w:color w:val="000000"/>
                <w:sz w:val="19"/>
                <w:szCs w:val="19"/>
                <w:lang w:eastAsia="pt-BR"/>
              </w:rPr>
              <w:t>Os agentes, que serão isentos de pena por terem desocupado espontaneamente os apartamentos antes de ter sido tomada medida coativa, praticaram o crime de esbulho possessório por concurso de mais de duas pessoas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e 2º, Lei 5741.</w:t>
            </w:r>
          </w:p>
        </w:tc>
      </w:tr>
    </w:tbl>
    <w:p w14:paraId="4D360208"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940C91">
        <w:rPr>
          <w:rFonts w:ascii="Book Antiqua" w:eastAsia="Times New Roman" w:hAnsi="Book Antiqua" w:cs="Arial"/>
          <w:color w:val="000000"/>
          <w:sz w:val="19"/>
          <w:szCs w:val="19"/>
          <w:lang w:eastAsia="pt-BR"/>
        </w:rPr>
        <w:t>3º O salário a que se refere este artigo é o maior mensal vigente no País, à época do fato.</w:t>
      </w:r>
    </w:p>
    <w:p w14:paraId="2BF8D32F" w14:textId="45536848"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4" w:name="art10"/>
      <w:bookmarkEnd w:id="24"/>
      <w:r w:rsidRPr="00940C91">
        <w:rPr>
          <w:rFonts w:ascii="Book Antiqua" w:eastAsia="Times New Roman" w:hAnsi="Book Antiqua" w:cs="Arial"/>
          <w:color w:val="000000"/>
          <w:sz w:val="19"/>
          <w:szCs w:val="19"/>
          <w:lang w:eastAsia="pt-BR"/>
        </w:rPr>
        <w:lastRenderedPageBreak/>
        <w:t>Art. 10. A ação executiva, fundada em outra causa que não a falta de pagamento pelo executado das prestações vencidas, será processada na forma do </w:t>
      </w:r>
      <w:hyperlink r:id="rId19" w:history="1">
        <w:r w:rsidRPr="00940C91">
          <w:rPr>
            <w:rFonts w:ascii="Book Antiqua" w:eastAsia="Times New Roman" w:hAnsi="Book Antiqua" w:cs="Arial"/>
            <w:color w:val="0000FF"/>
            <w:sz w:val="19"/>
            <w:szCs w:val="19"/>
            <w:u w:val="single"/>
            <w:lang w:eastAsia="pt-BR"/>
          </w:rPr>
          <w:t>Código de Processo Civil</w:t>
        </w:r>
      </w:hyperlink>
      <w:r w:rsidRPr="00940C91">
        <w:rPr>
          <w:rFonts w:ascii="Book Antiqua" w:eastAsia="Times New Roman" w:hAnsi="Book Antiqua" w:cs="Arial"/>
          <w:color w:val="000000"/>
          <w:sz w:val="19"/>
          <w:szCs w:val="19"/>
          <w:lang w:eastAsia="pt-BR"/>
        </w:rPr>
        <w:t xml:space="preserve">, que se aplicará, </w:t>
      </w:r>
      <w:proofErr w:type="spellStart"/>
      <w:r w:rsidRPr="00940C91">
        <w:rPr>
          <w:rFonts w:ascii="Book Antiqua" w:eastAsia="Times New Roman" w:hAnsi="Book Antiqua" w:cs="Arial"/>
          <w:color w:val="000000"/>
          <w:sz w:val="19"/>
          <w:szCs w:val="19"/>
          <w:lang w:eastAsia="pt-BR"/>
        </w:rPr>
        <w:t>subsidiàriamente</w:t>
      </w:r>
      <w:proofErr w:type="spellEnd"/>
      <w:r w:rsidRPr="00940C91">
        <w:rPr>
          <w:rFonts w:ascii="Book Antiqua" w:eastAsia="Times New Roman" w:hAnsi="Book Antiqua" w:cs="Arial"/>
          <w:color w:val="000000"/>
          <w:sz w:val="19"/>
          <w:szCs w:val="19"/>
          <w:lang w:eastAsia="pt-BR"/>
        </w:rPr>
        <w:t>, a ação executiva de que trata esta lei.</w:t>
      </w:r>
    </w:p>
    <w:p w14:paraId="03CA8998" w14:textId="2BD45D03"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5" w:name="art11"/>
      <w:bookmarkEnd w:id="25"/>
      <w:r w:rsidRPr="00940C91">
        <w:rPr>
          <w:rFonts w:ascii="Book Antiqua" w:eastAsia="Times New Roman" w:hAnsi="Book Antiqua" w:cs="Arial"/>
          <w:color w:val="000000"/>
          <w:sz w:val="19"/>
          <w:szCs w:val="19"/>
          <w:lang w:eastAsia="pt-BR"/>
        </w:rPr>
        <w:t>Art. 11. Ficam dispensadas de averbação no Registro de Imóveis as alterações contratuais de qualquer natureza, desde que não importem em novação objetiva da dívida, realizadas em operações do Sistema Financeiro da Habitação, criado pela </w:t>
      </w:r>
      <w:hyperlink r:id="rId20" w:history="1">
        <w:r w:rsidRPr="00940C91">
          <w:rPr>
            <w:rFonts w:ascii="Book Antiqua" w:eastAsia="Times New Roman" w:hAnsi="Book Antiqua" w:cs="Arial"/>
            <w:color w:val="0000FF"/>
            <w:sz w:val="19"/>
            <w:szCs w:val="19"/>
            <w:u w:val="single"/>
            <w:lang w:eastAsia="pt-BR"/>
          </w:rPr>
          <w:t>Lei nº 4.380, de 21 de agosto de 1964</w:t>
        </w:r>
      </w:hyperlink>
      <w:r w:rsidRPr="00940C91">
        <w:rPr>
          <w:rFonts w:ascii="Book Antiqua" w:eastAsia="Times New Roman" w:hAnsi="Book Antiqua" w:cs="Arial"/>
          <w:color w:val="000000"/>
          <w:sz w:val="19"/>
          <w:szCs w:val="19"/>
          <w:lang w:eastAsia="pt-BR"/>
        </w:rPr>
        <w:t>, sejam as operações consubstanciadas, em instrumentos públicos ou particulares, ou em cédulas hipotecárias.</w:t>
      </w:r>
    </w:p>
    <w:p w14:paraId="0C0D45B1"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940C91">
        <w:rPr>
          <w:rFonts w:ascii="Book Antiqua" w:eastAsia="Times New Roman" w:hAnsi="Book Antiqua" w:cs="Arial"/>
          <w:color w:val="000000"/>
          <w:sz w:val="19"/>
          <w:szCs w:val="19"/>
          <w:lang w:eastAsia="pt-BR"/>
        </w:rPr>
        <w:t>Parágrafo único. O registro da cédula hipotecária limitar-se-á à averbação de suas características originais, a que se refere o </w:t>
      </w:r>
      <w:hyperlink r:id="rId21" w:anchor="art13" w:history="1">
        <w:r w:rsidRPr="00940C91">
          <w:rPr>
            <w:rFonts w:ascii="Book Antiqua" w:eastAsia="Times New Roman" w:hAnsi="Book Antiqua" w:cs="Arial"/>
            <w:color w:val="0000FF"/>
            <w:sz w:val="19"/>
            <w:szCs w:val="19"/>
            <w:u w:val="single"/>
            <w:lang w:eastAsia="pt-BR"/>
          </w:rPr>
          <w:t>art. 13 do Decreto-lei nº 70, de 21 de novembro de 1966</w:t>
        </w:r>
      </w:hyperlink>
      <w:r w:rsidRPr="00940C91">
        <w:rPr>
          <w:rFonts w:ascii="Book Antiqua" w:eastAsia="Times New Roman" w:hAnsi="Book Antiqua" w:cs="Arial"/>
          <w:color w:val="000000"/>
          <w:sz w:val="19"/>
          <w:szCs w:val="19"/>
          <w:lang w:eastAsia="pt-BR"/>
        </w:rPr>
        <w:t>, ficando dispensadas de averbação também as alterações que decorram da circulação do título.</w:t>
      </w:r>
    </w:p>
    <w:p w14:paraId="743756FD" w14:textId="3FEDC3B4"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6" w:name="art12"/>
      <w:bookmarkEnd w:id="26"/>
      <w:r w:rsidRPr="00940C91">
        <w:rPr>
          <w:rFonts w:ascii="Book Antiqua" w:eastAsia="Times New Roman" w:hAnsi="Book Antiqua" w:cs="Arial"/>
          <w:color w:val="000000"/>
          <w:sz w:val="19"/>
          <w:szCs w:val="19"/>
          <w:lang w:eastAsia="pt-BR"/>
        </w:rPr>
        <w:t>Art. 12. As entidades credoras integrantes do Sistema Financeiro da Habitação ficam obrigadas a fornecer por escrito, no prazo de cinco dias, as informações sobre as alterações de que trata o artigo 11, quando requeridas por interessados.</w:t>
      </w:r>
    </w:p>
    <w:p w14:paraId="0A1110E3" w14:textId="1F79AD61"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7" w:name="art13"/>
      <w:bookmarkEnd w:id="27"/>
      <w:r w:rsidRPr="00940C91">
        <w:rPr>
          <w:rFonts w:ascii="Book Antiqua" w:eastAsia="Times New Roman" w:hAnsi="Book Antiqua" w:cs="Arial"/>
          <w:color w:val="000000"/>
          <w:sz w:val="19"/>
          <w:szCs w:val="19"/>
          <w:lang w:eastAsia="pt-BR"/>
        </w:rPr>
        <w:t>Art. 13. Esta Lei entra em vigor na data de sua publicação.</w:t>
      </w:r>
    </w:p>
    <w:p w14:paraId="4BC19A5F" w14:textId="77777777" w:rsidR="00940C91" w:rsidRPr="00940C91" w:rsidRDefault="00940C91" w:rsidP="00940C9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8" w:name="art14"/>
      <w:bookmarkEnd w:id="28"/>
      <w:proofErr w:type="spellStart"/>
      <w:r w:rsidRPr="00940C91">
        <w:rPr>
          <w:rFonts w:ascii="Book Antiqua" w:eastAsia="Times New Roman" w:hAnsi="Book Antiqua" w:cs="Arial"/>
          <w:color w:val="000000"/>
          <w:sz w:val="19"/>
          <w:szCs w:val="19"/>
          <w:lang w:eastAsia="pt-BR"/>
        </w:rPr>
        <w:t>Art</w:t>
      </w:r>
      <w:proofErr w:type="spellEnd"/>
      <w:r w:rsidRPr="00940C91">
        <w:rPr>
          <w:rFonts w:ascii="Book Antiqua" w:eastAsia="Times New Roman" w:hAnsi="Book Antiqua" w:cs="Arial"/>
          <w:color w:val="000000"/>
          <w:sz w:val="19"/>
          <w:szCs w:val="19"/>
          <w:lang w:eastAsia="pt-BR"/>
        </w:rPr>
        <w:t xml:space="preserve"> . 14. Revogam-se as disposições em contrário.</w:t>
      </w:r>
    </w:p>
    <w:p w14:paraId="5D4C1A68" w14:textId="77777777" w:rsidR="00940C91" w:rsidRPr="00940C91" w:rsidRDefault="00940C91" w:rsidP="00940C91">
      <w:pPr>
        <w:spacing w:before="100" w:beforeAutospacing="1" w:after="100" w:afterAutospacing="1" w:line="240" w:lineRule="auto"/>
        <w:ind w:firstLine="450"/>
        <w:rPr>
          <w:rFonts w:ascii="Book Antiqua" w:eastAsia="Times New Roman" w:hAnsi="Book Antiqua" w:cs="Arial"/>
          <w:color w:val="000000"/>
          <w:sz w:val="19"/>
          <w:szCs w:val="19"/>
          <w:lang w:eastAsia="pt-BR"/>
        </w:rPr>
      </w:pPr>
      <w:r w:rsidRPr="00940C91">
        <w:rPr>
          <w:rFonts w:ascii="Book Antiqua" w:eastAsia="Times New Roman" w:hAnsi="Book Antiqua" w:cs="Arial"/>
          <w:color w:val="000000"/>
          <w:sz w:val="19"/>
          <w:szCs w:val="19"/>
          <w:lang w:eastAsia="pt-BR"/>
        </w:rPr>
        <w:t>Brasília, 1º de dezembro de 1971; 150º da Independência e 83º da República.</w:t>
      </w:r>
    </w:p>
    <w:p w14:paraId="4B9DF733" w14:textId="77777777" w:rsidR="00940C91" w:rsidRPr="00940C91" w:rsidRDefault="00940C91" w:rsidP="00940C91">
      <w:pPr>
        <w:spacing w:before="100" w:beforeAutospacing="1" w:after="100" w:afterAutospacing="1" w:line="240" w:lineRule="auto"/>
        <w:rPr>
          <w:rFonts w:ascii="Book Antiqua" w:eastAsia="Times New Roman" w:hAnsi="Book Antiqua" w:cs="Arial"/>
          <w:color w:val="000000"/>
          <w:sz w:val="19"/>
          <w:szCs w:val="19"/>
          <w:lang w:eastAsia="pt-BR"/>
        </w:rPr>
      </w:pPr>
      <w:r w:rsidRPr="00940C91">
        <w:rPr>
          <w:rFonts w:ascii="Book Antiqua" w:eastAsia="Times New Roman" w:hAnsi="Book Antiqua" w:cs="Arial"/>
          <w:color w:val="000000"/>
          <w:sz w:val="19"/>
          <w:szCs w:val="19"/>
          <w:lang w:eastAsia="pt-BR"/>
        </w:rPr>
        <w:t>EMÍLIO G. MÉDICI</w:t>
      </w:r>
      <w:r w:rsidRPr="00940C91">
        <w:rPr>
          <w:rFonts w:ascii="Book Antiqua" w:eastAsia="Times New Roman" w:hAnsi="Book Antiqua" w:cs="Arial"/>
          <w:color w:val="000000"/>
          <w:sz w:val="19"/>
          <w:szCs w:val="19"/>
          <w:lang w:eastAsia="pt-BR"/>
        </w:rPr>
        <w:br/>
      </w:r>
      <w:r w:rsidRPr="00940C91">
        <w:rPr>
          <w:rFonts w:ascii="Book Antiqua" w:eastAsia="Times New Roman" w:hAnsi="Book Antiqua" w:cs="Arial"/>
          <w:i/>
          <w:iCs/>
          <w:color w:val="000000"/>
          <w:sz w:val="19"/>
          <w:szCs w:val="19"/>
          <w:lang w:eastAsia="pt-BR"/>
        </w:rPr>
        <w:t xml:space="preserve">Alfredo </w:t>
      </w:r>
      <w:proofErr w:type="spellStart"/>
      <w:r w:rsidRPr="00940C91">
        <w:rPr>
          <w:rFonts w:ascii="Book Antiqua" w:eastAsia="Times New Roman" w:hAnsi="Book Antiqua" w:cs="Arial"/>
          <w:i/>
          <w:iCs/>
          <w:color w:val="000000"/>
          <w:sz w:val="19"/>
          <w:szCs w:val="19"/>
          <w:lang w:eastAsia="pt-BR"/>
        </w:rPr>
        <w:t>Buzaid</w:t>
      </w:r>
      <w:proofErr w:type="spellEnd"/>
      <w:r w:rsidRPr="00940C91">
        <w:rPr>
          <w:rFonts w:ascii="Book Antiqua" w:eastAsia="Times New Roman" w:hAnsi="Book Antiqua" w:cs="Arial"/>
          <w:i/>
          <w:iCs/>
          <w:color w:val="000000"/>
          <w:sz w:val="19"/>
          <w:szCs w:val="19"/>
          <w:lang w:eastAsia="pt-BR"/>
        </w:rPr>
        <w:br/>
        <w:t>José Costa Cavalcanti</w:t>
      </w:r>
    </w:p>
    <w:p w14:paraId="17432A8E" w14:textId="651DB676" w:rsidR="00C43529" w:rsidRPr="00940C91" w:rsidRDefault="00940C91" w:rsidP="00940C91">
      <w:pPr>
        <w:spacing w:before="100" w:beforeAutospacing="1" w:after="100" w:afterAutospacing="1" w:line="240" w:lineRule="auto"/>
        <w:rPr>
          <w:rFonts w:ascii="Book Antiqua" w:eastAsia="Times New Roman" w:hAnsi="Book Antiqua" w:cs="Arial"/>
          <w:color w:val="FF0000"/>
          <w:sz w:val="19"/>
          <w:szCs w:val="19"/>
          <w:lang w:eastAsia="pt-BR"/>
        </w:rPr>
      </w:pPr>
      <w:r w:rsidRPr="00940C91">
        <w:rPr>
          <w:rFonts w:ascii="Book Antiqua" w:eastAsia="Times New Roman" w:hAnsi="Book Antiqua" w:cs="Arial"/>
          <w:color w:val="FF0000"/>
          <w:sz w:val="19"/>
          <w:szCs w:val="19"/>
          <w:lang w:eastAsia="pt-BR"/>
        </w:rPr>
        <w:t>Este texto não substitui o publicado no DOU de 2.12.1971</w:t>
      </w:r>
      <w:r>
        <w:rPr>
          <w:rFonts w:ascii="Book Antiqua" w:eastAsia="Times New Roman" w:hAnsi="Book Antiqua" w:cs="Arial"/>
          <w:color w:val="FF0000"/>
          <w:sz w:val="19"/>
          <w:szCs w:val="19"/>
          <w:lang w:eastAsia="pt-BR"/>
        </w:rPr>
        <w:t>.</w:t>
      </w:r>
    </w:p>
    <w:sectPr w:rsidR="00C43529" w:rsidRPr="00940C91" w:rsidSect="00940C91">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529"/>
    <w:rsid w:val="0027426B"/>
    <w:rsid w:val="005008B4"/>
    <w:rsid w:val="00940C91"/>
    <w:rsid w:val="00C435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9D540"/>
  <w15:chartTrackingRefBased/>
  <w15:docId w15:val="{12B0E1F0-F3F8-4202-ADB9-F5503EBD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40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86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6071.htm" TargetMode="External"/><Relationship Id="rId13" Type="http://schemas.openxmlformats.org/officeDocument/2006/relationships/hyperlink" Target="http://www.planalto.gov.br/ccivil_03/leis/L8004.htm" TargetMode="External"/><Relationship Id="rId18" Type="http://schemas.openxmlformats.org/officeDocument/2006/relationships/hyperlink" Target="http://www.planalto.gov.br/ccivil_03/leis/L6014.htm" TargetMode="External"/><Relationship Id="rId3" Type="http://schemas.openxmlformats.org/officeDocument/2006/relationships/webSettings" Target="webSettings.xml"/><Relationship Id="rId21" Type="http://schemas.openxmlformats.org/officeDocument/2006/relationships/hyperlink" Target="http://www.planalto.gov.br/ccivil_03/Decreto-Lei/Del0070-66.htm" TargetMode="External"/><Relationship Id="rId7" Type="http://schemas.openxmlformats.org/officeDocument/2006/relationships/hyperlink" Target="http://www.planalto.gov.br/ccivil_03/leis/L5869.htm" TargetMode="External"/><Relationship Id="rId12" Type="http://schemas.openxmlformats.org/officeDocument/2006/relationships/hyperlink" Target="http://www.planalto.gov.br/ccivil_03/leis/L6071.htm" TargetMode="External"/><Relationship Id="rId17" Type="http://schemas.openxmlformats.org/officeDocument/2006/relationships/hyperlink" Target="http://www.planalto.gov.br/ccivil_03/leis/L5869.htm" TargetMode="External"/><Relationship Id="rId2" Type="http://schemas.openxmlformats.org/officeDocument/2006/relationships/settings" Target="settings.xml"/><Relationship Id="rId16" Type="http://schemas.openxmlformats.org/officeDocument/2006/relationships/hyperlink" Target="http://www.planalto.gov.br/ccivil_03/leis/L6014.htm" TargetMode="External"/><Relationship Id="rId20" Type="http://schemas.openxmlformats.org/officeDocument/2006/relationships/hyperlink" Target="http://www.planalto.gov.br/ccivil_03/leis/L4380.htm" TargetMode="External"/><Relationship Id="rId1" Type="http://schemas.openxmlformats.org/officeDocument/2006/relationships/styles" Target="styles.xml"/><Relationship Id="rId6" Type="http://schemas.openxmlformats.org/officeDocument/2006/relationships/hyperlink" Target="http://www.planalto.gov.br/ccivil_03/Decreto-Lei/Del0070-66.htm" TargetMode="External"/><Relationship Id="rId11" Type="http://schemas.openxmlformats.org/officeDocument/2006/relationships/hyperlink" Target="http://www.planalto.gov.br/ccivil_03/leis/L6071.htm" TargetMode="External"/><Relationship Id="rId5" Type="http://schemas.openxmlformats.org/officeDocument/2006/relationships/hyperlink" Target="http://www.planalto.gov.br/ccivil_03/leis/L4380.htm" TargetMode="External"/><Relationship Id="rId15" Type="http://schemas.openxmlformats.org/officeDocument/2006/relationships/hyperlink" Target="http://www.planalto.gov.br/ccivil_03/leis/L6014.htm" TargetMode="External"/><Relationship Id="rId23" Type="http://schemas.openxmlformats.org/officeDocument/2006/relationships/theme" Target="theme/theme1.xml"/><Relationship Id="rId10" Type="http://schemas.openxmlformats.org/officeDocument/2006/relationships/hyperlink" Target="http://www.planalto.gov.br/ccivil_03/leis/L6071.htm" TargetMode="External"/><Relationship Id="rId19" Type="http://schemas.openxmlformats.org/officeDocument/2006/relationships/hyperlink" Target="http://www.planalto.gov.br/ccivil_03/Decreto-Lei/1937-1946/Del1608.htm" TargetMode="External"/><Relationship Id="rId4" Type="http://schemas.openxmlformats.org/officeDocument/2006/relationships/hyperlink" Target="http://legislacao.planalto.gov.br/legisla/legislacao.nsf/Viw_Identificacao/lei%205.741-1971?OpenDocument" TargetMode="External"/><Relationship Id="rId9" Type="http://schemas.openxmlformats.org/officeDocument/2006/relationships/hyperlink" Target="http://www.planalto.gov.br/ccivil_03/leis/L6071.htm" TargetMode="External"/><Relationship Id="rId14" Type="http://schemas.openxmlformats.org/officeDocument/2006/relationships/hyperlink" Target="http://www.planalto.gov.br/ccivil_03/leis/L6014.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1631</Words>
  <Characters>8812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2021-07-18T16:09:00Z</dcterms:created>
  <dcterms:modified xsi:type="dcterms:W3CDTF">2022-05-13T19:06:00Z</dcterms:modified>
</cp:coreProperties>
</file>