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A84AB" w14:textId="13F36CB9" w:rsidR="00B80186" w:rsidRPr="00B80186" w:rsidRDefault="00B80186" w:rsidP="00F9143F">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B80186">
        <w:rPr>
          <w:rFonts w:ascii="Book Antiqua" w:eastAsia="Times New Roman" w:hAnsi="Book Antiqua" w:cs="Arial"/>
          <w:b/>
          <w:bCs/>
          <w:color w:val="FF0000"/>
          <w:sz w:val="19"/>
          <w:szCs w:val="19"/>
          <w:lang w:eastAsia="pt-BR"/>
        </w:rPr>
        <w:t>(Atualização em 02/08/2021: questões de concurso)</w:t>
      </w:r>
    </w:p>
    <w:p w14:paraId="4B3CE487" w14:textId="20F34569" w:rsidR="00F9143F" w:rsidRPr="00F9143F" w:rsidRDefault="00F9143F" w:rsidP="00F9143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F9143F">
          <w:rPr>
            <w:rFonts w:ascii="Book Antiqua" w:eastAsia="Times New Roman" w:hAnsi="Book Antiqua" w:cs="Arial"/>
            <w:b/>
            <w:bCs/>
            <w:color w:val="0000FF"/>
            <w:sz w:val="19"/>
            <w:szCs w:val="19"/>
            <w:u w:val="single"/>
            <w:lang w:eastAsia="pt-BR"/>
          </w:rPr>
          <w:t>DECRETO-LEI Nº 2.349, DE 29 DE JULHO DE 1987.</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F9143F" w:rsidRPr="00F9143F" w14:paraId="3B983E08" w14:textId="77777777" w:rsidTr="00F9143F">
        <w:trPr>
          <w:tblCellSpacing w:w="0" w:type="dxa"/>
        </w:trPr>
        <w:tc>
          <w:tcPr>
            <w:tcW w:w="1167" w:type="pct"/>
            <w:vAlign w:val="center"/>
            <w:hideMark/>
          </w:tcPr>
          <w:p w14:paraId="7A17DCBE" w14:textId="77777777" w:rsidR="00F9143F" w:rsidRPr="00F9143F" w:rsidRDefault="00F9143F" w:rsidP="00F9143F">
            <w:pPr>
              <w:spacing w:after="0" w:line="240" w:lineRule="auto"/>
              <w:rPr>
                <w:rFonts w:ascii="Book Antiqua" w:eastAsia="Times New Roman" w:hAnsi="Book Antiqua" w:cs="Times New Roman"/>
                <w:sz w:val="18"/>
                <w:szCs w:val="18"/>
                <w:lang w:eastAsia="pt-BR"/>
              </w:rPr>
            </w:pPr>
            <w:r w:rsidRPr="00F9143F">
              <w:rPr>
                <w:rFonts w:ascii="Book Antiqua" w:eastAsia="Times New Roman" w:hAnsi="Book Antiqua" w:cs="Times New Roman"/>
                <w:sz w:val="18"/>
                <w:szCs w:val="18"/>
                <w:lang w:eastAsia="pt-BR"/>
              </w:rPr>
              <w:t> </w:t>
            </w:r>
          </w:p>
        </w:tc>
        <w:tc>
          <w:tcPr>
            <w:tcW w:w="3833" w:type="pct"/>
            <w:vAlign w:val="center"/>
            <w:hideMark/>
          </w:tcPr>
          <w:p w14:paraId="007C4CBA" w14:textId="77777777" w:rsidR="00F9143F" w:rsidRPr="00F9143F" w:rsidRDefault="00F9143F" w:rsidP="00F9143F">
            <w:pPr>
              <w:spacing w:before="100" w:beforeAutospacing="1" w:after="100" w:afterAutospacing="1" w:line="240" w:lineRule="auto"/>
              <w:jc w:val="both"/>
              <w:rPr>
                <w:rFonts w:ascii="Book Antiqua" w:eastAsia="Times New Roman" w:hAnsi="Book Antiqua" w:cs="Times New Roman"/>
                <w:sz w:val="18"/>
                <w:szCs w:val="18"/>
                <w:lang w:eastAsia="pt-BR"/>
              </w:rPr>
            </w:pPr>
            <w:r w:rsidRPr="00F9143F">
              <w:rPr>
                <w:rFonts w:ascii="Book Antiqua" w:eastAsia="Times New Roman" w:hAnsi="Book Antiqua" w:cs="Arial"/>
                <w:color w:val="800000"/>
                <w:sz w:val="18"/>
                <w:szCs w:val="18"/>
                <w:lang w:eastAsia="pt-BR"/>
              </w:rPr>
              <w:t>Dispõe sobre limite para a cobertura pelo Fundo de Compensação de Variações Salariais - FCVS, e dá outras providências.</w:t>
            </w:r>
          </w:p>
        </w:tc>
      </w:tr>
    </w:tbl>
    <w:p w14:paraId="5A90972A" w14:textId="77777777" w:rsidR="00F9143F" w:rsidRPr="00F9143F" w:rsidRDefault="00F9143F" w:rsidP="00F9143F">
      <w:pPr>
        <w:spacing w:before="300" w:after="300" w:line="240" w:lineRule="auto"/>
        <w:ind w:firstLine="600"/>
        <w:jc w:val="both"/>
        <w:rPr>
          <w:rFonts w:ascii="Book Antiqua" w:eastAsia="Times New Roman" w:hAnsi="Book Antiqua" w:cs="Times New Roman"/>
          <w:color w:val="000000"/>
          <w:sz w:val="19"/>
          <w:szCs w:val="19"/>
          <w:lang w:eastAsia="pt-BR"/>
        </w:rPr>
      </w:pPr>
      <w:r w:rsidRPr="00F9143F">
        <w:rPr>
          <w:rFonts w:ascii="Book Antiqua" w:eastAsia="Times New Roman" w:hAnsi="Book Antiqua" w:cs="Arial"/>
          <w:b/>
          <w:bCs/>
          <w:color w:val="000000"/>
          <w:sz w:val="19"/>
          <w:szCs w:val="19"/>
          <w:lang w:eastAsia="pt-BR"/>
        </w:rPr>
        <w:t>O</w:t>
      </w:r>
      <w:r w:rsidRPr="00F9143F">
        <w:rPr>
          <w:rFonts w:ascii="Book Antiqua" w:eastAsia="Times New Roman" w:hAnsi="Book Antiqua" w:cs="Arial"/>
          <w:color w:val="000000"/>
          <w:sz w:val="19"/>
          <w:szCs w:val="19"/>
          <w:lang w:eastAsia="pt-BR"/>
        </w:rPr>
        <w:t> </w:t>
      </w:r>
      <w:r w:rsidRPr="00F9143F">
        <w:rPr>
          <w:rFonts w:ascii="Book Antiqua" w:eastAsia="Times New Roman" w:hAnsi="Book Antiqua" w:cs="Arial"/>
          <w:b/>
          <w:bCs/>
          <w:color w:val="000000"/>
          <w:sz w:val="19"/>
          <w:szCs w:val="19"/>
          <w:lang w:eastAsia="pt-BR"/>
        </w:rPr>
        <w:t>PRESIDENTE DA REPÚBLICA</w:t>
      </w:r>
      <w:r w:rsidRPr="00F9143F">
        <w:rPr>
          <w:rFonts w:ascii="Book Antiqua" w:eastAsia="Times New Roman" w:hAnsi="Book Antiqua" w:cs="Arial"/>
          <w:color w:val="000000"/>
          <w:sz w:val="19"/>
          <w:szCs w:val="19"/>
          <w:lang w:eastAsia="pt-BR"/>
        </w:rPr>
        <w:t>, no uso da atribuição que lhe confere o art. 55, item II, da Constituição,</w:t>
      </w:r>
    </w:p>
    <w:p w14:paraId="78041EE4" w14:textId="77777777" w:rsidR="00F9143F" w:rsidRPr="00F9143F" w:rsidRDefault="00F9143F" w:rsidP="00F9143F">
      <w:pPr>
        <w:spacing w:before="300" w:after="300" w:line="240" w:lineRule="auto"/>
        <w:ind w:firstLine="600"/>
        <w:jc w:val="both"/>
        <w:rPr>
          <w:rFonts w:ascii="Book Antiqua" w:eastAsia="Times New Roman" w:hAnsi="Book Antiqua" w:cs="Times New Roman"/>
          <w:color w:val="000000"/>
          <w:sz w:val="19"/>
          <w:szCs w:val="19"/>
          <w:lang w:eastAsia="pt-BR"/>
        </w:rPr>
      </w:pPr>
      <w:r w:rsidRPr="00F9143F">
        <w:rPr>
          <w:rFonts w:ascii="Book Antiqua" w:eastAsia="Times New Roman" w:hAnsi="Book Antiqua" w:cs="Arial"/>
          <w:b/>
          <w:bCs/>
          <w:color w:val="000000"/>
          <w:sz w:val="19"/>
          <w:szCs w:val="19"/>
          <w:lang w:eastAsia="pt-BR"/>
        </w:rPr>
        <w:t>DECRETA:</w:t>
      </w:r>
    </w:p>
    <w:p w14:paraId="5121FB9A" w14:textId="77777777" w:rsidR="00F9143F" w:rsidRPr="00F9143F" w:rsidRDefault="00F9143F" w:rsidP="00F9143F">
      <w:pPr>
        <w:spacing w:before="300" w:after="300" w:line="240" w:lineRule="auto"/>
        <w:ind w:firstLine="600"/>
        <w:jc w:val="both"/>
        <w:rPr>
          <w:rFonts w:ascii="Book Antiqua" w:eastAsia="Times New Roman" w:hAnsi="Book Antiqua" w:cs="Times New Roman"/>
          <w:color w:val="000000"/>
          <w:sz w:val="19"/>
          <w:szCs w:val="19"/>
          <w:lang w:eastAsia="pt-BR"/>
        </w:rPr>
      </w:pPr>
      <w:r w:rsidRPr="00F9143F">
        <w:rPr>
          <w:rFonts w:ascii="Book Antiqua" w:eastAsia="Times New Roman" w:hAnsi="Book Antiqua" w:cs="Arial"/>
          <w:color w:val="000000"/>
          <w:sz w:val="19"/>
          <w:szCs w:val="19"/>
          <w:lang w:eastAsia="pt-BR"/>
        </w:rPr>
        <w:t>Art. 1º Os contratos com mutuários finais do Sistema Financeiro da Habitação, firmados a partir da data da publicação do presente decreto-lei, somente poderão conter cláusula de cobertura de resíduos dos saldos devedores, pelo Fundo de Compensação de Variações Salariais - FCVS, quando o valor do financiamento não exceder do limite, fixado para esse fim, pelo Conselho Monetário Nacional.</w:t>
      </w:r>
    </w:p>
    <w:p w14:paraId="1FBE16A4" w14:textId="6F4D62E2" w:rsidR="00F9143F" w:rsidRDefault="00F9143F" w:rsidP="00F9143F">
      <w:pPr>
        <w:spacing w:before="300" w:after="300" w:line="240" w:lineRule="auto"/>
        <w:ind w:firstLine="600"/>
        <w:jc w:val="both"/>
        <w:rPr>
          <w:rFonts w:ascii="Book Antiqua" w:eastAsia="Times New Roman" w:hAnsi="Book Antiqua" w:cs="Arial"/>
          <w:color w:val="000000"/>
          <w:sz w:val="19"/>
          <w:szCs w:val="19"/>
          <w:lang w:eastAsia="pt-BR"/>
        </w:rPr>
      </w:pPr>
      <w:r w:rsidRPr="00F9143F">
        <w:rPr>
          <w:rFonts w:ascii="Book Antiqua" w:eastAsia="Times New Roman" w:hAnsi="Book Antiqua" w:cs="Arial"/>
          <w:b/>
          <w:bCs/>
          <w:color w:val="000000"/>
          <w:sz w:val="19"/>
          <w:szCs w:val="19"/>
          <w:highlight w:val="magenta"/>
          <w:lang w:eastAsia="pt-BR"/>
        </w:rPr>
        <w:t>Art. 2º</w:t>
      </w:r>
      <w:r w:rsidRPr="00F9143F">
        <w:rPr>
          <w:rFonts w:ascii="Book Antiqua" w:eastAsia="Times New Roman" w:hAnsi="Book Antiqua" w:cs="Arial"/>
          <w:color w:val="000000"/>
          <w:sz w:val="19"/>
          <w:szCs w:val="19"/>
          <w:lang w:eastAsia="pt-BR"/>
        </w:rPr>
        <w:t xml:space="preserve"> Nos contratos sem cláusulas de cobertura pelo FCVS, os mutuários finais responderão pelo resíduos dos saldos devedores existentes, até sua final liquidação, na forma que for pactuada, observadas as normas expedidas pelo Conselho Monetário Nacional.</w:t>
      </w:r>
    </w:p>
    <w:tbl>
      <w:tblPr>
        <w:tblStyle w:val="Tabelacomgrade"/>
        <w:tblW w:w="0" w:type="auto"/>
        <w:shd w:val="clear" w:color="auto" w:fill="CCFFFF"/>
        <w:tblLook w:val="04A0" w:firstRow="1" w:lastRow="0" w:firstColumn="1" w:lastColumn="0" w:noHBand="0" w:noVBand="1"/>
      </w:tblPr>
      <w:tblGrid>
        <w:gridCol w:w="8494"/>
      </w:tblGrid>
      <w:tr w:rsidR="00F9143F" w:rsidRPr="00481CC2" w14:paraId="054FFB0B" w14:textId="77777777" w:rsidTr="0039722C">
        <w:tc>
          <w:tcPr>
            <w:tcW w:w="8494" w:type="dxa"/>
            <w:shd w:val="clear" w:color="auto" w:fill="CCFFFF"/>
          </w:tcPr>
          <w:p w14:paraId="1D973BBE" w14:textId="7ACACF2E" w:rsidR="00F9143F" w:rsidRDefault="00F9143F" w:rsidP="00F9143F">
            <w:pPr>
              <w:jc w:val="both"/>
              <w:rPr>
                <w:rFonts w:ascii="Book Antiqua" w:hAnsi="Book Antiqua" w:cs="Times New Roman"/>
                <w:b/>
                <w:bCs/>
                <w:color w:val="000000"/>
                <w:sz w:val="19"/>
                <w:szCs w:val="19"/>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481CC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TRF3-2016</w:t>
            </w:r>
            <w:r>
              <w:rPr>
                <w:rFonts w:ascii="Book Antiqua" w:eastAsia="Times New Roman" w:hAnsi="Book Antiqua" w:cs="Times New Roman"/>
                <w:b/>
                <w:i/>
                <w:color w:val="FF0000"/>
                <w:sz w:val="19"/>
                <w:szCs w:val="19"/>
                <w:lang w:eastAsia="pt-BR"/>
              </w:rPr>
              <w:t>: ##</w:t>
            </w:r>
            <w:r w:rsidRPr="00F9143F">
              <w:rPr>
                <w:rFonts w:ascii="Book Antiqua" w:eastAsia="Times New Roman" w:hAnsi="Book Antiqua" w:cs="Times New Roman"/>
                <w:b/>
                <w:i/>
                <w:color w:val="FF0000"/>
                <w:sz w:val="19"/>
                <w:szCs w:val="19"/>
                <w:highlight w:val="green"/>
                <w:lang w:eastAsia="pt-BR"/>
              </w:rPr>
              <w:t>TRF4-2016</w:t>
            </w:r>
            <w:r>
              <w:rPr>
                <w:rFonts w:ascii="Book Antiqua" w:eastAsia="Times New Roman" w:hAnsi="Book Antiqua" w:cs="Times New Roman"/>
                <w:b/>
                <w:i/>
                <w:color w:val="FF0000"/>
                <w:sz w:val="19"/>
                <w:szCs w:val="19"/>
                <w:lang w:eastAsia="pt-BR"/>
              </w:rPr>
              <w:t>: ##</w:t>
            </w:r>
            <w:r w:rsidRPr="00F9143F">
              <w:rPr>
                <w:rFonts w:ascii="Book Antiqua" w:eastAsia="Times New Roman" w:hAnsi="Book Antiqua" w:cs="Times New Roman"/>
                <w:b/>
                <w:i/>
                <w:color w:val="FF0000"/>
                <w:sz w:val="19"/>
                <w:szCs w:val="19"/>
                <w:highlight w:val="green"/>
                <w:lang w:eastAsia="pt-BR"/>
              </w:rPr>
              <w:t>TRF2-2018</w:t>
            </w:r>
            <w:r>
              <w:rPr>
                <w:rFonts w:ascii="Book Antiqua" w:eastAsia="Times New Roman" w:hAnsi="Book Antiqua" w:cs="Times New Roman"/>
                <w:sz w:val="19"/>
                <w:szCs w:val="19"/>
                <w:lang w:eastAsia="pt-BR"/>
              </w:rPr>
              <w:t xml:space="preserve">: </w:t>
            </w:r>
            <w:r w:rsidRPr="00F9143F">
              <w:rPr>
                <w:rFonts w:ascii="Book Antiqua" w:eastAsia="Times New Roman" w:hAnsi="Book Antiqua" w:cs="Times New Roman"/>
                <w:b/>
                <w:bCs/>
                <w:i/>
                <w:iCs/>
                <w:sz w:val="19"/>
                <w:szCs w:val="19"/>
                <w:u w:val="single"/>
                <w:lang w:eastAsia="pt-BR"/>
              </w:rPr>
              <w:t>A quitação do saldo residual é de responsabilidade do mutuário nos contratos sem FCVS</w:t>
            </w:r>
            <w:r>
              <w:rPr>
                <w:rFonts w:ascii="Book Antiqua" w:eastAsia="Times New Roman" w:hAnsi="Book Antiqua" w:cs="Times New Roman"/>
                <w:sz w:val="19"/>
                <w:szCs w:val="19"/>
                <w:lang w:eastAsia="pt-BR"/>
              </w:rPr>
              <w:t xml:space="preserve">: </w:t>
            </w:r>
            <w:r w:rsidRPr="00E209DD">
              <w:rPr>
                <w:rFonts w:ascii="Book Antiqua" w:hAnsi="Book Antiqua"/>
                <w:b/>
                <w:bCs/>
                <w:color w:val="000000"/>
                <w:sz w:val="19"/>
                <w:szCs w:val="19"/>
              </w:rPr>
              <w:t xml:space="preserve">Nos contratos de financiamento celebrados no âmbito do Sistema Financeiro de Habitação (SFH), sem cláusula de garantia de cobertura do Fundo de Compensação das Variações Salariais (FCVS), o saldo devedor residual </w:t>
            </w:r>
            <w:r w:rsidRPr="00E209DD">
              <w:rPr>
                <w:rFonts w:ascii="Book Antiqua" w:hAnsi="Book Antiqua"/>
                <w:b/>
                <w:bCs/>
                <w:color w:val="000000"/>
                <w:sz w:val="19"/>
                <w:szCs w:val="19"/>
                <w:highlight w:val="green"/>
              </w:rPr>
              <w:t>deverá ser suportado</w:t>
            </w:r>
            <w:r w:rsidRPr="00E209DD">
              <w:rPr>
                <w:rFonts w:ascii="Book Antiqua" w:hAnsi="Book Antiqua"/>
                <w:b/>
                <w:bCs/>
                <w:color w:val="000000"/>
                <w:sz w:val="19"/>
                <w:szCs w:val="19"/>
              </w:rPr>
              <w:t xml:space="preserve"> </w:t>
            </w:r>
            <w:r w:rsidRPr="00E209DD">
              <w:rPr>
                <w:rFonts w:ascii="Book Antiqua" w:hAnsi="Book Antiqua"/>
                <w:b/>
                <w:bCs/>
                <w:color w:val="000000"/>
                <w:sz w:val="19"/>
                <w:szCs w:val="19"/>
                <w:shd w:val="clear" w:color="auto" w:fill="F7CAAC" w:themeFill="accent2" w:themeFillTint="66"/>
              </w:rPr>
              <w:t>pelo mutuário</w:t>
            </w:r>
            <w:r w:rsidRPr="00E209DD">
              <w:rPr>
                <w:rFonts w:ascii="Book Antiqua" w:hAnsi="Book Antiqua"/>
                <w:b/>
                <w:bCs/>
                <w:color w:val="000000"/>
                <w:sz w:val="19"/>
                <w:szCs w:val="19"/>
              </w:rPr>
              <w:t xml:space="preserve">. </w:t>
            </w:r>
            <w:r w:rsidRPr="00E209DD">
              <w:rPr>
                <w:rFonts w:ascii="Book Antiqua" w:hAnsi="Book Antiqua"/>
                <w:bCs/>
                <w:color w:val="000000"/>
                <w:sz w:val="19"/>
                <w:szCs w:val="19"/>
              </w:rPr>
              <w:t xml:space="preserve">STJ. 2ª </w:t>
            </w:r>
            <w:r>
              <w:rPr>
                <w:rFonts w:ascii="Book Antiqua" w:hAnsi="Book Antiqua"/>
                <w:bCs/>
                <w:color w:val="000000"/>
                <w:sz w:val="19"/>
                <w:szCs w:val="19"/>
              </w:rPr>
              <w:t>S.</w:t>
            </w:r>
            <w:r w:rsidRPr="00E209DD">
              <w:rPr>
                <w:rFonts w:ascii="Book Antiqua" w:hAnsi="Book Antiqua"/>
                <w:bCs/>
                <w:color w:val="000000"/>
                <w:sz w:val="19"/>
                <w:szCs w:val="19"/>
              </w:rPr>
              <w:t xml:space="preserve"> </w:t>
            </w:r>
            <w:proofErr w:type="spellStart"/>
            <w:r w:rsidRPr="00E209DD">
              <w:rPr>
                <w:rFonts w:ascii="Book Antiqua" w:hAnsi="Book Antiqua"/>
                <w:bCs/>
                <w:color w:val="000000"/>
                <w:sz w:val="19"/>
                <w:szCs w:val="19"/>
              </w:rPr>
              <w:t>REsp</w:t>
            </w:r>
            <w:proofErr w:type="spellEnd"/>
            <w:r w:rsidRPr="00E209DD">
              <w:rPr>
                <w:rFonts w:ascii="Book Antiqua" w:hAnsi="Book Antiqua"/>
                <w:bCs/>
                <w:color w:val="000000"/>
                <w:sz w:val="19"/>
                <w:szCs w:val="19"/>
              </w:rPr>
              <w:t xml:space="preserve"> 1.447.108-CE e </w:t>
            </w:r>
            <w:proofErr w:type="spellStart"/>
            <w:r w:rsidRPr="00E209DD">
              <w:rPr>
                <w:rFonts w:ascii="Book Antiqua" w:hAnsi="Book Antiqua"/>
                <w:bCs/>
                <w:color w:val="000000"/>
                <w:sz w:val="19"/>
                <w:szCs w:val="19"/>
              </w:rPr>
              <w:t>REsp</w:t>
            </w:r>
            <w:proofErr w:type="spellEnd"/>
            <w:r w:rsidRPr="00E209DD">
              <w:rPr>
                <w:rFonts w:ascii="Book Antiqua" w:hAnsi="Book Antiqua"/>
                <w:bCs/>
                <w:color w:val="000000"/>
                <w:sz w:val="19"/>
                <w:szCs w:val="19"/>
              </w:rPr>
              <w:t xml:space="preserve"> 1.443.870-PE, Rel. Min. Ricardo Villas Bôas </w:t>
            </w:r>
            <w:proofErr w:type="spellStart"/>
            <w:r w:rsidRPr="00E209DD">
              <w:rPr>
                <w:rFonts w:ascii="Book Antiqua" w:hAnsi="Book Antiqua"/>
                <w:bCs/>
                <w:color w:val="000000"/>
                <w:sz w:val="19"/>
                <w:szCs w:val="19"/>
              </w:rPr>
              <w:t>Cueva</w:t>
            </w:r>
            <w:proofErr w:type="spellEnd"/>
            <w:r w:rsidRPr="00E209DD">
              <w:rPr>
                <w:rFonts w:ascii="Book Antiqua" w:hAnsi="Book Antiqua"/>
                <w:bCs/>
                <w:color w:val="000000"/>
                <w:sz w:val="19"/>
                <w:szCs w:val="19"/>
              </w:rPr>
              <w:t>, j. 22/10/14</w:t>
            </w:r>
            <w:r w:rsidRPr="00E209DD">
              <w:rPr>
                <w:rFonts w:ascii="Book Antiqua" w:hAnsi="Book Antiqua"/>
                <w:b/>
                <w:bCs/>
                <w:color w:val="000000"/>
                <w:sz w:val="19"/>
                <w:szCs w:val="19"/>
              </w:rPr>
              <w:t xml:space="preserve"> (</w:t>
            </w:r>
            <w:r w:rsidRPr="00E209DD">
              <w:rPr>
                <w:rFonts w:ascii="Book Antiqua" w:hAnsi="Book Antiqua"/>
                <w:b/>
                <w:bCs/>
                <w:color w:val="000000"/>
                <w:sz w:val="19"/>
                <w:szCs w:val="19"/>
                <w:highlight w:val="magenta"/>
              </w:rPr>
              <w:t>recurso repetitivo</w:t>
            </w:r>
            <w:r w:rsidRPr="00E209DD">
              <w:rPr>
                <w:rFonts w:ascii="Book Antiqua" w:hAnsi="Book Antiqua"/>
                <w:b/>
                <w:bCs/>
                <w:color w:val="000000"/>
                <w:sz w:val="19"/>
                <w:szCs w:val="19"/>
              </w:rPr>
              <w:t>) (Info 550).</w:t>
            </w:r>
          </w:p>
          <w:tbl>
            <w:tblPr>
              <w:tblStyle w:val="Tabelacomgrade"/>
              <w:tblW w:w="0" w:type="auto"/>
              <w:tblLook w:val="04A0" w:firstRow="1" w:lastRow="0" w:firstColumn="1" w:lastColumn="0" w:noHBand="0" w:noVBand="1"/>
            </w:tblPr>
            <w:tblGrid>
              <w:gridCol w:w="8268"/>
            </w:tblGrid>
            <w:tr w:rsidR="00F9143F" w14:paraId="38B6E887" w14:textId="77777777" w:rsidTr="00F9143F">
              <w:tc>
                <w:tcPr>
                  <w:tcW w:w="8268" w:type="dxa"/>
                  <w:shd w:val="clear" w:color="auto" w:fill="FFFFFF" w:themeFill="background1"/>
                </w:tcPr>
                <w:p w14:paraId="75C8F048" w14:textId="60E0A955" w:rsidR="00F9143F" w:rsidRPr="00F9143F" w:rsidRDefault="00F9143F" w:rsidP="0039722C">
                  <w:pPr>
                    <w:jc w:val="both"/>
                    <w:rPr>
                      <w:rFonts w:ascii="Book Antiqua" w:hAnsi="Book Antiqua" w:cs="Times New Roman"/>
                      <w:b/>
                      <w:bCs/>
                      <w:color w:val="000000"/>
                      <w:sz w:val="19"/>
                      <w:szCs w:val="19"/>
                    </w:rPr>
                  </w:pPr>
                  <w:r w:rsidRPr="00F9143F">
                    <w:rPr>
                      <w:rFonts w:ascii="Book Antiqua" w:hAnsi="Book Antiqua" w:cs="Times New Roman"/>
                      <w:b/>
                      <w:bCs/>
                      <w:color w:val="000000"/>
                      <w:sz w:val="18"/>
                      <w:szCs w:val="18"/>
                    </w:rPr>
                    <w:t>(</w:t>
                  </w:r>
                  <w:r w:rsidRPr="00F9143F">
                    <w:rPr>
                      <w:rFonts w:ascii="Book Antiqua" w:hAnsi="Book Antiqua" w:cs="Times New Roman"/>
                      <w:b/>
                      <w:bCs/>
                      <w:color w:val="000000"/>
                      <w:sz w:val="18"/>
                      <w:szCs w:val="18"/>
                      <w:highlight w:val="yellow"/>
                    </w:rPr>
                    <w:t>TRF4-2016</w:t>
                  </w:r>
                  <w:r w:rsidRPr="00F9143F">
                    <w:rPr>
                      <w:rFonts w:ascii="Book Antiqua" w:hAnsi="Book Antiqua" w:cs="Times New Roman"/>
                      <w:b/>
                      <w:bCs/>
                      <w:color w:val="000000"/>
                      <w:sz w:val="18"/>
                      <w:szCs w:val="18"/>
                    </w:rPr>
                    <w:t>)</w:t>
                  </w:r>
                  <w:r w:rsidRPr="00F9143F">
                    <w:rPr>
                      <w:rFonts w:ascii="Book Antiqua" w:hAnsi="Book Antiqua" w:cs="Times New Roman"/>
                      <w:color w:val="000000"/>
                      <w:sz w:val="18"/>
                      <w:szCs w:val="18"/>
                    </w:rPr>
                    <w:t xml:space="preserve">: </w:t>
                  </w:r>
                  <w:r w:rsidRPr="00F9143F">
                    <w:rPr>
                      <w:rFonts w:ascii="Book Antiqua" w:hAnsi="Book Antiqua" w:cs="Times New Roman"/>
                      <w:color w:val="000000"/>
                      <w:sz w:val="18"/>
                      <w:szCs w:val="18"/>
                    </w:rPr>
                    <w:t xml:space="preserve">De acordo com a jurisprudência do </w:t>
                  </w:r>
                  <w:r w:rsidRPr="00F9143F">
                    <w:rPr>
                      <w:rFonts w:ascii="Book Antiqua" w:hAnsi="Book Antiqua" w:cs="Times New Roman"/>
                      <w:color w:val="000000"/>
                      <w:sz w:val="18"/>
                      <w:szCs w:val="18"/>
                    </w:rPr>
                    <w:t>STJ</w:t>
                  </w:r>
                  <w:r w:rsidRPr="00F9143F">
                    <w:rPr>
                      <w:rFonts w:ascii="Book Antiqua" w:hAnsi="Book Antiqua" w:cs="Times New Roman"/>
                      <w:color w:val="000000"/>
                      <w:sz w:val="18"/>
                      <w:szCs w:val="18"/>
                    </w:rPr>
                    <w:t>, firmada em sede de Recursos Repetitivos:</w:t>
                  </w:r>
                  <w:r w:rsidRPr="00F9143F">
                    <w:rPr>
                      <w:sz w:val="20"/>
                      <w:szCs w:val="20"/>
                    </w:rPr>
                    <w:t xml:space="preserve"> </w:t>
                  </w:r>
                  <w:r w:rsidRPr="00F9143F">
                    <w:rPr>
                      <w:rFonts w:ascii="Book Antiqua" w:hAnsi="Book Antiqua" w:cs="Times New Roman"/>
                      <w:color w:val="000000"/>
                      <w:sz w:val="18"/>
                      <w:szCs w:val="18"/>
                    </w:rPr>
                    <w:t>Nos contratos de financiamento celebrados no âmbito do Sistema Financeiro da Habitação, sem cláusula de garantia de cobertura do Fundo de Compensação de Variações Salariais, o saldo devedor residual deverá ser suportado pelo mutuário.</w:t>
                  </w:r>
                  <w:r w:rsidRPr="00F9143F">
                    <w:rPr>
                      <w:rFonts w:ascii="Book Antiqua" w:hAnsi="Book Antiqua" w:cs="Times New Roman"/>
                      <w:color w:val="000000"/>
                      <w:sz w:val="18"/>
                      <w:szCs w:val="18"/>
                    </w:rPr>
                    <w:t xml:space="preserve"> </w:t>
                  </w:r>
                  <w:r w:rsidRPr="00F9143F">
                    <w:rPr>
                      <w:rFonts w:ascii="Book Antiqua" w:hAnsi="Book Antiqua" w:cs="Times New Roman"/>
                      <w:b/>
                      <w:bCs/>
                      <w:color w:val="000000"/>
                      <w:sz w:val="18"/>
                      <w:szCs w:val="18"/>
                    </w:rPr>
                    <w:t>BL: Info 550, STJ.</w:t>
                  </w:r>
                </w:p>
              </w:tc>
            </w:tr>
          </w:tbl>
          <w:p w14:paraId="4F1D6768" w14:textId="3614D573" w:rsidR="00F9143F" w:rsidRDefault="00F9143F" w:rsidP="0039722C">
            <w:pPr>
              <w:jc w:val="both"/>
              <w:rPr>
                <w:rFonts w:ascii="Book Antiqua" w:hAnsi="Book Antiqua" w:cs="Times New Roman"/>
                <w:b/>
                <w:bCs/>
                <w:color w:val="000000"/>
                <w:sz w:val="19"/>
                <w:szCs w:val="19"/>
              </w:rPr>
            </w:pPr>
          </w:p>
          <w:p w14:paraId="5B19BC0C" w14:textId="30420C42" w:rsidR="00F9143F" w:rsidRPr="00481CC2" w:rsidRDefault="00F9143F" w:rsidP="0039722C">
            <w:pPr>
              <w:jc w:val="both"/>
              <w:rPr>
                <w:rFonts w:ascii="Book Antiqua" w:eastAsia="Times New Roman" w:hAnsi="Book Antiqua" w:cs="Times New Roman"/>
                <w:sz w:val="19"/>
                <w:szCs w:val="19"/>
                <w:lang w:eastAsia="pt-BR"/>
              </w:rPr>
            </w:pPr>
          </w:p>
        </w:tc>
      </w:tr>
    </w:tbl>
    <w:p w14:paraId="5A77674B" w14:textId="77777777" w:rsidR="00F9143F" w:rsidRPr="00F9143F" w:rsidRDefault="00F9143F" w:rsidP="00F9143F">
      <w:pPr>
        <w:spacing w:before="300" w:after="300" w:line="240" w:lineRule="auto"/>
        <w:ind w:firstLine="600"/>
        <w:jc w:val="both"/>
        <w:rPr>
          <w:rFonts w:ascii="Book Antiqua" w:eastAsia="Times New Roman" w:hAnsi="Book Antiqua" w:cs="Times New Roman"/>
          <w:color w:val="000000"/>
          <w:sz w:val="19"/>
          <w:szCs w:val="19"/>
          <w:lang w:eastAsia="pt-BR"/>
        </w:rPr>
      </w:pPr>
      <w:r w:rsidRPr="00F9143F">
        <w:rPr>
          <w:rFonts w:ascii="Book Antiqua" w:eastAsia="Times New Roman" w:hAnsi="Book Antiqua" w:cs="Arial"/>
          <w:color w:val="000000"/>
          <w:sz w:val="19"/>
          <w:szCs w:val="19"/>
          <w:lang w:eastAsia="pt-BR"/>
        </w:rPr>
        <w:t>Art. 3º Este decreto-lei entra em vigor na data de sua publicação.</w:t>
      </w:r>
    </w:p>
    <w:p w14:paraId="31C2A0A8" w14:textId="77777777" w:rsidR="00F9143F" w:rsidRPr="00F9143F" w:rsidRDefault="00F9143F" w:rsidP="00F9143F">
      <w:pPr>
        <w:spacing w:before="300" w:after="300" w:line="240" w:lineRule="auto"/>
        <w:ind w:firstLine="600"/>
        <w:jc w:val="both"/>
        <w:rPr>
          <w:rFonts w:ascii="Book Antiqua" w:eastAsia="Times New Roman" w:hAnsi="Book Antiqua" w:cs="Times New Roman"/>
          <w:color w:val="000000"/>
          <w:sz w:val="19"/>
          <w:szCs w:val="19"/>
          <w:lang w:eastAsia="pt-BR"/>
        </w:rPr>
      </w:pPr>
      <w:r w:rsidRPr="00F9143F">
        <w:rPr>
          <w:rFonts w:ascii="Book Antiqua" w:eastAsia="Times New Roman" w:hAnsi="Book Antiqua" w:cs="Arial"/>
          <w:color w:val="000000"/>
          <w:sz w:val="19"/>
          <w:szCs w:val="19"/>
          <w:lang w:eastAsia="pt-BR"/>
        </w:rPr>
        <w:t>Art. 4º Revogam-se as disposições em contrário.</w:t>
      </w:r>
    </w:p>
    <w:p w14:paraId="129A22E7" w14:textId="77777777" w:rsidR="00F9143F" w:rsidRPr="00F9143F" w:rsidRDefault="00F9143F" w:rsidP="00F9143F">
      <w:pPr>
        <w:spacing w:before="300" w:after="300" w:line="240" w:lineRule="auto"/>
        <w:ind w:firstLine="600"/>
        <w:jc w:val="both"/>
        <w:rPr>
          <w:rFonts w:ascii="Book Antiqua" w:eastAsia="Times New Roman" w:hAnsi="Book Antiqua" w:cs="Times New Roman"/>
          <w:color w:val="000000"/>
          <w:sz w:val="19"/>
          <w:szCs w:val="19"/>
          <w:lang w:eastAsia="pt-BR"/>
        </w:rPr>
      </w:pPr>
      <w:r w:rsidRPr="00F9143F">
        <w:rPr>
          <w:rFonts w:ascii="Book Antiqua" w:eastAsia="Times New Roman" w:hAnsi="Book Antiqua" w:cs="Arial"/>
          <w:color w:val="000000"/>
          <w:sz w:val="19"/>
          <w:szCs w:val="19"/>
          <w:lang w:eastAsia="pt-BR"/>
        </w:rPr>
        <w:t>Brasília, 29 de julho de 1987; 166º da Independência e 99º da República.</w:t>
      </w:r>
    </w:p>
    <w:p w14:paraId="0ABFA3D4" w14:textId="77777777" w:rsidR="00F9143F" w:rsidRPr="00F9143F" w:rsidRDefault="00F9143F" w:rsidP="00F9143F">
      <w:pPr>
        <w:pStyle w:val="NormalWeb"/>
        <w:shd w:val="clear" w:color="auto" w:fill="FFFFFF"/>
        <w:rPr>
          <w:rFonts w:ascii="Book Antiqua" w:hAnsi="Book Antiqua"/>
          <w:color w:val="000000"/>
          <w:sz w:val="19"/>
          <w:szCs w:val="19"/>
        </w:rPr>
      </w:pPr>
      <w:r w:rsidRPr="00F9143F">
        <w:rPr>
          <w:rFonts w:ascii="Book Antiqua" w:hAnsi="Book Antiqua" w:cs="Arial"/>
          <w:color w:val="000000"/>
          <w:sz w:val="19"/>
          <w:szCs w:val="19"/>
        </w:rPr>
        <w:t>JOSÉ SARNEY</w:t>
      </w:r>
      <w:r w:rsidRPr="00F9143F">
        <w:rPr>
          <w:rFonts w:ascii="Book Antiqua" w:hAnsi="Book Antiqua"/>
          <w:color w:val="000000"/>
          <w:sz w:val="19"/>
          <w:szCs w:val="19"/>
        </w:rPr>
        <w:br/>
      </w:r>
      <w:r w:rsidRPr="00F9143F">
        <w:rPr>
          <w:rFonts w:ascii="Book Antiqua" w:hAnsi="Book Antiqua" w:cs="Arial"/>
          <w:i/>
          <w:iCs/>
          <w:color w:val="000000"/>
          <w:sz w:val="19"/>
          <w:szCs w:val="19"/>
        </w:rPr>
        <w:t>Luiz Carlos Bresser Pereira</w:t>
      </w:r>
      <w:r w:rsidRPr="00F9143F">
        <w:rPr>
          <w:rFonts w:ascii="Book Antiqua" w:hAnsi="Book Antiqua"/>
          <w:i/>
          <w:iCs/>
          <w:color w:val="000000"/>
          <w:sz w:val="19"/>
          <w:szCs w:val="19"/>
        </w:rPr>
        <w:br/>
      </w:r>
      <w:r w:rsidRPr="00F9143F">
        <w:rPr>
          <w:rFonts w:ascii="Book Antiqua" w:hAnsi="Book Antiqua" w:cs="Arial"/>
          <w:i/>
          <w:iCs/>
          <w:color w:val="000000"/>
          <w:sz w:val="19"/>
          <w:szCs w:val="19"/>
        </w:rPr>
        <w:t>Deni Lineu Schwartz</w:t>
      </w:r>
    </w:p>
    <w:p w14:paraId="74FCC25F" w14:textId="77777777" w:rsidR="00F9143F" w:rsidRPr="00F9143F" w:rsidRDefault="00F9143F" w:rsidP="00F9143F">
      <w:pPr>
        <w:pStyle w:val="NormalWeb"/>
        <w:shd w:val="clear" w:color="auto" w:fill="FFFFFF"/>
        <w:jc w:val="both"/>
        <w:rPr>
          <w:rFonts w:ascii="Book Antiqua" w:hAnsi="Book Antiqua"/>
          <w:color w:val="000000"/>
          <w:sz w:val="19"/>
          <w:szCs w:val="19"/>
        </w:rPr>
      </w:pPr>
      <w:r w:rsidRPr="00F9143F">
        <w:rPr>
          <w:rFonts w:ascii="Book Antiqua" w:hAnsi="Book Antiqua" w:cs="Arial"/>
          <w:color w:val="FF0000"/>
          <w:sz w:val="19"/>
          <w:szCs w:val="19"/>
        </w:rPr>
        <w:t>Este texto não substitui o publicado no DOU de 30.7.1987</w:t>
      </w:r>
    </w:p>
    <w:p w14:paraId="4AAE3B95" w14:textId="77777777" w:rsidR="00307C2F" w:rsidRPr="00F9143F" w:rsidRDefault="00307C2F">
      <w:pPr>
        <w:rPr>
          <w:rFonts w:ascii="Book Antiqua" w:hAnsi="Book Antiqua"/>
          <w:sz w:val="19"/>
          <w:szCs w:val="19"/>
        </w:rPr>
      </w:pPr>
    </w:p>
    <w:sectPr w:rsidR="00307C2F" w:rsidRPr="00F9143F" w:rsidSect="00F9143F">
      <w:pgSz w:w="11906" w:h="16838"/>
      <w:pgMar w:top="127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C2F"/>
    <w:rsid w:val="00307C2F"/>
    <w:rsid w:val="00B80186"/>
    <w:rsid w:val="00F914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E847C"/>
  <w15:chartTrackingRefBased/>
  <w15:docId w15:val="{C974F0AF-6C1F-4DD0-935E-C3538B7E4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F9143F"/>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F91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030091">
      <w:bodyDiv w:val="1"/>
      <w:marLeft w:val="0"/>
      <w:marRight w:val="0"/>
      <w:marTop w:val="0"/>
      <w:marBottom w:val="0"/>
      <w:divBdr>
        <w:top w:val="none" w:sz="0" w:space="0" w:color="auto"/>
        <w:left w:val="none" w:sz="0" w:space="0" w:color="auto"/>
        <w:bottom w:val="none" w:sz="0" w:space="0" w:color="auto"/>
        <w:right w:val="none" w:sz="0" w:space="0" w:color="auto"/>
      </w:divBdr>
    </w:div>
    <w:div w:id="1682270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L%202.349-1987?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356</Words>
  <Characters>1923</Characters>
  <Application>Microsoft Office Word</Application>
  <DocSecurity>0</DocSecurity>
  <Lines>16</Lines>
  <Paragraphs>4</Paragraphs>
  <ScaleCrop>false</ScaleCrop>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6</cp:revision>
  <dcterms:created xsi:type="dcterms:W3CDTF">2021-08-02T16:57:00Z</dcterms:created>
  <dcterms:modified xsi:type="dcterms:W3CDTF">2021-08-02T17:04:00Z</dcterms:modified>
</cp:coreProperties>
</file>