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419AB9" w14:textId="174F4BD5" w:rsidR="00AF566E" w:rsidRPr="00AF566E" w:rsidRDefault="00AF566E" w:rsidP="00AF566E">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AF566E">
        <w:rPr>
          <w:rFonts w:ascii="Book Antiqua" w:eastAsia="Times New Roman" w:hAnsi="Book Antiqua" w:cs="Arial"/>
          <w:b/>
          <w:bCs/>
          <w:color w:val="FF0000"/>
          <w:kern w:val="0"/>
          <w:sz w:val="19"/>
          <w:szCs w:val="19"/>
          <w:lang w:eastAsia="pt-BR"/>
          <w14:ligatures w14:val="none"/>
        </w:rPr>
        <w:t xml:space="preserve">(Atualização em </w:t>
      </w:r>
      <w:r w:rsidR="000B5E0B">
        <w:rPr>
          <w:rFonts w:ascii="Book Antiqua" w:eastAsia="Times New Roman" w:hAnsi="Book Antiqua" w:cs="Arial"/>
          <w:b/>
          <w:bCs/>
          <w:color w:val="FF0000"/>
          <w:kern w:val="0"/>
          <w:sz w:val="19"/>
          <w:szCs w:val="19"/>
          <w:lang w:eastAsia="pt-BR"/>
          <w14:ligatures w14:val="none"/>
        </w:rPr>
        <w:t>09/09</w:t>
      </w:r>
      <w:r w:rsidR="00113B4C">
        <w:rPr>
          <w:rFonts w:ascii="Book Antiqua" w:eastAsia="Times New Roman" w:hAnsi="Book Antiqua" w:cs="Arial"/>
          <w:b/>
          <w:bCs/>
          <w:color w:val="FF0000"/>
          <w:kern w:val="0"/>
          <w:sz w:val="19"/>
          <w:szCs w:val="19"/>
          <w:lang w:eastAsia="pt-BR"/>
          <w14:ligatures w14:val="none"/>
        </w:rPr>
        <w:t>/2024</w:t>
      </w:r>
      <w:r w:rsidRPr="00AF566E">
        <w:rPr>
          <w:rFonts w:ascii="Book Antiqua" w:eastAsia="Times New Roman" w:hAnsi="Book Antiqua" w:cs="Arial"/>
          <w:b/>
          <w:bCs/>
          <w:color w:val="FF0000"/>
          <w:kern w:val="0"/>
          <w:sz w:val="19"/>
          <w:szCs w:val="19"/>
          <w:lang w:eastAsia="pt-BR"/>
          <w14:ligatures w14:val="none"/>
        </w:rPr>
        <w:t>: questões de concurso)</w:t>
      </w:r>
    </w:p>
    <w:p w14:paraId="6D075900" w14:textId="495F90C4" w:rsidR="00AF566E" w:rsidRPr="00AF566E" w:rsidRDefault="00000000" w:rsidP="00AF566E">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hyperlink r:id="rId5" w:history="1">
        <w:r w:rsidR="00AF566E" w:rsidRPr="00AF566E">
          <w:rPr>
            <w:rFonts w:ascii="Book Antiqua" w:eastAsia="Times New Roman" w:hAnsi="Book Antiqua" w:cs="Arial"/>
            <w:b/>
            <w:bCs/>
            <w:caps/>
            <w:color w:val="000080"/>
            <w:kern w:val="0"/>
            <w:sz w:val="19"/>
            <w:szCs w:val="19"/>
            <w:u w:val="single"/>
            <w:lang w:eastAsia="pt-BR"/>
            <w14:ligatures w14:val="none"/>
          </w:rPr>
          <w:t>LEI Nº 14.010, DE 10 DE JUNHO DE 2020</w:t>
        </w:r>
      </w:hyperlink>
    </w:p>
    <w:p w14:paraId="4DEE5700" w14:textId="77777777" w:rsidR="00AF566E" w:rsidRPr="00AF566E" w:rsidRDefault="00AF566E" w:rsidP="00AF566E">
      <w:pPr>
        <w:spacing w:before="100" w:beforeAutospacing="1" w:after="100" w:afterAutospacing="1" w:line="240" w:lineRule="auto"/>
        <w:ind w:left="2410"/>
        <w:jc w:val="both"/>
        <w:rPr>
          <w:rFonts w:ascii="Book Antiqua" w:eastAsia="Times New Roman" w:hAnsi="Book Antiqua" w:cs="Arial"/>
          <w:color w:val="800000"/>
          <w:kern w:val="0"/>
          <w:sz w:val="19"/>
          <w:szCs w:val="19"/>
          <w:lang w:eastAsia="pt-BR"/>
          <w14:ligatures w14:val="none"/>
        </w:rPr>
      </w:pPr>
      <w:r w:rsidRPr="00AF566E">
        <w:rPr>
          <w:rFonts w:ascii="Book Antiqua" w:eastAsia="Times New Roman" w:hAnsi="Book Antiqua" w:cs="Arial"/>
          <w:color w:val="800000"/>
          <w:kern w:val="0"/>
          <w:sz w:val="19"/>
          <w:szCs w:val="19"/>
          <w:lang w:eastAsia="pt-BR"/>
          <w14:ligatures w14:val="none"/>
        </w:rPr>
        <w:t>Dispõe sobre o Regime Jurídico Emergencial e Transitório das relações jurídicas de Direito Privado (RJET) no período da pandemia do coronavírus (Covid-19</w:t>
      </w:r>
      <w:proofErr w:type="gramStart"/>
      <w:r w:rsidRPr="00AF566E">
        <w:rPr>
          <w:rFonts w:ascii="Book Antiqua" w:eastAsia="Times New Roman" w:hAnsi="Book Antiqua" w:cs="Arial"/>
          <w:color w:val="800000"/>
          <w:kern w:val="0"/>
          <w:sz w:val="19"/>
          <w:szCs w:val="19"/>
          <w:lang w:eastAsia="pt-BR"/>
          <w14:ligatures w14:val="none"/>
        </w:rPr>
        <w:t>) .</w:t>
      </w:r>
      <w:proofErr w:type="gramEnd"/>
    </w:p>
    <w:p w14:paraId="67104B35"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b/>
          <w:bCs/>
          <w:color w:val="000000"/>
          <w:kern w:val="0"/>
          <w:sz w:val="19"/>
          <w:szCs w:val="19"/>
          <w:lang w:eastAsia="pt-BR"/>
          <w14:ligatures w14:val="none"/>
        </w:rPr>
        <w:t>O PRESIDENTE DA REPÚBLICA </w:t>
      </w:r>
      <w:r w:rsidRPr="00AF566E">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77222344"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I</w:t>
      </w:r>
    </w:p>
    <w:p w14:paraId="73AFE0EF"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DISPOSIÇÕES GERAIS</w:t>
      </w:r>
    </w:p>
    <w:p w14:paraId="3D552D21"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0" w:name="art1"/>
      <w:bookmarkEnd w:id="0"/>
      <w:r w:rsidRPr="00AF566E">
        <w:rPr>
          <w:rFonts w:ascii="Book Antiqua" w:eastAsia="Times New Roman" w:hAnsi="Book Antiqua" w:cs="Arial"/>
          <w:color w:val="000000"/>
          <w:kern w:val="0"/>
          <w:sz w:val="19"/>
          <w:szCs w:val="19"/>
          <w:lang w:eastAsia="pt-BR"/>
          <w14:ligatures w14:val="none"/>
        </w:rPr>
        <w:t>Art. 1º Esta Lei institui normas de caráter transitório e emergencial para a regulação de relações jurídicas de Direito Privado em virtude da pandemia do coronavírus (Covid-19).</w:t>
      </w:r>
    </w:p>
    <w:p w14:paraId="07B13205"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Parágrafo único. Para os fins desta Lei, considera-se 20 de março de 2020, data da publicação do Decreto Legislativo nº 6, como termo inicial dos eventos derivados da pandemia do coronavírus (Covid-19).</w:t>
      </w:r>
    </w:p>
    <w:p w14:paraId="33D893ED"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 w:name="art2"/>
      <w:bookmarkEnd w:id="1"/>
      <w:r w:rsidRPr="00AF566E">
        <w:rPr>
          <w:rFonts w:ascii="Book Antiqua" w:eastAsia="Times New Roman" w:hAnsi="Book Antiqua" w:cs="Arial"/>
          <w:color w:val="000000"/>
          <w:kern w:val="0"/>
          <w:sz w:val="19"/>
          <w:szCs w:val="19"/>
          <w:lang w:eastAsia="pt-BR"/>
          <w14:ligatures w14:val="none"/>
        </w:rPr>
        <w:t>Art. 2º A suspensão da aplicação das normas referidas nesta Lei não implica sua revogação ou alteração.</w:t>
      </w:r>
    </w:p>
    <w:p w14:paraId="16AFC816"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II</w:t>
      </w:r>
    </w:p>
    <w:p w14:paraId="709BB76D"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DA PRESCRIÇÃO E DECADÊNCIA</w:t>
      </w:r>
    </w:p>
    <w:p w14:paraId="20D8BCB9" w14:textId="09424054" w:rsidR="00AF566E" w:rsidRPr="002339C2" w:rsidRDefault="00AF566E" w:rsidP="00AF566E">
      <w:pPr>
        <w:spacing w:before="100" w:beforeAutospacing="1" w:after="100" w:afterAutospacing="1" w:line="240" w:lineRule="auto"/>
        <w:ind w:firstLine="480"/>
        <w:jc w:val="both"/>
        <w:rPr>
          <w:rFonts w:ascii="Book Antiqua" w:eastAsia="Times New Roman" w:hAnsi="Book Antiqua" w:cs="Arial"/>
          <w:b/>
          <w:bCs/>
          <w:color w:val="000000"/>
          <w:kern w:val="0"/>
          <w:sz w:val="18"/>
          <w:szCs w:val="18"/>
          <w:u w:val="single"/>
          <w:lang w:eastAsia="pt-BR"/>
          <w14:ligatures w14:val="none"/>
        </w:rPr>
      </w:pPr>
      <w:bookmarkStart w:id="2" w:name="art3"/>
      <w:bookmarkEnd w:id="2"/>
      <w:r w:rsidRPr="00AF566E">
        <w:rPr>
          <w:rFonts w:ascii="Book Antiqua" w:eastAsia="Times New Roman" w:hAnsi="Book Antiqua" w:cs="Arial"/>
          <w:b/>
          <w:bCs/>
          <w:color w:val="000000"/>
          <w:kern w:val="0"/>
          <w:sz w:val="19"/>
          <w:szCs w:val="19"/>
          <w:highlight w:val="magenta"/>
          <w:lang w:eastAsia="pt-BR"/>
          <w14:ligatures w14:val="none"/>
        </w:rPr>
        <w:t>Art. 3º</w:t>
      </w:r>
      <w:r w:rsidRPr="00AF566E">
        <w:rPr>
          <w:rFonts w:ascii="Book Antiqua" w:eastAsia="Times New Roman" w:hAnsi="Book Antiqua" w:cs="Arial"/>
          <w:b/>
          <w:bCs/>
          <w:color w:val="000000"/>
          <w:kern w:val="0"/>
          <w:sz w:val="19"/>
          <w:szCs w:val="19"/>
          <w:lang w:eastAsia="pt-BR"/>
          <w14:ligatures w14:val="none"/>
        </w:rPr>
        <w:t xml:space="preserve"> Os prazos prescricionais consideram-se impedidos ou suspensos, conforme o caso, a partir da entrada em vigor desta Lei até 30 de outubro de 2020</w:t>
      </w:r>
      <w:r w:rsidRPr="002339C2">
        <w:rPr>
          <w:rFonts w:ascii="Book Antiqua" w:eastAsia="Times New Roman" w:hAnsi="Book Antiqua" w:cs="Arial"/>
          <w:color w:val="000000"/>
          <w:kern w:val="0"/>
          <w:sz w:val="16"/>
          <w:szCs w:val="16"/>
          <w:lang w:eastAsia="pt-BR"/>
          <w14:ligatures w14:val="none"/>
        </w:rPr>
        <w:t>.</w:t>
      </w:r>
      <w:r w:rsidR="002339C2">
        <w:rPr>
          <w:rFonts w:ascii="Book Antiqua" w:eastAsia="Times New Roman" w:hAnsi="Book Antiqua" w:cs="Arial"/>
          <w:color w:val="000000"/>
          <w:kern w:val="0"/>
          <w:sz w:val="16"/>
          <w:szCs w:val="16"/>
          <w:lang w:eastAsia="pt-BR"/>
          <w14:ligatures w14:val="none"/>
        </w:rPr>
        <w:t xml:space="preserve"> </w:t>
      </w:r>
      <w:r w:rsidR="002339C2" w:rsidRPr="002339C2">
        <w:rPr>
          <w:rFonts w:ascii="Book Antiqua" w:eastAsia="Times New Roman" w:hAnsi="Book Antiqua" w:cs="Arial"/>
          <w:b/>
          <w:bCs/>
          <w:color w:val="FF0000"/>
          <w:kern w:val="0"/>
          <w:sz w:val="16"/>
          <w:szCs w:val="16"/>
          <w:u w:val="single"/>
          <w:lang w:eastAsia="pt-BR"/>
          <w14:ligatures w14:val="none"/>
        </w:rPr>
        <w:t>(</w:t>
      </w:r>
      <w:r w:rsidR="002339C2">
        <w:rPr>
          <w:rFonts w:ascii="Book Antiqua" w:eastAsia="Times New Roman" w:hAnsi="Book Antiqua" w:cs="Arial"/>
          <w:b/>
          <w:bCs/>
          <w:color w:val="FF0000"/>
          <w:kern w:val="0"/>
          <w:sz w:val="16"/>
          <w:szCs w:val="16"/>
          <w:u w:val="single"/>
          <w:lang w:eastAsia="pt-BR"/>
          <w14:ligatures w14:val="none"/>
        </w:rPr>
        <w:t>MPPR</w:t>
      </w:r>
      <w:r w:rsidR="002339C2" w:rsidRPr="002339C2">
        <w:rPr>
          <w:rFonts w:ascii="Book Antiqua" w:eastAsia="Times New Roman" w:hAnsi="Book Antiqua" w:cs="Arial"/>
          <w:b/>
          <w:bCs/>
          <w:color w:val="FF0000"/>
          <w:kern w:val="0"/>
          <w:sz w:val="16"/>
          <w:szCs w:val="16"/>
          <w:u w:val="single"/>
          <w:lang w:eastAsia="pt-BR"/>
          <w14:ligatures w14:val="none"/>
        </w:rPr>
        <w:t>-2021)</w:t>
      </w:r>
      <w:r w:rsidRPr="002339C2">
        <w:rPr>
          <w:rFonts w:ascii="Book Antiqua" w:eastAsia="Times New Roman" w:hAnsi="Book Antiqua" w:cs="Arial"/>
          <w:color w:val="000000"/>
          <w:kern w:val="0"/>
          <w:sz w:val="16"/>
          <w:szCs w:val="16"/>
          <w:lang w:eastAsia="pt-BR"/>
          <w14:ligatures w14:val="none"/>
        </w:rPr>
        <w:t xml:space="preserve"> </w:t>
      </w:r>
      <w:r w:rsidRPr="002339C2">
        <w:rPr>
          <w:rFonts w:ascii="Book Antiqua" w:eastAsia="Times New Roman" w:hAnsi="Book Antiqua" w:cs="Arial"/>
          <w:b/>
          <w:bCs/>
          <w:color w:val="FF0000"/>
          <w:kern w:val="0"/>
          <w:sz w:val="16"/>
          <w:szCs w:val="16"/>
          <w:u w:val="single"/>
          <w:lang w:eastAsia="pt-BR"/>
          <w14:ligatures w14:val="none"/>
        </w:rPr>
        <w:t>(DPERR-2021)</w:t>
      </w:r>
    </w:p>
    <w:tbl>
      <w:tblPr>
        <w:tblStyle w:val="Tabelacomgrade"/>
        <w:tblW w:w="0" w:type="auto"/>
        <w:tblLook w:val="04A0" w:firstRow="1" w:lastRow="0" w:firstColumn="1" w:lastColumn="0" w:noHBand="0" w:noVBand="1"/>
      </w:tblPr>
      <w:tblGrid>
        <w:gridCol w:w="8494"/>
      </w:tblGrid>
      <w:tr w:rsidR="00AF566E" w14:paraId="790580B7" w14:textId="77777777" w:rsidTr="00AF566E">
        <w:tc>
          <w:tcPr>
            <w:tcW w:w="8494" w:type="dxa"/>
            <w:shd w:val="clear" w:color="auto" w:fill="CCFFFF"/>
          </w:tcPr>
          <w:p w14:paraId="70AFD09E" w14:textId="7FAEB7C3" w:rsidR="002339C2" w:rsidRDefault="002339C2" w:rsidP="00AF566E">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highlight w:val="yellow"/>
                <w:lang w:eastAsia="pt-BR"/>
                <w14:ligatures w14:val="none"/>
              </w:rPr>
              <w:t>MPPR-2021</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339C2">
              <w:rPr>
                <w:rFonts w:ascii="Book Antiqua" w:eastAsia="Times New Roman" w:hAnsi="Book Antiqua" w:cs="Arial"/>
                <w:color w:val="000000"/>
                <w:kern w:val="0"/>
                <w:sz w:val="19"/>
                <w:szCs w:val="19"/>
                <w:lang w:eastAsia="pt-BR"/>
                <w14:ligatures w14:val="none"/>
              </w:rPr>
              <w:t>A Lei 14.010 de 14/06/2020, dispõe sobre o Regime Jurídico Emergencial e Transitório das relações jurídicas de Direito Privado (RJET) no período da pandemia do coronavírus (Covid-19). Em relação a ela, é correto dizer:</w:t>
            </w:r>
            <w:r>
              <w:t xml:space="preserve"> </w:t>
            </w:r>
            <w:r w:rsidRPr="002339C2">
              <w:rPr>
                <w:rFonts w:ascii="Book Antiqua" w:eastAsia="Times New Roman" w:hAnsi="Book Antiqua" w:cs="Arial"/>
                <w:color w:val="000000"/>
                <w:kern w:val="0"/>
                <w:sz w:val="19"/>
                <w:szCs w:val="19"/>
                <w:lang w:eastAsia="pt-BR"/>
                <w14:ligatures w14:val="none"/>
              </w:rPr>
              <w:t>A lei fez suspender os prazos de prescrição do Código Civil a partir da sua entrada em vigor até 30/10/2020.</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3º,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Lei 14010/20.</w:t>
            </w:r>
          </w:p>
          <w:p w14:paraId="263C7948" w14:textId="735B9C11" w:rsidR="00AF566E" w:rsidRPr="00AF566E" w:rsidRDefault="00AF566E" w:rsidP="00AF566E">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AF566E">
              <w:rPr>
                <w:rFonts w:ascii="Book Antiqua" w:eastAsia="Times New Roman" w:hAnsi="Book Antiqua" w:cs="Arial"/>
                <w:b/>
                <w:bCs/>
                <w:color w:val="000000"/>
                <w:kern w:val="0"/>
                <w:sz w:val="19"/>
                <w:szCs w:val="19"/>
                <w:highlight w:val="yellow"/>
                <w:lang w:eastAsia="pt-BR"/>
                <w14:ligatures w14:val="none"/>
              </w:rPr>
              <w:t>DPERR-2021-FCC</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AF566E">
              <w:rPr>
                <w:rFonts w:ascii="Book Antiqua" w:eastAsia="Times New Roman" w:hAnsi="Book Antiqua" w:cs="Arial"/>
                <w:color w:val="000000"/>
                <w:kern w:val="0"/>
                <w:sz w:val="19"/>
                <w:szCs w:val="19"/>
                <w:lang w:eastAsia="pt-BR"/>
                <w14:ligatures w14:val="none"/>
              </w:rPr>
              <w:t>Avalie as situações sob a ótica do Regime Jurídico Emergencial e Transitório das relações jurídicas de Direito Privado no período de pandemia do coronavírus (Lei 14.010/20):</w:t>
            </w:r>
            <w:r>
              <w:rPr>
                <w:rFonts w:ascii="Book Antiqua" w:eastAsia="Times New Roman" w:hAnsi="Book Antiqua" w:cs="Arial"/>
                <w:color w:val="000000"/>
                <w:kern w:val="0"/>
                <w:sz w:val="19"/>
                <w:szCs w:val="19"/>
                <w:lang w:eastAsia="pt-BR"/>
                <w14:ligatures w14:val="none"/>
              </w:rPr>
              <w:t xml:space="preserve"> </w:t>
            </w:r>
            <w:r w:rsidRPr="00AF566E">
              <w:rPr>
                <w:rFonts w:ascii="Book Antiqua" w:eastAsia="Times New Roman" w:hAnsi="Book Antiqua" w:cs="Arial"/>
                <w:color w:val="000000"/>
                <w:kern w:val="0"/>
                <w:sz w:val="19"/>
                <w:szCs w:val="19"/>
                <w:lang w:eastAsia="pt-BR"/>
                <w14:ligatures w14:val="none"/>
              </w:rPr>
              <w:t>Os prazos prescricionais foram suspensos a partir da entrada em vigor da Lei até 30 de outubro de 2020.</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3º,</w:t>
            </w:r>
            <w:r w:rsidR="002339C2">
              <w:rPr>
                <w:rFonts w:ascii="Book Antiqua" w:eastAsia="Times New Roman" w:hAnsi="Book Antiqua" w:cs="Arial"/>
                <w:b/>
                <w:bCs/>
                <w:color w:val="000000"/>
                <w:kern w:val="0"/>
                <w:sz w:val="19"/>
                <w:szCs w:val="19"/>
                <w:lang w:eastAsia="pt-BR"/>
                <w14:ligatures w14:val="none"/>
              </w:rPr>
              <w:t xml:space="preserve"> </w:t>
            </w:r>
            <w:r w:rsidR="002339C2">
              <w:rPr>
                <w:rFonts w:ascii="Book Antiqua" w:eastAsia="Times New Roman" w:hAnsi="Book Antiqua" w:cs="Arial"/>
                <w:b/>
                <w:bCs/>
                <w:i/>
                <w:iCs/>
                <w:color w:val="000000"/>
                <w:kern w:val="0"/>
                <w:sz w:val="19"/>
                <w:szCs w:val="19"/>
                <w:lang w:eastAsia="pt-BR"/>
                <w14:ligatures w14:val="none"/>
              </w:rPr>
              <w:t>caput</w:t>
            </w:r>
            <w:r w:rsidR="002339C2">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lang w:eastAsia="pt-BR"/>
                <w14:ligatures w14:val="none"/>
              </w:rPr>
              <w:t xml:space="preserve"> Lei 14010/20.</w:t>
            </w:r>
          </w:p>
        </w:tc>
      </w:tr>
    </w:tbl>
    <w:p w14:paraId="35CCBCE1" w14:textId="56070E16"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 1º Este artigo não se aplica enquanto perdurarem as hipóteses específicas de impedimento, suspensão e interrupção dos prazos prescricionais previstas no ordenamento jurídico nacional.</w:t>
      </w:r>
    </w:p>
    <w:p w14:paraId="0A76DC02" w14:textId="2249113A" w:rsidR="00AF566E" w:rsidRPr="002339C2" w:rsidRDefault="00AF566E" w:rsidP="00AF566E">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2339C2">
        <w:rPr>
          <w:rFonts w:ascii="Book Antiqua" w:eastAsia="Times New Roman" w:hAnsi="Book Antiqua" w:cs="Arial"/>
          <w:b/>
          <w:bCs/>
          <w:color w:val="000000"/>
          <w:kern w:val="0"/>
          <w:sz w:val="19"/>
          <w:szCs w:val="19"/>
          <w:highlight w:val="magenta"/>
          <w:lang w:eastAsia="pt-BR"/>
          <w14:ligatures w14:val="none"/>
        </w:rPr>
        <w:t>§ 2º</w:t>
      </w:r>
      <w:r w:rsidRPr="002339C2">
        <w:rPr>
          <w:rFonts w:ascii="Book Antiqua" w:eastAsia="Times New Roman" w:hAnsi="Book Antiqua" w:cs="Arial"/>
          <w:b/>
          <w:bCs/>
          <w:color w:val="000000"/>
          <w:kern w:val="0"/>
          <w:sz w:val="19"/>
          <w:szCs w:val="19"/>
          <w:lang w:eastAsia="pt-BR"/>
          <w14:ligatures w14:val="none"/>
        </w:rPr>
        <w:t xml:space="preserve"> Este artigo aplica-se à decadência, conforme ressalva prevista no </w:t>
      </w:r>
      <w:hyperlink r:id="rId6" w:anchor="art207" w:history="1">
        <w:r w:rsidRPr="002339C2">
          <w:rPr>
            <w:rFonts w:ascii="Book Antiqua" w:eastAsia="Times New Roman" w:hAnsi="Book Antiqua" w:cs="Arial"/>
            <w:b/>
            <w:bCs/>
            <w:color w:val="000080"/>
            <w:kern w:val="0"/>
            <w:sz w:val="19"/>
            <w:szCs w:val="19"/>
            <w:u w:val="single"/>
            <w:lang w:eastAsia="pt-BR"/>
            <w14:ligatures w14:val="none"/>
          </w:rPr>
          <w:t>art. 207 da Lei nº 10.406, de 10 de janeiro de 2002 </w:t>
        </w:r>
      </w:hyperlink>
      <w:r w:rsidRPr="002339C2">
        <w:rPr>
          <w:rFonts w:ascii="Book Antiqua" w:eastAsia="Times New Roman" w:hAnsi="Book Antiqua" w:cs="Arial"/>
          <w:b/>
          <w:bCs/>
          <w:color w:val="000000"/>
          <w:kern w:val="0"/>
          <w:sz w:val="19"/>
          <w:szCs w:val="19"/>
          <w:lang w:eastAsia="pt-BR"/>
          <w14:ligatures w14:val="none"/>
        </w:rPr>
        <w:t>(Código Civil).</w:t>
      </w:r>
      <w:r w:rsidR="002339C2">
        <w:rPr>
          <w:rFonts w:ascii="Book Antiqua" w:eastAsia="Times New Roman" w:hAnsi="Book Antiqua" w:cs="Arial"/>
          <w:b/>
          <w:bCs/>
          <w:color w:val="000000"/>
          <w:kern w:val="0"/>
          <w:sz w:val="19"/>
          <w:szCs w:val="19"/>
          <w:lang w:eastAsia="pt-BR"/>
          <w14:ligatures w14:val="none"/>
        </w:rPr>
        <w:t xml:space="preserve"> </w:t>
      </w:r>
      <w:r w:rsidR="002339C2" w:rsidRPr="002339C2">
        <w:rPr>
          <w:rFonts w:ascii="Book Antiqua" w:eastAsia="Times New Roman" w:hAnsi="Book Antiqua" w:cs="Arial"/>
          <w:b/>
          <w:bCs/>
          <w:color w:val="FF0000"/>
          <w:kern w:val="0"/>
          <w:sz w:val="16"/>
          <w:szCs w:val="16"/>
          <w:u w:val="single"/>
          <w:lang w:eastAsia="pt-BR"/>
          <w14:ligatures w14:val="none"/>
        </w:rPr>
        <w:t>(</w:t>
      </w:r>
      <w:r w:rsidR="002339C2">
        <w:rPr>
          <w:rFonts w:ascii="Book Antiqua" w:eastAsia="Times New Roman" w:hAnsi="Book Antiqua" w:cs="Arial"/>
          <w:b/>
          <w:bCs/>
          <w:color w:val="FF0000"/>
          <w:kern w:val="0"/>
          <w:sz w:val="16"/>
          <w:szCs w:val="16"/>
          <w:u w:val="single"/>
          <w:lang w:eastAsia="pt-BR"/>
          <w14:ligatures w14:val="none"/>
        </w:rPr>
        <w:t>MPPR</w:t>
      </w:r>
      <w:r w:rsidR="002339C2" w:rsidRPr="002339C2">
        <w:rPr>
          <w:rFonts w:ascii="Book Antiqua" w:eastAsia="Times New Roman" w:hAnsi="Book Antiqua" w:cs="Arial"/>
          <w:b/>
          <w:bCs/>
          <w:color w:val="FF0000"/>
          <w:kern w:val="0"/>
          <w:sz w:val="16"/>
          <w:szCs w:val="16"/>
          <w:u w:val="single"/>
          <w:lang w:eastAsia="pt-BR"/>
          <w14:ligatures w14:val="none"/>
        </w:rPr>
        <w:t>-2021)</w:t>
      </w:r>
    </w:p>
    <w:tbl>
      <w:tblPr>
        <w:tblStyle w:val="Tabelacomgrade"/>
        <w:tblW w:w="0" w:type="auto"/>
        <w:tblLook w:val="04A0" w:firstRow="1" w:lastRow="0" w:firstColumn="1" w:lastColumn="0" w:noHBand="0" w:noVBand="1"/>
      </w:tblPr>
      <w:tblGrid>
        <w:gridCol w:w="8494"/>
      </w:tblGrid>
      <w:tr w:rsidR="002339C2" w14:paraId="393D049B" w14:textId="77777777" w:rsidTr="00E33D3D">
        <w:tc>
          <w:tcPr>
            <w:tcW w:w="8494" w:type="dxa"/>
            <w:shd w:val="clear" w:color="auto" w:fill="CCFFFF"/>
          </w:tcPr>
          <w:p w14:paraId="6BA52302" w14:textId="2867AC31" w:rsidR="002339C2" w:rsidRPr="00AF566E" w:rsidRDefault="002339C2" w:rsidP="00E33D3D">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highlight w:val="yellow"/>
                <w:lang w:eastAsia="pt-BR"/>
                <w14:ligatures w14:val="none"/>
              </w:rPr>
              <w:t>MPPR-2021</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339C2">
              <w:rPr>
                <w:rFonts w:ascii="Book Antiqua" w:eastAsia="Times New Roman" w:hAnsi="Book Antiqua" w:cs="Arial"/>
                <w:color w:val="000000"/>
                <w:kern w:val="0"/>
                <w:sz w:val="19"/>
                <w:szCs w:val="19"/>
                <w:lang w:eastAsia="pt-BR"/>
                <w14:ligatures w14:val="none"/>
              </w:rPr>
              <w:t>A Lei 14.010 de 14/06/2020, dispõe sobre o Regime Jurídico Emergencial e Transitório das relações jurídicas de Direito Privado (RJET) no período da pandemia do coronavírus (Covid-19). Em relação a ela, é correto dizer:</w:t>
            </w:r>
            <w:r>
              <w:t xml:space="preserve"> </w:t>
            </w:r>
            <w:r w:rsidRPr="002339C2">
              <w:rPr>
                <w:rFonts w:ascii="Book Antiqua" w:eastAsia="Times New Roman" w:hAnsi="Book Antiqua" w:cs="Arial"/>
                <w:color w:val="000000"/>
                <w:kern w:val="0"/>
                <w:sz w:val="19"/>
                <w:szCs w:val="19"/>
                <w:lang w:eastAsia="pt-BR"/>
                <w14:ligatures w14:val="none"/>
              </w:rPr>
              <w:t>A lei suspendeu os prazos de decadência do Código Civil a partir da data da sua entrada em vigor até 30/10/2020.</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3º, §2º, Lei 14010/20.</w:t>
            </w:r>
          </w:p>
        </w:tc>
      </w:tr>
    </w:tbl>
    <w:p w14:paraId="0CE2EB28"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III</w:t>
      </w:r>
    </w:p>
    <w:p w14:paraId="78641A5F"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DAS PESSOAS JURÍDICAS DE DIREITO PRIVADO</w:t>
      </w:r>
    </w:p>
    <w:p w14:paraId="33549B3C"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 w:name="art4.0"/>
      <w:bookmarkEnd w:id="3"/>
      <w:r w:rsidRPr="00AF566E">
        <w:rPr>
          <w:rFonts w:ascii="Book Antiqua" w:eastAsia="Times New Roman" w:hAnsi="Book Antiqua" w:cs="Arial"/>
          <w:color w:val="000000"/>
          <w:kern w:val="0"/>
          <w:sz w:val="19"/>
          <w:szCs w:val="19"/>
          <w:lang w:eastAsia="pt-BR"/>
          <w14:ligatures w14:val="none"/>
        </w:rPr>
        <w:lastRenderedPageBreak/>
        <w:t>Art. 4º As pessoas jurídicas de direito privado referidas nos incisos I a III do art. 44 do Código Civil deverão observar as restrições à realização de reuniões e assembleias presenciais até 30 de outubro de 2020, durante a vigência desta Lei, observadas as determinações sanitárias das autoridades locais. </w:t>
      </w:r>
      <w:hyperlink r:id="rId7" w:anchor="derrubadaveto" w:history="1">
        <w:r w:rsidRPr="00AF566E">
          <w:rPr>
            <w:rFonts w:ascii="Book Antiqua" w:eastAsia="Times New Roman" w:hAnsi="Book Antiqua" w:cs="Arial"/>
            <w:color w:val="000080"/>
            <w:kern w:val="0"/>
            <w:sz w:val="19"/>
            <w:szCs w:val="19"/>
            <w:u w:val="single"/>
            <w:lang w:eastAsia="pt-BR"/>
            <w14:ligatures w14:val="none"/>
          </w:rPr>
          <w:t>Promulgação partes vetadas</w:t>
        </w:r>
      </w:hyperlink>
    </w:p>
    <w:p w14:paraId="6FBEC5DA" w14:textId="77777777" w:rsidR="002339C2" w:rsidRPr="002339C2" w:rsidRDefault="00AF566E" w:rsidP="002339C2">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bookmarkStart w:id="4" w:name="art5"/>
      <w:bookmarkEnd w:id="4"/>
      <w:r w:rsidRPr="002339C2">
        <w:rPr>
          <w:rFonts w:ascii="Book Antiqua" w:eastAsia="Times New Roman" w:hAnsi="Book Antiqua" w:cs="Arial"/>
          <w:b/>
          <w:bCs/>
          <w:color w:val="000000"/>
          <w:kern w:val="0"/>
          <w:sz w:val="19"/>
          <w:szCs w:val="19"/>
          <w:highlight w:val="magenta"/>
          <w:lang w:eastAsia="pt-BR"/>
          <w14:ligatures w14:val="none"/>
        </w:rPr>
        <w:t>Art. 5º</w:t>
      </w:r>
      <w:r w:rsidRPr="002339C2">
        <w:rPr>
          <w:rFonts w:ascii="Book Antiqua" w:eastAsia="Times New Roman" w:hAnsi="Book Antiqua" w:cs="Arial"/>
          <w:b/>
          <w:bCs/>
          <w:color w:val="000000"/>
          <w:kern w:val="0"/>
          <w:sz w:val="19"/>
          <w:szCs w:val="19"/>
          <w:lang w:eastAsia="pt-BR"/>
          <w14:ligatures w14:val="none"/>
        </w:rPr>
        <w:t xml:space="preserve"> A assembleia geral, inclusive para os fins do art. 59 do Código Civil, até 30 de outubro de 2020, poderá ser realizada por meios eletrônicos, independentemente de previsão nos atos constitutivos da pessoa jurídica</w:t>
      </w:r>
      <w:r w:rsidRPr="00AF566E">
        <w:rPr>
          <w:rFonts w:ascii="Book Antiqua" w:eastAsia="Times New Roman" w:hAnsi="Book Antiqua" w:cs="Arial"/>
          <w:color w:val="000000"/>
          <w:kern w:val="0"/>
          <w:sz w:val="19"/>
          <w:szCs w:val="19"/>
          <w:lang w:eastAsia="pt-BR"/>
          <w14:ligatures w14:val="none"/>
        </w:rPr>
        <w:t>.</w:t>
      </w:r>
      <w:r w:rsidR="002339C2">
        <w:rPr>
          <w:rFonts w:ascii="Book Antiqua" w:eastAsia="Times New Roman" w:hAnsi="Book Antiqua" w:cs="Arial"/>
          <w:color w:val="000000"/>
          <w:kern w:val="0"/>
          <w:sz w:val="19"/>
          <w:szCs w:val="19"/>
          <w:lang w:eastAsia="pt-BR"/>
          <w14:ligatures w14:val="none"/>
        </w:rPr>
        <w:t xml:space="preserve"> </w:t>
      </w:r>
      <w:r w:rsidR="002339C2" w:rsidRPr="002339C2">
        <w:rPr>
          <w:rFonts w:ascii="Book Antiqua" w:eastAsia="Times New Roman" w:hAnsi="Book Antiqua" w:cs="Arial"/>
          <w:b/>
          <w:bCs/>
          <w:color w:val="FF0000"/>
          <w:kern w:val="0"/>
          <w:sz w:val="16"/>
          <w:szCs w:val="16"/>
          <w:u w:val="single"/>
          <w:lang w:eastAsia="pt-BR"/>
          <w14:ligatures w14:val="none"/>
        </w:rPr>
        <w:t>(</w:t>
      </w:r>
      <w:r w:rsidR="002339C2">
        <w:rPr>
          <w:rFonts w:ascii="Book Antiqua" w:eastAsia="Times New Roman" w:hAnsi="Book Antiqua" w:cs="Arial"/>
          <w:b/>
          <w:bCs/>
          <w:color w:val="FF0000"/>
          <w:kern w:val="0"/>
          <w:sz w:val="16"/>
          <w:szCs w:val="16"/>
          <w:u w:val="single"/>
          <w:lang w:eastAsia="pt-BR"/>
          <w14:ligatures w14:val="none"/>
        </w:rPr>
        <w:t>MPPR</w:t>
      </w:r>
      <w:r w:rsidR="002339C2" w:rsidRPr="002339C2">
        <w:rPr>
          <w:rFonts w:ascii="Book Antiqua" w:eastAsia="Times New Roman" w:hAnsi="Book Antiqua" w:cs="Arial"/>
          <w:b/>
          <w:bCs/>
          <w:color w:val="FF0000"/>
          <w:kern w:val="0"/>
          <w:sz w:val="16"/>
          <w:szCs w:val="16"/>
          <w:u w:val="single"/>
          <w:lang w:eastAsia="pt-BR"/>
          <w14:ligatures w14:val="none"/>
        </w:rPr>
        <w:t>-2021)</w:t>
      </w:r>
    </w:p>
    <w:tbl>
      <w:tblPr>
        <w:tblStyle w:val="Tabelacomgrade"/>
        <w:tblW w:w="0" w:type="auto"/>
        <w:tblLook w:val="04A0" w:firstRow="1" w:lastRow="0" w:firstColumn="1" w:lastColumn="0" w:noHBand="0" w:noVBand="1"/>
      </w:tblPr>
      <w:tblGrid>
        <w:gridCol w:w="8494"/>
      </w:tblGrid>
      <w:tr w:rsidR="002339C2" w14:paraId="4CE539B3" w14:textId="77777777" w:rsidTr="00E33D3D">
        <w:tc>
          <w:tcPr>
            <w:tcW w:w="8494" w:type="dxa"/>
            <w:shd w:val="clear" w:color="auto" w:fill="CCFFFF"/>
          </w:tcPr>
          <w:p w14:paraId="04B91EF4" w14:textId="78CD20BC" w:rsidR="002339C2" w:rsidRPr="00AF566E" w:rsidRDefault="002339C2" w:rsidP="00E33D3D">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highlight w:val="yellow"/>
                <w:lang w:eastAsia="pt-BR"/>
                <w14:ligatures w14:val="none"/>
              </w:rPr>
              <w:t>MPPR-2021</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339C2">
              <w:rPr>
                <w:rFonts w:ascii="Book Antiqua" w:eastAsia="Times New Roman" w:hAnsi="Book Antiqua" w:cs="Arial"/>
                <w:color w:val="000000"/>
                <w:kern w:val="0"/>
                <w:sz w:val="19"/>
                <w:szCs w:val="19"/>
                <w:lang w:eastAsia="pt-BR"/>
                <w14:ligatures w14:val="none"/>
              </w:rPr>
              <w:t>A Lei 14.010 de 14/06/2020, dispõe sobre o Regime Jurídico Emergencial e Transitório das relações jurídicas de Direito Privado (RJET) no período da pandemia do coronavírus (Covid-19). Em relação a ela, é correto dizer:</w:t>
            </w:r>
            <w:r>
              <w:t xml:space="preserve"> </w:t>
            </w:r>
            <w:r w:rsidRPr="002339C2">
              <w:rPr>
                <w:rFonts w:ascii="Book Antiqua" w:eastAsia="Times New Roman" w:hAnsi="Book Antiqua" w:cs="Arial"/>
                <w:color w:val="000000"/>
                <w:kern w:val="0"/>
                <w:sz w:val="19"/>
                <w:szCs w:val="19"/>
                <w:lang w:eastAsia="pt-BR"/>
                <w14:ligatures w14:val="none"/>
              </w:rPr>
              <w:t>A lei autorizou que a assembleia geral das pessoas jurídicas de direito privado, até 30/10/2020, seja realizada por meios eletrônicos, independentemente de previsão nos seus atos constitutivos.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5º,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Lei 14010/20.</w:t>
            </w:r>
          </w:p>
        </w:tc>
      </w:tr>
    </w:tbl>
    <w:p w14:paraId="165729DC"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Parágrafo único. A manifestação dos participantes poderá ocorrer por qualquer meio eletrônico indicado pelo administrador, que assegure a identificação do participante e a segurança do voto, e produzirá todos os efeitos legais de uma assinatura presencial.</w:t>
      </w:r>
    </w:p>
    <w:p w14:paraId="28ED9259"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IV</w:t>
      </w:r>
    </w:p>
    <w:p w14:paraId="3D14275D"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DA RESILIÇÃO, RESOLUÇÃO E REVISÃO DOS CONTRATOS</w:t>
      </w:r>
    </w:p>
    <w:p w14:paraId="4936FC1E"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 w:name="art6.0"/>
      <w:bookmarkEnd w:id="5"/>
      <w:r w:rsidRPr="00AF566E">
        <w:rPr>
          <w:rFonts w:ascii="Book Antiqua" w:eastAsia="Times New Roman" w:hAnsi="Book Antiqua" w:cs="Arial"/>
          <w:color w:val="000000"/>
          <w:kern w:val="0"/>
          <w:sz w:val="19"/>
          <w:szCs w:val="19"/>
          <w:lang w:eastAsia="pt-BR"/>
          <w14:ligatures w14:val="none"/>
        </w:rPr>
        <w:t>Art. 6º As consequências decorrentes da pandemia do coronavírus (Covid-19) nas execuções dos contratos, incluídas as previstas no art. 393 do Código Civil, não terão efeitos jurídicos retroativos. </w:t>
      </w:r>
      <w:hyperlink r:id="rId8" w:anchor="derrubadaveto" w:history="1">
        <w:r w:rsidRPr="00AF566E">
          <w:rPr>
            <w:rFonts w:ascii="Book Antiqua" w:eastAsia="Times New Roman" w:hAnsi="Book Antiqua" w:cs="Arial"/>
            <w:color w:val="000080"/>
            <w:kern w:val="0"/>
            <w:sz w:val="19"/>
            <w:szCs w:val="19"/>
            <w:u w:val="single"/>
            <w:lang w:eastAsia="pt-BR"/>
            <w14:ligatures w14:val="none"/>
          </w:rPr>
          <w:t>Promulgação partes vetadas</w:t>
        </w:r>
      </w:hyperlink>
    </w:p>
    <w:p w14:paraId="5D72E2DD"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 w:name="art7.0"/>
      <w:bookmarkEnd w:id="6"/>
      <w:r w:rsidRPr="00AF566E">
        <w:rPr>
          <w:rFonts w:ascii="Book Antiqua" w:eastAsia="Times New Roman" w:hAnsi="Book Antiqua" w:cs="Arial"/>
          <w:color w:val="000000"/>
          <w:kern w:val="0"/>
          <w:sz w:val="19"/>
          <w:szCs w:val="19"/>
          <w:lang w:eastAsia="pt-BR"/>
          <w14:ligatures w14:val="none"/>
        </w:rPr>
        <w:t xml:space="preserve">Art. 7º Não se consideram fatos imprevisíveis, para os fins exclusivos dos </w:t>
      </w:r>
      <w:proofErr w:type="spellStart"/>
      <w:r w:rsidRPr="00AF566E">
        <w:rPr>
          <w:rFonts w:ascii="Book Antiqua" w:eastAsia="Times New Roman" w:hAnsi="Book Antiqua" w:cs="Arial"/>
          <w:color w:val="000000"/>
          <w:kern w:val="0"/>
          <w:sz w:val="19"/>
          <w:szCs w:val="19"/>
          <w:lang w:eastAsia="pt-BR"/>
          <w14:ligatures w14:val="none"/>
        </w:rPr>
        <w:t>arts</w:t>
      </w:r>
      <w:proofErr w:type="spellEnd"/>
      <w:r w:rsidRPr="00AF566E">
        <w:rPr>
          <w:rFonts w:ascii="Book Antiqua" w:eastAsia="Times New Roman" w:hAnsi="Book Antiqua" w:cs="Arial"/>
          <w:color w:val="000000"/>
          <w:kern w:val="0"/>
          <w:sz w:val="19"/>
          <w:szCs w:val="19"/>
          <w:lang w:eastAsia="pt-BR"/>
          <w14:ligatures w14:val="none"/>
        </w:rPr>
        <w:t>. 317, 478, 479 e 480 do Código Civil, o aumento da inflação, a variação cambial, a desvalorização ou a substituição do padrão monetário. </w:t>
      </w:r>
      <w:hyperlink r:id="rId9" w:anchor="derrubadaveto" w:history="1">
        <w:r w:rsidRPr="00AF566E">
          <w:rPr>
            <w:rFonts w:ascii="Book Antiqua" w:eastAsia="Times New Roman" w:hAnsi="Book Antiqua" w:cs="Arial"/>
            <w:color w:val="000080"/>
            <w:kern w:val="0"/>
            <w:sz w:val="19"/>
            <w:szCs w:val="19"/>
            <w:u w:val="single"/>
            <w:lang w:eastAsia="pt-BR"/>
            <w14:ligatures w14:val="none"/>
          </w:rPr>
          <w:t>Promulgação partes vetadas</w:t>
        </w:r>
      </w:hyperlink>
    </w:p>
    <w:p w14:paraId="1B761B91"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 1º As regras sobre revisão contratual previstas na Lei nº 8.078, de 11 de setembro de 1990 (Código de Defesa do Consumidor), e na Lei nº 8.245, de 18 de outubro de 1991, não se sujeitam ao disposto no caput deste artigo.</w:t>
      </w:r>
    </w:p>
    <w:p w14:paraId="1D0C5701"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 2º Para os fins desta Lei, as normas de proteção ao consumidor não se aplicam às relações contratuais subordinadas ao Código Civil, incluindo aquelas estabelecidas exclusivamente entre empresas ou empresários."</w:t>
      </w:r>
    </w:p>
    <w:p w14:paraId="7D728638"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V</w:t>
      </w:r>
    </w:p>
    <w:p w14:paraId="2D940FC6"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DAS RELAÇÕES DE CONSUMO</w:t>
      </w:r>
    </w:p>
    <w:p w14:paraId="242DFB78" w14:textId="70F563C3" w:rsidR="00AF566E" w:rsidRDefault="00AF566E" w:rsidP="00AF566E">
      <w:pPr>
        <w:spacing w:before="100" w:beforeAutospacing="1" w:after="100" w:afterAutospacing="1" w:line="240" w:lineRule="auto"/>
        <w:ind w:firstLine="480"/>
        <w:jc w:val="both"/>
        <w:rPr>
          <w:rFonts w:ascii="Book Antiqua" w:eastAsia="Times New Roman" w:hAnsi="Book Antiqua" w:cs="Arial"/>
          <w:b/>
          <w:bCs/>
          <w:color w:val="FF0000"/>
          <w:kern w:val="0"/>
          <w:sz w:val="16"/>
          <w:szCs w:val="16"/>
          <w:lang w:eastAsia="pt-BR"/>
          <w14:ligatures w14:val="none"/>
        </w:rPr>
      </w:pPr>
      <w:bookmarkStart w:id="7" w:name="art8"/>
      <w:bookmarkEnd w:id="7"/>
      <w:r w:rsidRPr="00113B4C">
        <w:rPr>
          <w:rFonts w:ascii="Book Antiqua" w:eastAsia="Times New Roman" w:hAnsi="Book Antiqua" w:cs="Arial"/>
          <w:b/>
          <w:bCs/>
          <w:color w:val="000000"/>
          <w:kern w:val="0"/>
          <w:sz w:val="19"/>
          <w:szCs w:val="19"/>
          <w:highlight w:val="magenta"/>
          <w:lang w:eastAsia="pt-BR"/>
          <w14:ligatures w14:val="none"/>
        </w:rPr>
        <w:t>Art. 8º</w:t>
      </w:r>
      <w:r w:rsidRPr="00113B4C">
        <w:rPr>
          <w:rFonts w:ascii="Book Antiqua" w:eastAsia="Times New Roman" w:hAnsi="Book Antiqua" w:cs="Arial"/>
          <w:b/>
          <w:bCs/>
          <w:color w:val="000000"/>
          <w:kern w:val="0"/>
          <w:sz w:val="19"/>
          <w:szCs w:val="19"/>
          <w:lang w:eastAsia="pt-BR"/>
          <w14:ligatures w14:val="none"/>
        </w:rPr>
        <w:t xml:space="preserve"> Até 30 de outubro de 2020, fica suspensa a aplicação do art. 49 do Código de Defesa do Consumidor na hipótese de entrega domiciliar </w:t>
      </w:r>
      <w:proofErr w:type="gramStart"/>
      <w:r w:rsidRPr="00113B4C">
        <w:rPr>
          <w:rFonts w:ascii="Book Antiqua" w:eastAsia="Times New Roman" w:hAnsi="Book Antiqua" w:cs="Arial"/>
          <w:b/>
          <w:bCs/>
          <w:color w:val="000000"/>
          <w:kern w:val="0"/>
          <w:sz w:val="19"/>
          <w:szCs w:val="19"/>
          <w:lang w:eastAsia="pt-BR"/>
          <w14:ligatures w14:val="none"/>
        </w:rPr>
        <w:t>( delivery</w:t>
      </w:r>
      <w:proofErr w:type="gramEnd"/>
      <w:r w:rsidRPr="00113B4C">
        <w:rPr>
          <w:rFonts w:ascii="Book Antiqua" w:eastAsia="Times New Roman" w:hAnsi="Book Antiqua" w:cs="Arial"/>
          <w:b/>
          <w:bCs/>
          <w:color w:val="000000"/>
          <w:kern w:val="0"/>
          <w:sz w:val="19"/>
          <w:szCs w:val="19"/>
          <w:lang w:eastAsia="pt-BR"/>
          <w14:ligatures w14:val="none"/>
        </w:rPr>
        <w:t xml:space="preserve"> ) de produtos perecíveis ou de consumo imediato e de medicamentos</w:t>
      </w:r>
      <w:r w:rsidRPr="00AF566E">
        <w:rPr>
          <w:rFonts w:ascii="Book Antiqua" w:eastAsia="Times New Roman" w:hAnsi="Book Antiqua" w:cs="Arial"/>
          <w:color w:val="000000"/>
          <w:kern w:val="0"/>
          <w:sz w:val="19"/>
          <w:szCs w:val="19"/>
          <w:lang w:eastAsia="pt-BR"/>
          <w14:ligatures w14:val="none"/>
        </w:rPr>
        <w:t>.</w:t>
      </w:r>
      <w:r w:rsidR="00113B4C">
        <w:rPr>
          <w:rFonts w:ascii="Book Antiqua" w:eastAsia="Times New Roman" w:hAnsi="Book Antiqua" w:cs="Arial"/>
          <w:color w:val="000000"/>
          <w:kern w:val="0"/>
          <w:sz w:val="19"/>
          <w:szCs w:val="19"/>
          <w:lang w:eastAsia="pt-BR"/>
          <w14:ligatures w14:val="none"/>
        </w:rPr>
        <w:t xml:space="preserve"> </w:t>
      </w:r>
      <w:bookmarkStart w:id="8" w:name="_Hlk166079199"/>
      <w:r w:rsidR="00113B4C" w:rsidRPr="002339C2">
        <w:rPr>
          <w:rFonts w:ascii="Book Antiqua" w:eastAsia="Times New Roman" w:hAnsi="Book Antiqua" w:cs="Arial"/>
          <w:b/>
          <w:bCs/>
          <w:color w:val="FF0000"/>
          <w:kern w:val="0"/>
          <w:sz w:val="16"/>
          <w:szCs w:val="16"/>
          <w:u w:val="single"/>
          <w:lang w:eastAsia="pt-BR"/>
          <w14:ligatures w14:val="none"/>
        </w:rPr>
        <w:t>(DPE</w:t>
      </w:r>
      <w:r w:rsidR="00113B4C">
        <w:rPr>
          <w:rFonts w:ascii="Book Antiqua" w:eastAsia="Times New Roman" w:hAnsi="Book Antiqua" w:cs="Arial"/>
          <w:b/>
          <w:bCs/>
          <w:color w:val="FF0000"/>
          <w:kern w:val="0"/>
          <w:sz w:val="16"/>
          <w:szCs w:val="16"/>
          <w:u w:val="single"/>
          <w:lang w:eastAsia="pt-BR"/>
          <w14:ligatures w14:val="none"/>
        </w:rPr>
        <w:t>AP</w:t>
      </w:r>
      <w:r w:rsidR="00113B4C" w:rsidRPr="002339C2">
        <w:rPr>
          <w:rFonts w:ascii="Book Antiqua" w:eastAsia="Times New Roman" w:hAnsi="Book Antiqua" w:cs="Arial"/>
          <w:b/>
          <w:bCs/>
          <w:color w:val="FF0000"/>
          <w:kern w:val="0"/>
          <w:sz w:val="16"/>
          <w:szCs w:val="16"/>
          <w:u w:val="single"/>
          <w:lang w:eastAsia="pt-BR"/>
          <w14:ligatures w14:val="none"/>
        </w:rPr>
        <w:t>-202</w:t>
      </w:r>
      <w:r w:rsidR="00113B4C">
        <w:rPr>
          <w:rFonts w:ascii="Book Antiqua" w:eastAsia="Times New Roman" w:hAnsi="Book Antiqua" w:cs="Arial"/>
          <w:b/>
          <w:bCs/>
          <w:color w:val="FF0000"/>
          <w:kern w:val="0"/>
          <w:sz w:val="16"/>
          <w:szCs w:val="16"/>
          <w:u w:val="single"/>
          <w:lang w:eastAsia="pt-BR"/>
          <w14:ligatures w14:val="none"/>
        </w:rPr>
        <w:t>2</w:t>
      </w:r>
      <w:r w:rsidR="00113B4C" w:rsidRPr="002339C2">
        <w:rPr>
          <w:rFonts w:ascii="Book Antiqua" w:eastAsia="Times New Roman" w:hAnsi="Book Antiqua" w:cs="Arial"/>
          <w:b/>
          <w:bCs/>
          <w:color w:val="FF0000"/>
          <w:kern w:val="0"/>
          <w:sz w:val="16"/>
          <w:szCs w:val="16"/>
          <w:u w:val="single"/>
          <w:lang w:eastAsia="pt-BR"/>
          <w14:ligatures w14:val="none"/>
        </w:rPr>
        <w:t>)</w:t>
      </w:r>
      <w:bookmarkEnd w:id="8"/>
    </w:p>
    <w:tbl>
      <w:tblPr>
        <w:tblStyle w:val="Tabelacomgrade"/>
        <w:tblW w:w="0" w:type="auto"/>
        <w:tblLook w:val="04A0" w:firstRow="1" w:lastRow="0" w:firstColumn="1" w:lastColumn="0" w:noHBand="0" w:noVBand="1"/>
      </w:tblPr>
      <w:tblGrid>
        <w:gridCol w:w="8494"/>
      </w:tblGrid>
      <w:tr w:rsidR="00113B4C" w14:paraId="00624988" w14:textId="77777777" w:rsidTr="003F708B">
        <w:tc>
          <w:tcPr>
            <w:tcW w:w="8494" w:type="dxa"/>
            <w:shd w:val="clear" w:color="auto" w:fill="CCFFFF"/>
          </w:tcPr>
          <w:p w14:paraId="22FA88E4" w14:textId="0378AC4D" w:rsidR="00113B4C" w:rsidRPr="00AF566E" w:rsidRDefault="00113B4C" w:rsidP="003F708B">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highlight w:val="yellow"/>
                <w:lang w:eastAsia="pt-BR"/>
                <w14:ligatures w14:val="none"/>
              </w:rPr>
              <w:t>DPEAP-2022-FCC</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113B4C">
              <w:rPr>
                <w:rFonts w:ascii="Book Antiqua" w:eastAsia="Times New Roman" w:hAnsi="Book Antiqua" w:cs="Arial"/>
                <w:color w:val="000000"/>
                <w:kern w:val="0"/>
                <w:sz w:val="19"/>
                <w:szCs w:val="19"/>
                <w:lang w:eastAsia="pt-BR"/>
                <w14:ligatures w14:val="none"/>
              </w:rPr>
              <w:t>A Lei nº 14.010/2020 instituiu normas de caráter emergencial e transitório de direito privado, decorrentes da pandemia da Covid-19. Especificamente no tocante às relações consumeristas, foi determinada a suspensão, contada da vigência da respectiva norma até 30 de outubro de 2020, do(a)</w:t>
            </w:r>
            <w:r>
              <w:rPr>
                <w:rFonts w:ascii="Book Antiqua" w:eastAsia="Times New Roman" w:hAnsi="Book Antiqua" w:cs="Arial"/>
                <w:color w:val="000000"/>
                <w:kern w:val="0"/>
                <w:sz w:val="19"/>
                <w:szCs w:val="19"/>
                <w:lang w:eastAsia="pt-BR"/>
                <w14:ligatures w14:val="none"/>
              </w:rPr>
              <w:t xml:space="preserve"> </w:t>
            </w:r>
            <w:r w:rsidRPr="00113B4C">
              <w:rPr>
                <w:rFonts w:ascii="Book Antiqua" w:eastAsia="Times New Roman" w:hAnsi="Book Antiqua" w:cs="Arial"/>
                <w:color w:val="000000"/>
                <w:kern w:val="0"/>
                <w:sz w:val="19"/>
                <w:szCs w:val="19"/>
                <w:lang w:eastAsia="pt-BR"/>
                <w14:ligatures w14:val="none"/>
              </w:rPr>
              <w:t>direito de arrependimento (Art. 49, do CDC), na hipótese de entrega domiciliar de produtos perecíveis ou de consumo imediato e de medicamentos.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8º, Lei 14010/20 e art. 49, CDC.</w:t>
            </w:r>
          </w:p>
        </w:tc>
      </w:tr>
    </w:tbl>
    <w:p w14:paraId="1314EA96"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VI</w:t>
      </w:r>
    </w:p>
    <w:p w14:paraId="2478349E"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DAS LOCAÇÕES DE IMÓVEIS URBANOS</w:t>
      </w:r>
    </w:p>
    <w:p w14:paraId="7F5DF30F" w14:textId="480EE3C7" w:rsidR="00AF566E" w:rsidRPr="002339C2" w:rsidRDefault="00AF566E" w:rsidP="00AF566E">
      <w:pPr>
        <w:spacing w:before="100" w:beforeAutospacing="1" w:after="100" w:afterAutospacing="1" w:line="240" w:lineRule="auto"/>
        <w:ind w:firstLine="480"/>
        <w:jc w:val="both"/>
        <w:rPr>
          <w:rFonts w:ascii="Book Antiqua" w:eastAsia="Times New Roman" w:hAnsi="Book Antiqua" w:cs="Arial"/>
          <w:b/>
          <w:bCs/>
          <w:color w:val="000000"/>
          <w:kern w:val="0"/>
          <w:sz w:val="18"/>
          <w:szCs w:val="18"/>
          <w:u w:val="single"/>
          <w:lang w:eastAsia="pt-BR"/>
          <w14:ligatures w14:val="none"/>
        </w:rPr>
      </w:pPr>
      <w:bookmarkStart w:id="9" w:name="art9.0"/>
      <w:bookmarkEnd w:id="9"/>
      <w:r w:rsidRPr="00AF566E">
        <w:rPr>
          <w:rFonts w:ascii="Book Antiqua" w:eastAsia="Times New Roman" w:hAnsi="Book Antiqua" w:cs="Arial"/>
          <w:b/>
          <w:bCs/>
          <w:color w:val="000000"/>
          <w:kern w:val="0"/>
          <w:sz w:val="19"/>
          <w:szCs w:val="19"/>
          <w:highlight w:val="magenta"/>
          <w:lang w:eastAsia="pt-BR"/>
          <w14:ligatures w14:val="none"/>
        </w:rPr>
        <w:lastRenderedPageBreak/>
        <w:t>Art. 9º</w:t>
      </w:r>
      <w:r w:rsidRPr="00AF566E">
        <w:rPr>
          <w:rFonts w:ascii="Book Antiqua" w:eastAsia="Times New Roman" w:hAnsi="Book Antiqua" w:cs="Arial"/>
          <w:b/>
          <w:bCs/>
          <w:color w:val="000000"/>
          <w:kern w:val="0"/>
          <w:sz w:val="19"/>
          <w:szCs w:val="19"/>
          <w:lang w:eastAsia="pt-BR"/>
          <w14:ligatures w14:val="none"/>
        </w:rPr>
        <w:t xml:space="preserve"> Não se concederá liminar para desocupação de imóvel urbano nas ações de despejo, a que se refere o art. 59, § 1º, incisos I, II, V, VII, VIII e IX, da Lei nº 8.245, de 18 de outubro de 1991, até 30 de outubro de 2020</w:t>
      </w:r>
      <w:r w:rsidRPr="00AF566E">
        <w:rPr>
          <w:rFonts w:ascii="Book Antiqua" w:eastAsia="Times New Roman" w:hAnsi="Book Antiqua" w:cs="Arial"/>
          <w:color w:val="000000"/>
          <w:kern w:val="0"/>
          <w:sz w:val="19"/>
          <w:szCs w:val="19"/>
          <w:lang w:eastAsia="pt-BR"/>
          <w14:ligatures w14:val="none"/>
        </w:rPr>
        <w:t>. </w:t>
      </w:r>
      <w:hyperlink r:id="rId10" w:anchor="derrubadaveto" w:history="1">
        <w:r w:rsidRPr="00AF566E">
          <w:rPr>
            <w:rFonts w:ascii="Book Antiqua" w:eastAsia="Times New Roman" w:hAnsi="Book Antiqua" w:cs="Arial"/>
            <w:color w:val="000080"/>
            <w:kern w:val="0"/>
            <w:sz w:val="19"/>
            <w:szCs w:val="19"/>
            <w:u w:val="single"/>
            <w:lang w:eastAsia="pt-BR"/>
            <w14:ligatures w14:val="none"/>
          </w:rPr>
          <w:t>Promulgação partes vetadas</w:t>
        </w:r>
      </w:hyperlink>
      <w:r>
        <w:rPr>
          <w:rFonts w:ascii="Book Antiqua" w:eastAsia="Times New Roman" w:hAnsi="Book Antiqua" w:cs="Arial"/>
          <w:color w:val="000000"/>
          <w:kern w:val="0"/>
          <w:sz w:val="19"/>
          <w:szCs w:val="19"/>
          <w:lang w:eastAsia="pt-BR"/>
          <w14:ligatures w14:val="none"/>
        </w:rPr>
        <w:t xml:space="preserve"> </w:t>
      </w:r>
      <w:r w:rsidRPr="002339C2">
        <w:rPr>
          <w:rFonts w:ascii="Book Antiqua" w:eastAsia="Times New Roman" w:hAnsi="Book Antiqua" w:cs="Arial"/>
          <w:b/>
          <w:bCs/>
          <w:color w:val="FF0000"/>
          <w:kern w:val="0"/>
          <w:sz w:val="16"/>
          <w:szCs w:val="16"/>
          <w:u w:val="single"/>
          <w:lang w:eastAsia="pt-BR"/>
          <w14:ligatures w14:val="none"/>
        </w:rPr>
        <w:t>(DPERR-2021)</w:t>
      </w:r>
    </w:p>
    <w:tbl>
      <w:tblPr>
        <w:tblStyle w:val="Tabelacomgrade"/>
        <w:tblW w:w="0" w:type="auto"/>
        <w:tblLook w:val="04A0" w:firstRow="1" w:lastRow="0" w:firstColumn="1" w:lastColumn="0" w:noHBand="0" w:noVBand="1"/>
      </w:tblPr>
      <w:tblGrid>
        <w:gridCol w:w="8494"/>
      </w:tblGrid>
      <w:tr w:rsidR="00AF566E" w14:paraId="5CB8EBE6" w14:textId="77777777" w:rsidTr="00D91124">
        <w:tc>
          <w:tcPr>
            <w:tcW w:w="8494" w:type="dxa"/>
            <w:shd w:val="clear" w:color="auto" w:fill="CCFFFF"/>
          </w:tcPr>
          <w:p w14:paraId="5242836E" w14:textId="7B12D5C4" w:rsidR="00AF566E" w:rsidRPr="00AF566E" w:rsidRDefault="00AF566E" w:rsidP="00D91124">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AF566E">
              <w:rPr>
                <w:rFonts w:ascii="Book Antiqua" w:eastAsia="Times New Roman" w:hAnsi="Book Antiqua" w:cs="Arial"/>
                <w:b/>
                <w:bCs/>
                <w:color w:val="000000"/>
                <w:kern w:val="0"/>
                <w:sz w:val="19"/>
                <w:szCs w:val="19"/>
                <w:highlight w:val="yellow"/>
                <w:lang w:eastAsia="pt-BR"/>
                <w14:ligatures w14:val="none"/>
              </w:rPr>
              <w:t>DPERR-2021-FCC</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AF566E">
              <w:rPr>
                <w:rFonts w:ascii="Book Antiqua" w:eastAsia="Times New Roman" w:hAnsi="Book Antiqua" w:cs="Arial"/>
                <w:color w:val="000000"/>
                <w:kern w:val="0"/>
                <w:sz w:val="19"/>
                <w:szCs w:val="19"/>
                <w:lang w:eastAsia="pt-BR"/>
                <w14:ligatures w14:val="none"/>
              </w:rPr>
              <w:t>Avalie as situações sob a ótica do Regime Jurídico Emergencial e Transitório das relações jurídicas de Direito Privado no período de pandemia do coronavírus (Lei 14.010/20):</w:t>
            </w:r>
            <w:r>
              <w:rPr>
                <w:rFonts w:ascii="Book Antiqua" w:eastAsia="Times New Roman" w:hAnsi="Book Antiqua" w:cs="Arial"/>
                <w:color w:val="000000"/>
                <w:kern w:val="0"/>
                <w:sz w:val="19"/>
                <w:szCs w:val="19"/>
                <w:lang w:eastAsia="pt-BR"/>
                <w14:ligatures w14:val="none"/>
              </w:rPr>
              <w:t xml:space="preserve"> </w:t>
            </w:r>
            <w:r w:rsidRPr="00AF566E">
              <w:rPr>
                <w:rFonts w:ascii="Book Antiqua" w:eastAsia="Times New Roman" w:hAnsi="Book Antiqua" w:cs="Arial"/>
                <w:color w:val="000000"/>
                <w:kern w:val="0"/>
                <w:sz w:val="19"/>
                <w:szCs w:val="19"/>
                <w:lang w:eastAsia="pt-BR"/>
                <w14:ligatures w14:val="none"/>
              </w:rPr>
              <w:t>A impossibilidade de cumprimento de liminar de despejo em ação judicial por falta de pagamento de aluguéis vigorou até dia 30 de outubro de 2020.</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9º, Lei 14010/20.</w:t>
            </w:r>
          </w:p>
        </w:tc>
      </w:tr>
    </w:tbl>
    <w:p w14:paraId="0AB1F3D1"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VII</w:t>
      </w:r>
    </w:p>
    <w:p w14:paraId="67E35803"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DA USUCAPIÃO</w:t>
      </w:r>
    </w:p>
    <w:p w14:paraId="17B4690C" w14:textId="474CA7D3" w:rsidR="00AF566E" w:rsidRPr="000B5E0B" w:rsidRDefault="00AF566E" w:rsidP="00AF566E">
      <w:pPr>
        <w:spacing w:before="100" w:beforeAutospacing="1" w:after="100" w:afterAutospacing="1" w:line="240" w:lineRule="auto"/>
        <w:ind w:firstLine="480"/>
        <w:jc w:val="both"/>
        <w:rPr>
          <w:rFonts w:ascii="Book Antiqua" w:eastAsia="Times New Roman" w:hAnsi="Book Antiqua" w:cs="Arial"/>
          <w:b/>
          <w:bCs/>
          <w:color w:val="000000"/>
          <w:kern w:val="0"/>
          <w:sz w:val="18"/>
          <w:szCs w:val="18"/>
          <w:u w:val="single"/>
          <w:lang w:eastAsia="pt-BR"/>
          <w14:ligatures w14:val="none"/>
        </w:rPr>
      </w:pPr>
      <w:bookmarkStart w:id="10" w:name="art10"/>
      <w:bookmarkEnd w:id="10"/>
      <w:r w:rsidRPr="00AF566E">
        <w:rPr>
          <w:rFonts w:ascii="Book Antiqua" w:eastAsia="Times New Roman" w:hAnsi="Book Antiqua" w:cs="Arial"/>
          <w:b/>
          <w:bCs/>
          <w:color w:val="000000"/>
          <w:kern w:val="0"/>
          <w:sz w:val="19"/>
          <w:szCs w:val="19"/>
          <w:highlight w:val="magenta"/>
          <w:lang w:eastAsia="pt-BR"/>
          <w14:ligatures w14:val="none"/>
        </w:rPr>
        <w:t>Art. 10</w:t>
      </w:r>
      <w:r w:rsidRPr="00AF566E">
        <w:rPr>
          <w:rFonts w:ascii="Book Antiqua" w:eastAsia="Times New Roman" w:hAnsi="Book Antiqua" w:cs="Arial"/>
          <w:b/>
          <w:bCs/>
          <w:color w:val="000000"/>
          <w:kern w:val="0"/>
          <w:sz w:val="19"/>
          <w:szCs w:val="19"/>
          <w:lang w:eastAsia="pt-BR"/>
          <w14:ligatures w14:val="none"/>
        </w:rPr>
        <w:t>. Suspendem-se os prazos de aquisição para a propriedade imobiliária ou mobiliária, nas diversas espécies de usucapião, a partir da entrada em vigor desta Lei até 30 de outubro de 2020</w:t>
      </w:r>
      <w:r w:rsidRPr="002339C2">
        <w:rPr>
          <w:rFonts w:ascii="Book Antiqua" w:eastAsia="Times New Roman" w:hAnsi="Book Antiqua" w:cs="Arial"/>
          <w:b/>
          <w:bCs/>
          <w:color w:val="000000"/>
          <w:kern w:val="0"/>
          <w:sz w:val="18"/>
          <w:szCs w:val="18"/>
          <w:lang w:eastAsia="pt-BR"/>
          <w14:ligatures w14:val="none"/>
        </w:rPr>
        <w:t xml:space="preserve">. </w:t>
      </w:r>
      <w:r w:rsidRPr="002339C2">
        <w:rPr>
          <w:rFonts w:ascii="Book Antiqua" w:eastAsia="Times New Roman" w:hAnsi="Book Antiqua" w:cs="Arial"/>
          <w:b/>
          <w:bCs/>
          <w:color w:val="FF0000"/>
          <w:kern w:val="0"/>
          <w:sz w:val="16"/>
          <w:szCs w:val="16"/>
          <w:u w:val="single"/>
          <w:lang w:eastAsia="pt-BR"/>
          <w14:ligatures w14:val="none"/>
        </w:rPr>
        <w:t>(DPERR-2021)</w:t>
      </w:r>
      <w:r w:rsidR="000B5E0B">
        <w:rPr>
          <w:rFonts w:ascii="Book Antiqua" w:eastAsia="Times New Roman" w:hAnsi="Book Antiqua" w:cs="Arial"/>
          <w:b/>
          <w:bCs/>
          <w:color w:val="FF0000"/>
          <w:kern w:val="0"/>
          <w:sz w:val="16"/>
          <w:szCs w:val="16"/>
          <w:lang w:eastAsia="pt-BR"/>
          <w14:ligatures w14:val="none"/>
        </w:rPr>
        <w:t xml:space="preserve"> </w:t>
      </w:r>
      <w:bookmarkStart w:id="11" w:name="_Hlk176791040"/>
      <w:r w:rsidR="000B5E0B">
        <w:rPr>
          <w:rFonts w:ascii="Book Antiqua" w:eastAsia="Times New Roman" w:hAnsi="Book Antiqua" w:cs="Arial"/>
          <w:b/>
          <w:bCs/>
          <w:color w:val="FF0000"/>
          <w:kern w:val="0"/>
          <w:sz w:val="16"/>
          <w:szCs w:val="16"/>
          <w:u w:val="single"/>
          <w:lang w:eastAsia="pt-BR"/>
          <w14:ligatures w14:val="none"/>
        </w:rPr>
        <w:t>(DPESP-2023)</w:t>
      </w:r>
      <w:bookmarkEnd w:id="11"/>
    </w:p>
    <w:p w14:paraId="7F2EB1CB"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VIII</w:t>
      </w:r>
    </w:p>
    <w:p w14:paraId="3D67C10B"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DOS CONDOMÍNIOS EDILÍCIOS</w:t>
      </w:r>
    </w:p>
    <w:p w14:paraId="5065860E"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2" w:name="art11"/>
      <w:bookmarkEnd w:id="12"/>
      <w:r w:rsidRPr="00AF566E">
        <w:rPr>
          <w:rFonts w:ascii="Book Antiqua" w:eastAsia="Times New Roman" w:hAnsi="Book Antiqua" w:cs="Arial"/>
          <w:color w:val="000000"/>
          <w:kern w:val="0"/>
          <w:sz w:val="19"/>
          <w:szCs w:val="19"/>
          <w:lang w:eastAsia="pt-BR"/>
          <w14:ligatures w14:val="none"/>
        </w:rPr>
        <w:t>Art. 11. (VETADO).</w:t>
      </w:r>
    </w:p>
    <w:p w14:paraId="61D4B6BA" w14:textId="0D8623FD" w:rsidR="00AF566E" w:rsidRPr="002339C2"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8"/>
          <w:szCs w:val="18"/>
          <w:lang w:eastAsia="pt-BR"/>
          <w14:ligatures w14:val="none"/>
        </w:rPr>
      </w:pPr>
      <w:bookmarkStart w:id="13" w:name="art12"/>
      <w:bookmarkEnd w:id="13"/>
      <w:r w:rsidRPr="00AF566E">
        <w:rPr>
          <w:rFonts w:ascii="Book Antiqua" w:eastAsia="Times New Roman" w:hAnsi="Book Antiqua" w:cs="Arial"/>
          <w:b/>
          <w:bCs/>
          <w:color w:val="000000"/>
          <w:kern w:val="0"/>
          <w:sz w:val="19"/>
          <w:szCs w:val="19"/>
          <w:highlight w:val="magenta"/>
          <w:lang w:eastAsia="pt-BR"/>
          <w14:ligatures w14:val="none"/>
        </w:rPr>
        <w:t>Art. 12</w:t>
      </w:r>
      <w:r w:rsidRPr="00AF566E">
        <w:rPr>
          <w:rFonts w:ascii="Book Antiqua" w:eastAsia="Times New Roman" w:hAnsi="Book Antiqua" w:cs="Arial"/>
          <w:b/>
          <w:bCs/>
          <w:color w:val="000000"/>
          <w:kern w:val="0"/>
          <w:sz w:val="19"/>
          <w:szCs w:val="19"/>
          <w:lang w:eastAsia="pt-BR"/>
          <w14:ligatures w14:val="none"/>
        </w:rPr>
        <w:t xml:space="preserve">. A assembleia condominial, inclusive para os fins dos </w:t>
      </w:r>
      <w:proofErr w:type="spellStart"/>
      <w:r w:rsidRPr="00AF566E">
        <w:rPr>
          <w:rFonts w:ascii="Book Antiqua" w:eastAsia="Times New Roman" w:hAnsi="Book Antiqua" w:cs="Arial"/>
          <w:b/>
          <w:bCs/>
          <w:color w:val="000000"/>
          <w:kern w:val="0"/>
          <w:sz w:val="19"/>
          <w:szCs w:val="19"/>
          <w:lang w:eastAsia="pt-BR"/>
          <w14:ligatures w14:val="none"/>
        </w:rPr>
        <w:t>arts</w:t>
      </w:r>
      <w:proofErr w:type="spellEnd"/>
      <w:r w:rsidRPr="00AF566E">
        <w:rPr>
          <w:rFonts w:ascii="Book Antiqua" w:eastAsia="Times New Roman" w:hAnsi="Book Antiqua" w:cs="Arial"/>
          <w:b/>
          <w:bCs/>
          <w:color w:val="000000"/>
          <w:kern w:val="0"/>
          <w:sz w:val="19"/>
          <w:szCs w:val="19"/>
          <w:lang w:eastAsia="pt-BR"/>
          <w14:ligatures w14:val="none"/>
        </w:rPr>
        <w:t>. 1.349 e 1.350 do Código Civil, e a respectiva votação poderão ocorrer, em caráter emergencial, até 30 de outubro de 2020, por meios virtuais, caso em que a manifestação de vontade de cada condômino será equiparada, para todos os efeitos jurídicos, à sua assinatura presencial</w:t>
      </w:r>
      <w:r w:rsidRPr="002339C2">
        <w:rPr>
          <w:rFonts w:ascii="Book Antiqua" w:eastAsia="Times New Roman" w:hAnsi="Book Antiqua" w:cs="Arial"/>
          <w:color w:val="000000"/>
          <w:kern w:val="0"/>
          <w:sz w:val="18"/>
          <w:szCs w:val="18"/>
          <w:lang w:eastAsia="pt-BR"/>
          <w14:ligatures w14:val="none"/>
        </w:rPr>
        <w:t xml:space="preserve">. </w:t>
      </w:r>
      <w:r w:rsidR="002339C2" w:rsidRPr="002339C2">
        <w:rPr>
          <w:rFonts w:ascii="Book Antiqua" w:eastAsia="Times New Roman" w:hAnsi="Book Antiqua" w:cs="Arial"/>
          <w:b/>
          <w:bCs/>
          <w:color w:val="FF0000"/>
          <w:kern w:val="0"/>
          <w:sz w:val="16"/>
          <w:szCs w:val="16"/>
          <w:u w:val="single"/>
          <w:lang w:eastAsia="pt-BR"/>
          <w14:ligatures w14:val="none"/>
        </w:rPr>
        <w:t>(</w:t>
      </w:r>
      <w:r w:rsidR="002339C2">
        <w:rPr>
          <w:rFonts w:ascii="Book Antiqua" w:eastAsia="Times New Roman" w:hAnsi="Book Antiqua" w:cs="Arial"/>
          <w:b/>
          <w:bCs/>
          <w:color w:val="FF0000"/>
          <w:kern w:val="0"/>
          <w:sz w:val="16"/>
          <w:szCs w:val="16"/>
          <w:u w:val="single"/>
          <w:lang w:eastAsia="pt-BR"/>
          <w14:ligatures w14:val="none"/>
        </w:rPr>
        <w:t>MPPR</w:t>
      </w:r>
      <w:r w:rsidR="002339C2" w:rsidRPr="002339C2">
        <w:rPr>
          <w:rFonts w:ascii="Book Antiqua" w:eastAsia="Times New Roman" w:hAnsi="Book Antiqua" w:cs="Arial"/>
          <w:b/>
          <w:bCs/>
          <w:color w:val="FF0000"/>
          <w:kern w:val="0"/>
          <w:sz w:val="16"/>
          <w:szCs w:val="16"/>
          <w:u w:val="single"/>
          <w:lang w:eastAsia="pt-BR"/>
          <w14:ligatures w14:val="none"/>
        </w:rPr>
        <w:t>-2021)</w:t>
      </w:r>
      <w:r w:rsidR="002339C2">
        <w:rPr>
          <w:rFonts w:ascii="Book Antiqua" w:eastAsia="Times New Roman" w:hAnsi="Book Antiqua" w:cs="Arial"/>
          <w:color w:val="000000"/>
          <w:kern w:val="0"/>
          <w:sz w:val="18"/>
          <w:szCs w:val="18"/>
          <w:lang w:eastAsia="pt-BR"/>
          <w14:ligatures w14:val="none"/>
        </w:rPr>
        <w:t xml:space="preserve"> </w:t>
      </w:r>
      <w:r w:rsidRPr="002339C2">
        <w:rPr>
          <w:rFonts w:ascii="Book Antiqua" w:eastAsia="Times New Roman" w:hAnsi="Book Antiqua" w:cs="Arial"/>
          <w:b/>
          <w:bCs/>
          <w:color w:val="FF0000"/>
          <w:kern w:val="0"/>
          <w:sz w:val="16"/>
          <w:szCs w:val="16"/>
          <w:u w:val="single"/>
          <w:lang w:eastAsia="pt-BR"/>
          <w14:ligatures w14:val="none"/>
        </w:rPr>
        <w:t>(DPERR-2021)</w:t>
      </w:r>
    </w:p>
    <w:tbl>
      <w:tblPr>
        <w:tblStyle w:val="Tabelacomgrade"/>
        <w:tblW w:w="0" w:type="auto"/>
        <w:tblLook w:val="04A0" w:firstRow="1" w:lastRow="0" w:firstColumn="1" w:lastColumn="0" w:noHBand="0" w:noVBand="1"/>
      </w:tblPr>
      <w:tblGrid>
        <w:gridCol w:w="8494"/>
      </w:tblGrid>
      <w:tr w:rsidR="00AF566E" w14:paraId="44121487" w14:textId="77777777" w:rsidTr="00D91124">
        <w:tc>
          <w:tcPr>
            <w:tcW w:w="8494" w:type="dxa"/>
            <w:shd w:val="clear" w:color="auto" w:fill="CCFFFF"/>
          </w:tcPr>
          <w:p w14:paraId="69DB9FE7" w14:textId="454A68E2" w:rsidR="002339C2" w:rsidRDefault="002339C2" w:rsidP="00D91124">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highlight w:val="yellow"/>
                <w:lang w:eastAsia="pt-BR"/>
                <w14:ligatures w14:val="none"/>
              </w:rPr>
              <w:t>MPPR-2021</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339C2">
              <w:rPr>
                <w:rFonts w:ascii="Book Antiqua" w:eastAsia="Times New Roman" w:hAnsi="Book Antiqua" w:cs="Arial"/>
                <w:color w:val="000000"/>
                <w:kern w:val="0"/>
                <w:sz w:val="19"/>
                <w:szCs w:val="19"/>
                <w:lang w:eastAsia="pt-BR"/>
                <w14:ligatures w14:val="none"/>
              </w:rPr>
              <w:t>A Lei 14.010 de 14/06/2020, dispõe sobre o Regime Jurídico Emergencial e Transitório das relações jurídicas de Direito Privado (RJET) no período da pandemia do coronavírus (Covid-19). Em relação a ela, é correto dizer:</w:t>
            </w:r>
            <w:r>
              <w:t xml:space="preserve"> </w:t>
            </w:r>
            <w:r w:rsidRPr="002339C2">
              <w:rPr>
                <w:rFonts w:ascii="Book Antiqua" w:eastAsia="Times New Roman" w:hAnsi="Book Antiqua" w:cs="Arial"/>
                <w:color w:val="000000"/>
                <w:kern w:val="0"/>
                <w:sz w:val="19"/>
                <w:szCs w:val="19"/>
                <w:lang w:eastAsia="pt-BR"/>
                <w14:ligatures w14:val="none"/>
              </w:rPr>
              <w:t>A lei determinou que as assembleias condominiais e a respectiva votação possam ocorrer, em caráter emergencial, até 30/10/2020, por meios virtuais.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12,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xml:space="preserve"> Lei 14010/20.</w:t>
            </w:r>
          </w:p>
          <w:p w14:paraId="2DF8FD17" w14:textId="7B4CCB52" w:rsidR="00AF566E" w:rsidRPr="00AF566E" w:rsidRDefault="00AF566E" w:rsidP="00D91124">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AF566E">
              <w:rPr>
                <w:rFonts w:ascii="Book Antiqua" w:eastAsia="Times New Roman" w:hAnsi="Book Antiqua" w:cs="Arial"/>
                <w:b/>
                <w:bCs/>
                <w:color w:val="000000"/>
                <w:kern w:val="0"/>
                <w:sz w:val="19"/>
                <w:szCs w:val="19"/>
                <w:highlight w:val="yellow"/>
                <w:lang w:eastAsia="pt-BR"/>
                <w14:ligatures w14:val="none"/>
              </w:rPr>
              <w:t>DPERR-2021-FCC</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AF566E">
              <w:rPr>
                <w:rFonts w:ascii="Book Antiqua" w:eastAsia="Times New Roman" w:hAnsi="Book Antiqua" w:cs="Arial"/>
                <w:color w:val="000000"/>
                <w:kern w:val="0"/>
                <w:sz w:val="19"/>
                <w:szCs w:val="19"/>
                <w:lang w:eastAsia="pt-BR"/>
                <w14:ligatures w14:val="none"/>
              </w:rPr>
              <w:t>Avalie as situações sob a ótica do Regime Jurídico Emergencial e Transitório das relações jurídicas de Direito Privado no período de pandemia do coronavírus (Lei 14.010/20):</w:t>
            </w:r>
            <w:r>
              <w:rPr>
                <w:rFonts w:ascii="Book Antiqua" w:eastAsia="Times New Roman" w:hAnsi="Book Antiqua" w:cs="Arial"/>
                <w:color w:val="000000"/>
                <w:kern w:val="0"/>
                <w:sz w:val="19"/>
                <w:szCs w:val="19"/>
                <w:lang w:eastAsia="pt-BR"/>
                <w14:ligatures w14:val="none"/>
              </w:rPr>
              <w:t xml:space="preserve"> </w:t>
            </w:r>
            <w:r w:rsidRPr="00AF566E">
              <w:rPr>
                <w:rFonts w:ascii="Book Antiqua" w:eastAsia="Times New Roman" w:hAnsi="Book Antiqua" w:cs="Arial"/>
                <w:color w:val="000000"/>
                <w:kern w:val="0"/>
                <w:sz w:val="19"/>
                <w:szCs w:val="19"/>
                <w:lang w:eastAsia="pt-BR"/>
                <w14:ligatures w14:val="none"/>
              </w:rPr>
              <w:t>A possibilidade de realização de assembleia condominial para votação do orçamento de despesas por meio virtual vigorou até 30 de outubro de 2020.</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12,</w:t>
            </w:r>
            <w:r w:rsidR="002339C2">
              <w:rPr>
                <w:rFonts w:ascii="Book Antiqua" w:eastAsia="Times New Roman" w:hAnsi="Book Antiqua" w:cs="Arial"/>
                <w:b/>
                <w:bCs/>
                <w:color w:val="000000"/>
                <w:kern w:val="0"/>
                <w:sz w:val="19"/>
                <w:szCs w:val="19"/>
                <w:lang w:eastAsia="pt-BR"/>
                <w14:ligatures w14:val="none"/>
              </w:rPr>
              <w:t xml:space="preserve"> </w:t>
            </w:r>
            <w:r w:rsidR="002339C2">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xml:space="preserve"> Lei 14010/20.</w:t>
            </w:r>
          </w:p>
        </w:tc>
      </w:tr>
    </w:tbl>
    <w:p w14:paraId="3872F023" w14:textId="5C5AC9C5"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 xml:space="preserve">Parágrafo único. Não sendo possível a realização de assembleia condominial na forma prevista no </w:t>
      </w:r>
      <w:proofErr w:type="gramStart"/>
      <w:r w:rsidRPr="00AF566E">
        <w:rPr>
          <w:rFonts w:ascii="Book Antiqua" w:eastAsia="Times New Roman" w:hAnsi="Book Antiqua" w:cs="Arial"/>
          <w:color w:val="000000"/>
          <w:kern w:val="0"/>
          <w:sz w:val="19"/>
          <w:szCs w:val="19"/>
          <w:lang w:eastAsia="pt-BR"/>
          <w14:ligatures w14:val="none"/>
        </w:rPr>
        <w:t>caput ,</w:t>
      </w:r>
      <w:proofErr w:type="gramEnd"/>
      <w:r w:rsidRPr="00AF566E">
        <w:rPr>
          <w:rFonts w:ascii="Book Antiqua" w:eastAsia="Times New Roman" w:hAnsi="Book Antiqua" w:cs="Arial"/>
          <w:color w:val="000000"/>
          <w:kern w:val="0"/>
          <w:sz w:val="19"/>
          <w:szCs w:val="19"/>
          <w:lang w:eastAsia="pt-BR"/>
          <w14:ligatures w14:val="none"/>
        </w:rPr>
        <w:t xml:space="preserve"> os mandatos de síndico vencidos a partir de 20 de março de 2020 ficam prorrogados até 30 de outubro de 2020.</w:t>
      </w:r>
    </w:p>
    <w:p w14:paraId="2C733E24"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4" w:name="art13"/>
      <w:bookmarkEnd w:id="14"/>
      <w:r w:rsidRPr="00AF566E">
        <w:rPr>
          <w:rFonts w:ascii="Book Antiqua" w:eastAsia="Times New Roman" w:hAnsi="Book Antiqua" w:cs="Arial"/>
          <w:color w:val="000000"/>
          <w:kern w:val="0"/>
          <w:sz w:val="19"/>
          <w:szCs w:val="19"/>
          <w:lang w:eastAsia="pt-BR"/>
          <w14:ligatures w14:val="none"/>
        </w:rPr>
        <w:t>Art. 13. É obrigatória, sob pena de destituição do síndico, a prestação de contas regular de seus atos de administração.</w:t>
      </w:r>
    </w:p>
    <w:p w14:paraId="5C23B33C"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IX</w:t>
      </w:r>
    </w:p>
    <w:p w14:paraId="609FDB90"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DO REGIME CONCORRENCIAL</w:t>
      </w:r>
    </w:p>
    <w:p w14:paraId="6FB70A30"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5" w:name="art14"/>
      <w:bookmarkEnd w:id="15"/>
      <w:r w:rsidRPr="00AF566E">
        <w:rPr>
          <w:rFonts w:ascii="Book Antiqua" w:eastAsia="Times New Roman" w:hAnsi="Book Antiqua" w:cs="Arial"/>
          <w:color w:val="000000"/>
          <w:kern w:val="0"/>
          <w:sz w:val="19"/>
          <w:szCs w:val="19"/>
          <w:lang w:eastAsia="pt-BR"/>
          <w14:ligatures w14:val="none"/>
        </w:rPr>
        <w:t>Art. 14. Ficam sem eficácia os </w:t>
      </w:r>
      <w:hyperlink r:id="rId11" w:anchor="art36%A73xv" w:history="1">
        <w:r w:rsidRPr="00AF566E">
          <w:rPr>
            <w:rFonts w:ascii="Book Antiqua" w:eastAsia="Times New Roman" w:hAnsi="Book Antiqua" w:cs="Arial"/>
            <w:color w:val="000080"/>
            <w:kern w:val="0"/>
            <w:sz w:val="19"/>
            <w:szCs w:val="19"/>
            <w:u w:val="single"/>
            <w:lang w:eastAsia="pt-BR"/>
            <w14:ligatures w14:val="none"/>
          </w:rPr>
          <w:t>incisos XV </w:t>
        </w:r>
      </w:hyperlink>
      <w:r w:rsidRPr="00AF566E">
        <w:rPr>
          <w:rFonts w:ascii="Book Antiqua" w:eastAsia="Times New Roman" w:hAnsi="Book Antiqua" w:cs="Arial"/>
          <w:color w:val="000000"/>
          <w:kern w:val="0"/>
          <w:sz w:val="19"/>
          <w:szCs w:val="19"/>
          <w:lang w:eastAsia="pt-BR"/>
          <w14:ligatures w14:val="none"/>
        </w:rPr>
        <w:t>e </w:t>
      </w:r>
      <w:hyperlink r:id="rId12" w:anchor="art36%A73xvii" w:history="1">
        <w:r w:rsidRPr="00AF566E">
          <w:rPr>
            <w:rFonts w:ascii="Book Antiqua" w:eastAsia="Times New Roman" w:hAnsi="Book Antiqua" w:cs="Arial"/>
            <w:color w:val="000080"/>
            <w:kern w:val="0"/>
            <w:sz w:val="19"/>
            <w:szCs w:val="19"/>
            <w:u w:val="single"/>
            <w:lang w:eastAsia="pt-BR"/>
            <w14:ligatures w14:val="none"/>
          </w:rPr>
          <w:t>XVII do § 3º do art. 36 </w:t>
        </w:r>
      </w:hyperlink>
      <w:r w:rsidRPr="00AF566E">
        <w:rPr>
          <w:rFonts w:ascii="Book Antiqua" w:eastAsia="Times New Roman" w:hAnsi="Book Antiqua" w:cs="Arial"/>
          <w:color w:val="000000"/>
          <w:kern w:val="0"/>
          <w:sz w:val="19"/>
          <w:szCs w:val="19"/>
          <w:lang w:eastAsia="pt-BR"/>
          <w14:ligatures w14:val="none"/>
        </w:rPr>
        <w:t>e o </w:t>
      </w:r>
      <w:hyperlink r:id="rId13" w:anchor="art90iv" w:history="1">
        <w:r w:rsidRPr="00AF566E">
          <w:rPr>
            <w:rFonts w:ascii="Book Antiqua" w:eastAsia="Times New Roman" w:hAnsi="Book Antiqua" w:cs="Arial"/>
            <w:color w:val="000080"/>
            <w:kern w:val="0"/>
            <w:sz w:val="19"/>
            <w:szCs w:val="19"/>
            <w:u w:val="single"/>
            <w:lang w:eastAsia="pt-BR"/>
            <w14:ligatures w14:val="none"/>
          </w:rPr>
          <w:t>inciso IV do art. 90 da Lei nº 12.529, de 30 de novembro de 2011 </w:t>
        </w:r>
      </w:hyperlink>
      <w:r w:rsidRPr="00AF566E">
        <w:rPr>
          <w:rFonts w:ascii="Book Antiqua" w:eastAsia="Times New Roman" w:hAnsi="Book Antiqua" w:cs="Arial"/>
          <w:color w:val="000000"/>
          <w:kern w:val="0"/>
          <w:sz w:val="19"/>
          <w:szCs w:val="19"/>
          <w:lang w:eastAsia="pt-BR"/>
          <w14:ligatures w14:val="none"/>
        </w:rPr>
        <w:t>, em relação a todos os atos praticados e com vigência de 20 de março de 2020 até 30 de outubro de 2020 ou enquanto durar o estado de calamidade pública reconhecido pelo Decreto Legislativo nº 6, de 20 de março de 2020.</w:t>
      </w:r>
    </w:p>
    <w:p w14:paraId="5C0EBC56"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 1º Na apreciação, pelo órgão competente, das demais infrações previstas no </w:t>
      </w:r>
      <w:hyperlink r:id="rId14" w:anchor="art36" w:history="1">
        <w:r w:rsidRPr="00AF566E">
          <w:rPr>
            <w:rFonts w:ascii="Book Antiqua" w:eastAsia="Times New Roman" w:hAnsi="Book Antiqua" w:cs="Arial"/>
            <w:color w:val="000080"/>
            <w:kern w:val="0"/>
            <w:sz w:val="19"/>
            <w:szCs w:val="19"/>
            <w:u w:val="single"/>
            <w:lang w:eastAsia="pt-BR"/>
            <w14:ligatures w14:val="none"/>
          </w:rPr>
          <w:t>art. 36 da Lei nº 12.529, de 30 de novembro de 2011 </w:t>
        </w:r>
      </w:hyperlink>
      <w:r w:rsidRPr="00AF566E">
        <w:rPr>
          <w:rFonts w:ascii="Book Antiqua" w:eastAsia="Times New Roman" w:hAnsi="Book Antiqua" w:cs="Arial"/>
          <w:color w:val="000000"/>
          <w:kern w:val="0"/>
          <w:sz w:val="19"/>
          <w:szCs w:val="19"/>
          <w:lang w:eastAsia="pt-BR"/>
          <w14:ligatures w14:val="none"/>
        </w:rPr>
        <w:t xml:space="preserve">, caso praticadas a partir de 20 de março de 2020, e enquanto durar </w:t>
      </w:r>
      <w:r w:rsidRPr="00AF566E">
        <w:rPr>
          <w:rFonts w:ascii="Book Antiqua" w:eastAsia="Times New Roman" w:hAnsi="Book Antiqua" w:cs="Arial"/>
          <w:color w:val="000000"/>
          <w:kern w:val="0"/>
          <w:sz w:val="19"/>
          <w:szCs w:val="19"/>
          <w:lang w:eastAsia="pt-BR"/>
          <w14:ligatures w14:val="none"/>
        </w:rPr>
        <w:lastRenderedPageBreak/>
        <w:t>o estado de calamidade pública reconhecido pelo </w:t>
      </w:r>
      <w:hyperlink r:id="rId15" w:history="1">
        <w:r w:rsidRPr="00AF566E">
          <w:rPr>
            <w:rFonts w:ascii="Book Antiqua" w:eastAsia="Times New Roman" w:hAnsi="Book Antiqua" w:cs="Arial"/>
            <w:color w:val="000080"/>
            <w:kern w:val="0"/>
            <w:sz w:val="19"/>
            <w:szCs w:val="19"/>
            <w:u w:val="single"/>
            <w:lang w:eastAsia="pt-BR"/>
            <w14:ligatures w14:val="none"/>
          </w:rPr>
          <w:t>Decreto Legislativo nº 6, de 20 de março de 2020 </w:t>
        </w:r>
      </w:hyperlink>
      <w:r w:rsidRPr="00AF566E">
        <w:rPr>
          <w:rFonts w:ascii="Book Antiqua" w:eastAsia="Times New Roman" w:hAnsi="Book Antiqua" w:cs="Arial"/>
          <w:color w:val="000000"/>
          <w:kern w:val="0"/>
          <w:sz w:val="19"/>
          <w:szCs w:val="19"/>
          <w:lang w:eastAsia="pt-BR"/>
          <w14:ligatures w14:val="none"/>
        </w:rPr>
        <w:t>, deverão ser consideradas as circunstâncias extraordinárias decorrentes da pandemia do coronavírus (Covid-19).</w:t>
      </w:r>
    </w:p>
    <w:p w14:paraId="3C5C1479"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 2º A suspensão da aplicação do </w:t>
      </w:r>
      <w:hyperlink r:id="rId16" w:anchor="art90iv" w:history="1">
        <w:r w:rsidRPr="00AF566E">
          <w:rPr>
            <w:rFonts w:ascii="Book Antiqua" w:eastAsia="Times New Roman" w:hAnsi="Book Antiqua" w:cs="Arial"/>
            <w:color w:val="000080"/>
            <w:kern w:val="0"/>
            <w:sz w:val="19"/>
            <w:szCs w:val="19"/>
            <w:u w:val="single"/>
            <w:lang w:eastAsia="pt-BR"/>
            <w14:ligatures w14:val="none"/>
          </w:rPr>
          <w:t>inciso IV do art. 90 da Lei nº 12.529, de 30 de novembro de 2011 </w:t>
        </w:r>
      </w:hyperlink>
      <w:r w:rsidRPr="00AF566E">
        <w:rPr>
          <w:rFonts w:ascii="Book Antiqua" w:eastAsia="Times New Roman" w:hAnsi="Book Antiqua" w:cs="Arial"/>
          <w:color w:val="000000"/>
          <w:kern w:val="0"/>
          <w:sz w:val="19"/>
          <w:szCs w:val="19"/>
          <w:lang w:eastAsia="pt-BR"/>
          <w14:ligatures w14:val="none"/>
        </w:rPr>
        <w:t>, referida no caput , não afasta a possibilidade de análise posterior do ato de concentração ou de apuração de infração à ordem econômica, na forma do </w:t>
      </w:r>
      <w:hyperlink r:id="rId17" w:anchor="art36" w:history="1">
        <w:r w:rsidRPr="00AF566E">
          <w:rPr>
            <w:rFonts w:ascii="Book Antiqua" w:eastAsia="Times New Roman" w:hAnsi="Book Antiqua" w:cs="Arial"/>
            <w:color w:val="000080"/>
            <w:kern w:val="0"/>
            <w:sz w:val="19"/>
            <w:szCs w:val="19"/>
            <w:u w:val="single"/>
            <w:lang w:eastAsia="pt-BR"/>
            <w14:ligatures w14:val="none"/>
          </w:rPr>
          <w:t>art. 36 da Lei nº 12.529, de 2011 </w:t>
        </w:r>
      </w:hyperlink>
      <w:r w:rsidRPr="00AF566E">
        <w:rPr>
          <w:rFonts w:ascii="Book Antiqua" w:eastAsia="Times New Roman" w:hAnsi="Book Antiqua" w:cs="Arial"/>
          <w:color w:val="000000"/>
          <w:kern w:val="0"/>
          <w:sz w:val="19"/>
          <w:szCs w:val="19"/>
          <w:lang w:eastAsia="pt-BR"/>
          <w14:ligatures w14:val="none"/>
        </w:rPr>
        <w:t>, dos acordos que não forem necessários ao combate ou à mitigação das consequências decorrentes da pandemia do coronavírus (Covid-19).</w:t>
      </w:r>
    </w:p>
    <w:p w14:paraId="338A28A5"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X</w:t>
      </w:r>
    </w:p>
    <w:p w14:paraId="56460EBE"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DO DIREITO DE FAMÍLIA E SUCESSÕES</w:t>
      </w:r>
    </w:p>
    <w:p w14:paraId="58B06FD4" w14:textId="4360E652" w:rsidR="00AF566E" w:rsidRPr="002339C2"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8"/>
          <w:szCs w:val="18"/>
          <w:lang w:eastAsia="pt-BR"/>
          <w14:ligatures w14:val="none"/>
        </w:rPr>
      </w:pPr>
      <w:bookmarkStart w:id="16" w:name="art15"/>
      <w:bookmarkEnd w:id="16"/>
      <w:r w:rsidRPr="00AF566E">
        <w:rPr>
          <w:rFonts w:ascii="Book Antiqua" w:eastAsia="Times New Roman" w:hAnsi="Book Antiqua" w:cs="Arial"/>
          <w:b/>
          <w:bCs/>
          <w:color w:val="000000"/>
          <w:kern w:val="0"/>
          <w:sz w:val="19"/>
          <w:szCs w:val="19"/>
          <w:highlight w:val="magenta"/>
          <w:lang w:eastAsia="pt-BR"/>
          <w14:ligatures w14:val="none"/>
        </w:rPr>
        <w:t>Art. 15</w:t>
      </w:r>
      <w:r w:rsidRPr="00AF566E">
        <w:rPr>
          <w:rFonts w:ascii="Book Antiqua" w:eastAsia="Times New Roman" w:hAnsi="Book Antiqua" w:cs="Arial"/>
          <w:b/>
          <w:bCs/>
          <w:color w:val="000000"/>
          <w:kern w:val="0"/>
          <w:sz w:val="19"/>
          <w:szCs w:val="19"/>
          <w:lang w:eastAsia="pt-BR"/>
          <w14:ligatures w14:val="none"/>
        </w:rPr>
        <w:t>. Até 30 de outubro de 2020, a prisão civil por dívida alimentícia, prevista no </w:t>
      </w:r>
      <w:hyperlink r:id="rId18" w:anchor="art528%A73" w:history="1">
        <w:r w:rsidRPr="00AF566E">
          <w:rPr>
            <w:rFonts w:ascii="Book Antiqua" w:eastAsia="Times New Roman" w:hAnsi="Book Antiqua" w:cs="Arial"/>
            <w:b/>
            <w:bCs/>
            <w:color w:val="000080"/>
            <w:kern w:val="0"/>
            <w:sz w:val="19"/>
            <w:szCs w:val="19"/>
            <w:u w:val="single"/>
            <w:lang w:eastAsia="pt-BR"/>
            <w14:ligatures w14:val="none"/>
          </w:rPr>
          <w:t>art. 528, § 3º e seguintes da Lei nº 13.105, de 16 de março de 2015 </w:t>
        </w:r>
      </w:hyperlink>
      <w:r w:rsidRPr="00AF566E">
        <w:rPr>
          <w:rFonts w:ascii="Book Antiqua" w:eastAsia="Times New Roman" w:hAnsi="Book Antiqua" w:cs="Arial"/>
          <w:b/>
          <w:bCs/>
          <w:color w:val="000000"/>
          <w:kern w:val="0"/>
          <w:sz w:val="19"/>
          <w:szCs w:val="19"/>
          <w:lang w:eastAsia="pt-BR"/>
          <w14:ligatures w14:val="none"/>
        </w:rPr>
        <w:t xml:space="preserve">(Código de Processo Civil), </w:t>
      </w:r>
      <w:r w:rsidRPr="002339C2">
        <w:rPr>
          <w:rFonts w:ascii="Book Antiqua" w:eastAsia="Times New Roman" w:hAnsi="Book Antiqua" w:cs="Arial"/>
          <w:b/>
          <w:bCs/>
          <w:caps/>
          <w:color w:val="000000"/>
          <w:kern w:val="0"/>
          <w:sz w:val="19"/>
          <w:szCs w:val="19"/>
          <w:highlight w:val="green"/>
          <w:lang w:eastAsia="pt-BR"/>
          <w14:ligatures w14:val="none"/>
        </w:rPr>
        <w:t>deverá ser cumprida</w:t>
      </w:r>
      <w:r w:rsidRPr="00AF566E">
        <w:rPr>
          <w:rFonts w:ascii="Book Antiqua" w:eastAsia="Times New Roman" w:hAnsi="Book Antiqua" w:cs="Arial"/>
          <w:b/>
          <w:bCs/>
          <w:color w:val="000000"/>
          <w:kern w:val="0"/>
          <w:sz w:val="19"/>
          <w:szCs w:val="19"/>
          <w:lang w:eastAsia="pt-BR"/>
          <w14:ligatures w14:val="none"/>
        </w:rPr>
        <w:t xml:space="preserve"> </w:t>
      </w:r>
      <w:r w:rsidRPr="002339C2">
        <w:rPr>
          <w:rFonts w:ascii="Book Antiqua" w:eastAsia="Times New Roman" w:hAnsi="Book Antiqua" w:cs="Arial"/>
          <w:b/>
          <w:bCs/>
          <w:color w:val="000000"/>
          <w:kern w:val="0"/>
          <w:sz w:val="19"/>
          <w:szCs w:val="19"/>
          <w:highlight w:val="cyan"/>
          <w:lang w:eastAsia="pt-BR"/>
          <w14:ligatures w14:val="none"/>
        </w:rPr>
        <w:t>exclusivamente sob a modalidade domiciliar</w:t>
      </w:r>
      <w:r w:rsidRPr="00AF566E">
        <w:rPr>
          <w:rFonts w:ascii="Book Antiqua" w:eastAsia="Times New Roman" w:hAnsi="Book Antiqua" w:cs="Arial"/>
          <w:b/>
          <w:bCs/>
          <w:color w:val="000000"/>
          <w:kern w:val="0"/>
          <w:sz w:val="19"/>
          <w:szCs w:val="19"/>
          <w:lang w:eastAsia="pt-BR"/>
          <w14:ligatures w14:val="none"/>
        </w:rPr>
        <w:t xml:space="preserve">, </w:t>
      </w:r>
      <w:r w:rsidRPr="00AF566E">
        <w:rPr>
          <w:rFonts w:ascii="Book Antiqua" w:eastAsia="Times New Roman" w:hAnsi="Book Antiqua" w:cs="Arial"/>
          <w:b/>
          <w:bCs/>
          <w:color w:val="000000"/>
          <w:kern w:val="0"/>
          <w:sz w:val="19"/>
          <w:szCs w:val="19"/>
          <w:highlight w:val="yellow"/>
          <w:lang w:eastAsia="pt-BR"/>
          <w14:ligatures w14:val="none"/>
        </w:rPr>
        <w:t>sem prejuízo da exigibilidade das respectivas obrigações</w:t>
      </w:r>
      <w:r w:rsidRPr="002339C2">
        <w:rPr>
          <w:rFonts w:ascii="Book Antiqua" w:eastAsia="Times New Roman" w:hAnsi="Book Antiqua" w:cs="Arial"/>
          <w:color w:val="000000"/>
          <w:kern w:val="0"/>
          <w:sz w:val="18"/>
          <w:szCs w:val="18"/>
          <w:lang w:eastAsia="pt-BR"/>
          <w14:ligatures w14:val="none"/>
        </w:rPr>
        <w:t>.</w:t>
      </w:r>
      <w:r w:rsidR="002339C2">
        <w:rPr>
          <w:rFonts w:ascii="Book Antiqua" w:eastAsia="Times New Roman" w:hAnsi="Book Antiqua" w:cs="Arial"/>
          <w:color w:val="000000"/>
          <w:kern w:val="0"/>
          <w:sz w:val="18"/>
          <w:szCs w:val="18"/>
          <w:lang w:eastAsia="pt-BR"/>
          <w14:ligatures w14:val="none"/>
        </w:rPr>
        <w:t xml:space="preserve"> </w:t>
      </w:r>
      <w:r w:rsidR="002339C2" w:rsidRPr="002339C2">
        <w:rPr>
          <w:rFonts w:ascii="Book Antiqua" w:eastAsia="Times New Roman" w:hAnsi="Book Antiqua" w:cs="Arial"/>
          <w:b/>
          <w:bCs/>
          <w:color w:val="FF0000"/>
          <w:kern w:val="0"/>
          <w:sz w:val="16"/>
          <w:szCs w:val="16"/>
          <w:u w:val="single"/>
          <w:lang w:eastAsia="pt-BR"/>
          <w14:ligatures w14:val="none"/>
        </w:rPr>
        <w:t>(</w:t>
      </w:r>
      <w:r w:rsidR="002339C2">
        <w:rPr>
          <w:rFonts w:ascii="Book Antiqua" w:eastAsia="Times New Roman" w:hAnsi="Book Antiqua" w:cs="Arial"/>
          <w:b/>
          <w:bCs/>
          <w:color w:val="FF0000"/>
          <w:kern w:val="0"/>
          <w:sz w:val="16"/>
          <w:szCs w:val="16"/>
          <w:u w:val="single"/>
          <w:lang w:eastAsia="pt-BR"/>
          <w14:ligatures w14:val="none"/>
        </w:rPr>
        <w:t>MPPR</w:t>
      </w:r>
      <w:r w:rsidR="002339C2" w:rsidRPr="002339C2">
        <w:rPr>
          <w:rFonts w:ascii="Book Antiqua" w:eastAsia="Times New Roman" w:hAnsi="Book Antiqua" w:cs="Arial"/>
          <w:b/>
          <w:bCs/>
          <w:color w:val="FF0000"/>
          <w:kern w:val="0"/>
          <w:sz w:val="16"/>
          <w:szCs w:val="16"/>
          <w:u w:val="single"/>
          <w:lang w:eastAsia="pt-BR"/>
          <w14:ligatures w14:val="none"/>
        </w:rPr>
        <w:t>-2021)</w:t>
      </w:r>
      <w:r w:rsidRPr="002339C2">
        <w:rPr>
          <w:rFonts w:ascii="Book Antiqua" w:eastAsia="Times New Roman" w:hAnsi="Book Antiqua" w:cs="Arial"/>
          <w:color w:val="000000"/>
          <w:kern w:val="0"/>
          <w:sz w:val="18"/>
          <w:szCs w:val="18"/>
          <w:lang w:eastAsia="pt-BR"/>
          <w14:ligatures w14:val="none"/>
        </w:rPr>
        <w:t xml:space="preserve"> </w:t>
      </w:r>
      <w:r w:rsidRPr="002339C2">
        <w:rPr>
          <w:rFonts w:ascii="Book Antiqua" w:eastAsia="Times New Roman" w:hAnsi="Book Antiqua" w:cs="Arial"/>
          <w:b/>
          <w:bCs/>
          <w:color w:val="FF0000"/>
          <w:kern w:val="0"/>
          <w:sz w:val="16"/>
          <w:szCs w:val="16"/>
          <w:u w:val="single"/>
          <w:lang w:eastAsia="pt-BR"/>
          <w14:ligatures w14:val="none"/>
        </w:rPr>
        <w:t>(DPERR-2021)</w:t>
      </w:r>
    </w:p>
    <w:p w14:paraId="03BF0BEF"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7" w:name="art16"/>
      <w:bookmarkEnd w:id="17"/>
      <w:r w:rsidRPr="00AF566E">
        <w:rPr>
          <w:rFonts w:ascii="Book Antiqua" w:eastAsia="Times New Roman" w:hAnsi="Book Antiqua" w:cs="Arial"/>
          <w:color w:val="000000"/>
          <w:kern w:val="0"/>
          <w:sz w:val="19"/>
          <w:szCs w:val="19"/>
          <w:lang w:eastAsia="pt-BR"/>
          <w14:ligatures w14:val="none"/>
        </w:rPr>
        <w:t>Art. 16. O prazo do </w:t>
      </w:r>
      <w:hyperlink r:id="rId19" w:anchor="art611" w:history="1">
        <w:r w:rsidRPr="00AF566E">
          <w:rPr>
            <w:rFonts w:ascii="Book Antiqua" w:eastAsia="Times New Roman" w:hAnsi="Book Antiqua" w:cs="Arial"/>
            <w:color w:val="000080"/>
            <w:kern w:val="0"/>
            <w:sz w:val="19"/>
            <w:szCs w:val="19"/>
            <w:u w:val="single"/>
            <w:lang w:eastAsia="pt-BR"/>
            <w14:ligatures w14:val="none"/>
          </w:rPr>
          <w:t>art. 611 do Código de Processo Civil </w:t>
        </w:r>
      </w:hyperlink>
      <w:r w:rsidRPr="00AF566E">
        <w:rPr>
          <w:rFonts w:ascii="Book Antiqua" w:eastAsia="Times New Roman" w:hAnsi="Book Antiqua" w:cs="Arial"/>
          <w:color w:val="000000"/>
          <w:kern w:val="0"/>
          <w:sz w:val="19"/>
          <w:szCs w:val="19"/>
          <w:lang w:eastAsia="pt-BR"/>
          <w14:ligatures w14:val="none"/>
        </w:rPr>
        <w:t>para sucessões abertas a partir de 1º de fevereiro de 2020 terá seu termo inicial dilatado para 30 de outubro de 2020.</w:t>
      </w:r>
    </w:p>
    <w:p w14:paraId="53398339"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Parágrafo único. O prazo de 12 (doze) meses do </w:t>
      </w:r>
      <w:hyperlink r:id="rId20" w:anchor="art611" w:history="1">
        <w:r w:rsidRPr="00AF566E">
          <w:rPr>
            <w:rFonts w:ascii="Book Antiqua" w:eastAsia="Times New Roman" w:hAnsi="Book Antiqua" w:cs="Arial"/>
            <w:color w:val="000080"/>
            <w:kern w:val="0"/>
            <w:sz w:val="19"/>
            <w:szCs w:val="19"/>
            <w:u w:val="single"/>
            <w:lang w:eastAsia="pt-BR"/>
            <w14:ligatures w14:val="none"/>
          </w:rPr>
          <w:t>art. 611 do Código de Processo Civil </w:t>
        </w:r>
      </w:hyperlink>
      <w:r w:rsidRPr="00AF566E">
        <w:rPr>
          <w:rFonts w:ascii="Book Antiqua" w:eastAsia="Times New Roman" w:hAnsi="Book Antiqua" w:cs="Arial"/>
          <w:color w:val="000000"/>
          <w:kern w:val="0"/>
          <w:sz w:val="19"/>
          <w:szCs w:val="19"/>
          <w:lang w:eastAsia="pt-BR"/>
          <w14:ligatures w14:val="none"/>
        </w:rPr>
        <w:t>, para que seja ultimado o processo de inventário e de partilha, caso iniciado antes de 1º de fevereiro de 2020, ficará suspenso a partir da entrada em vigor desta Lei até 30 de outubro de 2020.</w:t>
      </w:r>
    </w:p>
    <w:p w14:paraId="606C12C6"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XI</w:t>
      </w:r>
    </w:p>
    <w:p w14:paraId="2D191371"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(VETADO)</w:t>
      </w:r>
    </w:p>
    <w:p w14:paraId="360BA3E7"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8" w:name="art17"/>
      <w:bookmarkEnd w:id="18"/>
      <w:r w:rsidRPr="00AF566E">
        <w:rPr>
          <w:rFonts w:ascii="Book Antiqua" w:eastAsia="Times New Roman" w:hAnsi="Book Antiqua" w:cs="Arial"/>
          <w:color w:val="000000"/>
          <w:kern w:val="0"/>
          <w:sz w:val="19"/>
          <w:szCs w:val="19"/>
          <w:lang w:eastAsia="pt-BR"/>
          <w14:ligatures w14:val="none"/>
        </w:rPr>
        <w:t>Art. 17. (VETADO).</w:t>
      </w:r>
    </w:p>
    <w:p w14:paraId="779BA430"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9" w:name="art18"/>
      <w:bookmarkEnd w:id="19"/>
      <w:r w:rsidRPr="00AF566E">
        <w:rPr>
          <w:rFonts w:ascii="Book Antiqua" w:eastAsia="Times New Roman" w:hAnsi="Book Antiqua" w:cs="Arial"/>
          <w:color w:val="000000"/>
          <w:kern w:val="0"/>
          <w:sz w:val="19"/>
          <w:szCs w:val="19"/>
          <w:lang w:eastAsia="pt-BR"/>
          <w14:ligatures w14:val="none"/>
        </w:rPr>
        <w:t>Art. 18. (VETADO).</w:t>
      </w:r>
    </w:p>
    <w:p w14:paraId="28F6CC63"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XII</w:t>
      </w:r>
    </w:p>
    <w:p w14:paraId="1F0BAAB0" w14:textId="77777777" w:rsidR="00AF566E" w:rsidRPr="00AF566E" w:rsidRDefault="00AF566E" w:rsidP="00AF566E">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DISPOSIÇÕES FINAIS</w:t>
      </w:r>
    </w:p>
    <w:p w14:paraId="1D9FE8AC"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0" w:name="art19"/>
      <w:bookmarkEnd w:id="20"/>
      <w:r w:rsidRPr="00AF566E">
        <w:rPr>
          <w:rFonts w:ascii="Book Antiqua" w:eastAsia="Times New Roman" w:hAnsi="Book Antiqua" w:cs="Arial"/>
          <w:color w:val="000000"/>
          <w:kern w:val="0"/>
          <w:sz w:val="19"/>
          <w:szCs w:val="19"/>
          <w:lang w:eastAsia="pt-BR"/>
          <w14:ligatures w14:val="none"/>
        </w:rPr>
        <w:t>Art. 19. (VETADO).</w:t>
      </w:r>
    </w:p>
    <w:p w14:paraId="1AADD3F2"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1" w:name="art20"/>
      <w:bookmarkEnd w:id="21"/>
      <w:r w:rsidRPr="00AF566E">
        <w:rPr>
          <w:rFonts w:ascii="Book Antiqua" w:eastAsia="Times New Roman" w:hAnsi="Book Antiqua" w:cs="Arial"/>
          <w:color w:val="000000"/>
          <w:kern w:val="0"/>
          <w:sz w:val="19"/>
          <w:szCs w:val="19"/>
          <w:lang w:eastAsia="pt-BR"/>
          <w14:ligatures w14:val="none"/>
        </w:rPr>
        <w:t>Art. 20. O caput do art. 65 da </w:t>
      </w:r>
      <w:hyperlink r:id="rId21" w:history="1">
        <w:r w:rsidRPr="00AF566E">
          <w:rPr>
            <w:rFonts w:ascii="Book Antiqua" w:eastAsia="Times New Roman" w:hAnsi="Book Antiqua" w:cs="Arial"/>
            <w:color w:val="000080"/>
            <w:kern w:val="0"/>
            <w:sz w:val="19"/>
            <w:szCs w:val="19"/>
            <w:u w:val="single"/>
            <w:lang w:eastAsia="pt-BR"/>
            <w14:ligatures w14:val="none"/>
          </w:rPr>
          <w:t>Lei nº 13.709, de 14 de agosto de 2018 </w:t>
        </w:r>
      </w:hyperlink>
      <w:r w:rsidRPr="00AF566E">
        <w:rPr>
          <w:rFonts w:ascii="Book Antiqua" w:eastAsia="Times New Roman" w:hAnsi="Book Antiqua" w:cs="Arial"/>
          <w:color w:val="000000"/>
          <w:kern w:val="0"/>
          <w:sz w:val="19"/>
          <w:szCs w:val="19"/>
          <w:lang w:eastAsia="pt-BR"/>
          <w14:ligatures w14:val="none"/>
        </w:rPr>
        <w:t>, passa a vigorar acrescido do seguinte inciso I-A:</w:t>
      </w:r>
    </w:p>
    <w:p w14:paraId="19A8AD01"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“Art. 65. ......................................................................................................................</w:t>
      </w:r>
    </w:p>
    <w:p w14:paraId="7701BAC7"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w:t>
      </w:r>
    </w:p>
    <w:p w14:paraId="18676612" w14:textId="77777777" w:rsidR="00AF566E" w:rsidRPr="00AF566E" w:rsidRDefault="00000000"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2" w:anchor="art65ia" w:history="1">
        <w:r w:rsidR="00AF566E" w:rsidRPr="00AF566E">
          <w:rPr>
            <w:rFonts w:ascii="Book Antiqua" w:eastAsia="Times New Roman" w:hAnsi="Book Antiqua" w:cs="Arial"/>
            <w:color w:val="000080"/>
            <w:kern w:val="0"/>
            <w:sz w:val="19"/>
            <w:szCs w:val="19"/>
            <w:u w:val="single"/>
            <w:lang w:eastAsia="pt-BR"/>
            <w14:ligatures w14:val="none"/>
          </w:rPr>
          <w:t>I-A – </w:t>
        </w:r>
      </w:hyperlink>
      <w:r w:rsidR="00AF566E" w:rsidRPr="00AF566E">
        <w:rPr>
          <w:rFonts w:ascii="Book Antiqua" w:eastAsia="Times New Roman" w:hAnsi="Book Antiqua" w:cs="Arial"/>
          <w:color w:val="000000"/>
          <w:kern w:val="0"/>
          <w:sz w:val="19"/>
          <w:szCs w:val="19"/>
          <w:lang w:eastAsia="pt-BR"/>
          <w14:ligatures w14:val="none"/>
        </w:rPr>
        <w:t xml:space="preserve">dia 1º de agosto de 2021, quanto aos </w:t>
      </w:r>
      <w:proofErr w:type="spellStart"/>
      <w:r w:rsidR="00AF566E" w:rsidRPr="00AF566E">
        <w:rPr>
          <w:rFonts w:ascii="Book Antiqua" w:eastAsia="Times New Roman" w:hAnsi="Book Antiqua" w:cs="Arial"/>
          <w:color w:val="000000"/>
          <w:kern w:val="0"/>
          <w:sz w:val="19"/>
          <w:szCs w:val="19"/>
          <w:lang w:eastAsia="pt-BR"/>
          <w14:ligatures w14:val="none"/>
        </w:rPr>
        <w:t>arts</w:t>
      </w:r>
      <w:proofErr w:type="spellEnd"/>
      <w:r w:rsidR="00AF566E" w:rsidRPr="00AF566E">
        <w:rPr>
          <w:rFonts w:ascii="Book Antiqua" w:eastAsia="Times New Roman" w:hAnsi="Book Antiqua" w:cs="Arial"/>
          <w:color w:val="000000"/>
          <w:kern w:val="0"/>
          <w:sz w:val="19"/>
          <w:szCs w:val="19"/>
          <w:lang w:eastAsia="pt-BR"/>
          <w14:ligatures w14:val="none"/>
        </w:rPr>
        <w:t>. 52, 53 e 54;</w:t>
      </w:r>
    </w:p>
    <w:p w14:paraId="51C38B18"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 (NR)</w:t>
      </w:r>
    </w:p>
    <w:p w14:paraId="55BBE74B"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2" w:name="art21"/>
      <w:bookmarkEnd w:id="22"/>
      <w:r w:rsidRPr="00AF566E">
        <w:rPr>
          <w:rFonts w:ascii="Book Antiqua" w:eastAsia="Times New Roman" w:hAnsi="Book Antiqua" w:cs="Arial"/>
          <w:color w:val="000000"/>
          <w:kern w:val="0"/>
          <w:sz w:val="19"/>
          <w:szCs w:val="19"/>
          <w:lang w:eastAsia="pt-BR"/>
          <w14:ligatures w14:val="none"/>
        </w:rPr>
        <w:t>Art. 21. Esta Lei entra em vigor na data de sua publicação.</w:t>
      </w:r>
    </w:p>
    <w:p w14:paraId="24A4FE57"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proofErr w:type="gramStart"/>
      <w:r w:rsidRPr="00AF566E">
        <w:rPr>
          <w:rFonts w:ascii="Book Antiqua" w:eastAsia="Times New Roman" w:hAnsi="Book Antiqua" w:cs="Arial"/>
          <w:color w:val="000000"/>
          <w:kern w:val="0"/>
          <w:sz w:val="19"/>
          <w:szCs w:val="19"/>
          <w:lang w:eastAsia="pt-BR"/>
          <w14:ligatures w14:val="none"/>
        </w:rPr>
        <w:t>Brasília,  10</w:t>
      </w:r>
      <w:proofErr w:type="gramEnd"/>
      <w:r w:rsidRPr="00AF566E">
        <w:rPr>
          <w:rFonts w:ascii="Book Antiqua" w:eastAsia="Times New Roman" w:hAnsi="Book Antiqua" w:cs="Arial"/>
          <w:color w:val="000000"/>
          <w:kern w:val="0"/>
          <w:sz w:val="19"/>
          <w:szCs w:val="19"/>
          <w:lang w:eastAsia="pt-BR"/>
          <w14:ligatures w14:val="none"/>
        </w:rPr>
        <w:t>  de  junho  de 2020; 199º da Independência e 132º da República.</w:t>
      </w:r>
    </w:p>
    <w:p w14:paraId="68BE1E21" w14:textId="77777777" w:rsidR="00AF566E" w:rsidRPr="00AF566E" w:rsidRDefault="00AF566E" w:rsidP="00AF566E">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AF566E">
        <w:rPr>
          <w:rFonts w:ascii="Book Antiqua" w:eastAsia="Times New Roman" w:hAnsi="Book Antiqua" w:cs="Arial"/>
          <w:caps/>
          <w:color w:val="000000"/>
          <w:kern w:val="0"/>
          <w:sz w:val="19"/>
          <w:szCs w:val="19"/>
          <w:lang w:eastAsia="pt-BR"/>
          <w14:ligatures w14:val="none"/>
        </w:rPr>
        <w:t>JAIR MESSIAS BOLSONARO</w:t>
      </w:r>
    </w:p>
    <w:p w14:paraId="6096BF9D" w14:textId="77777777" w:rsidR="00AF566E" w:rsidRPr="00AF566E" w:rsidRDefault="00AF566E" w:rsidP="00AF566E">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AF566E">
        <w:rPr>
          <w:rFonts w:ascii="Book Antiqua" w:eastAsia="Times New Roman" w:hAnsi="Book Antiqua" w:cs="Arial"/>
          <w:i/>
          <w:iCs/>
          <w:color w:val="000000"/>
          <w:kern w:val="0"/>
          <w:sz w:val="19"/>
          <w:szCs w:val="19"/>
          <w:lang w:eastAsia="pt-BR"/>
          <w14:ligatures w14:val="none"/>
        </w:rPr>
        <w:lastRenderedPageBreak/>
        <w:t>André Luiz de Almeida Mendonça</w:t>
      </w:r>
    </w:p>
    <w:p w14:paraId="1241CBE5" w14:textId="77777777" w:rsidR="00AF566E" w:rsidRPr="00AF566E" w:rsidRDefault="00AF566E" w:rsidP="00AF566E">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AF566E">
        <w:rPr>
          <w:rFonts w:ascii="Book Antiqua" w:eastAsia="Times New Roman" w:hAnsi="Book Antiqua" w:cs="Arial"/>
          <w:i/>
          <w:iCs/>
          <w:color w:val="000000"/>
          <w:kern w:val="0"/>
          <w:sz w:val="19"/>
          <w:szCs w:val="19"/>
          <w:lang w:eastAsia="pt-BR"/>
          <w14:ligatures w14:val="none"/>
        </w:rPr>
        <w:t>Paulo Guedes</w:t>
      </w:r>
    </w:p>
    <w:p w14:paraId="0137CC37" w14:textId="77777777" w:rsidR="00AF566E" w:rsidRPr="00AF566E" w:rsidRDefault="00AF566E" w:rsidP="00AF566E">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proofErr w:type="spellStart"/>
      <w:r w:rsidRPr="00AF566E">
        <w:rPr>
          <w:rFonts w:ascii="Book Antiqua" w:eastAsia="Times New Roman" w:hAnsi="Book Antiqua" w:cs="Arial"/>
          <w:i/>
          <w:iCs/>
          <w:color w:val="000000"/>
          <w:kern w:val="0"/>
          <w:sz w:val="19"/>
          <w:szCs w:val="19"/>
          <w:lang w:eastAsia="pt-BR"/>
          <w14:ligatures w14:val="none"/>
        </w:rPr>
        <w:t>Tarcisio</w:t>
      </w:r>
      <w:proofErr w:type="spellEnd"/>
      <w:r w:rsidRPr="00AF566E">
        <w:rPr>
          <w:rFonts w:ascii="Book Antiqua" w:eastAsia="Times New Roman" w:hAnsi="Book Antiqua" w:cs="Arial"/>
          <w:i/>
          <w:iCs/>
          <w:color w:val="000000"/>
          <w:kern w:val="0"/>
          <w:sz w:val="19"/>
          <w:szCs w:val="19"/>
          <w:lang w:eastAsia="pt-BR"/>
          <w14:ligatures w14:val="none"/>
        </w:rPr>
        <w:t xml:space="preserve"> Gomes de Freitas</w:t>
      </w:r>
    </w:p>
    <w:p w14:paraId="54A1FA0D" w14:textId="77777777" w:rsidR="00AF566E" w:rsidRPr="00AF566E" w:rsidRDefault="00AF566E" w:rsidP="00AF566E">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AF566E">
        <w:rPr>
          <w:rFonts w:ascii="Book Antiqua" w:eastAsia="Times New Roman" w:hAnsi="Book Antiqua" w:cs="Arial"/>
          <w:i/>
          <w:iCs/>
          <w:color w:val="000000"/>
          <w:kern w:val="0"/>
          <w:sz w:val="19"/>
          <w:szCs w:val="19"/>
          <w:lang w:eastAsia="pt-BR"/>
          <w14:ligatures w14:val="none"/>
        </w:rPr>
        <w:t>Walter Souza Braga Netto</w:t>
      </w:r>
    </w:p>
    <w:p w14:paraId="650294AC" w14:textId="77777777" w:rsidR="00AF566E" w:rsidRPr="00AF566E" w:rsidRDefault="00AF566E" w:rsidP="00AF566E">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AF566E">
        <w:rPr>
          <w:rFonts w:ascii="Book Antiqua" w:eastAsia="Times New Roman" w:hAnsi="Book Antiqua" w:cs="Arial"/>
          <w:i/>
          <w:iCs/>
          <w:color w:val="000000"/>
          <w:kern w:val="0"/>
          <w:sz w:val="19"/>
          <w:szCs w:val="19"/>
          <w:lang w:eastAsia="pt-BR"/>
          <w14:ligatures w14:val="none"/>
        </w:rPr>
        <w:t>José Levi Mello do Amaral Júnior</w:t>
      </w:r>
    </w:p>
    <w:p w14:paraId="2F0E6885" w14:textId="77777777" w:rsidR="00AF566E" w:rsidRPr="00AF566E" w:rsidRDefault="00AF566E" w:rsidP="00AF566E">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AF566E">
        <w:rPr>
          <w:rFonts w:ascii="Book Antiqua" w:eastAsia="Times New Roman" w:hAnsi="Book Antiqua" w:cs="Arial"/>
          <w:color w:val="FF0000"/>
          <w:kern w:val="0"/>
          <w:sz w:val="19"/>
          <w:szCs w:val="19"/>
          <w:lang w:eastAsia="pt-BR"/>
          <w14:ligatures w14:val="none"/>
        </w:rPr>
        <w:t>Este texto não substitui o publicado no DOU de 12.6.2020.</w:t>
      </w:r>
    </w:p>
    <w:p w14:paraId="56CC8E95" w14:textId="77777777" w:rsidR="00AF566E" w:rsidRPr="00AF566E" w:rsidRDefault="00AF566E" w:rsidP="00AF566E">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p>
    <w:bookmarkStart w:id="23" w:name="derrubadaveto"/>
    <w:bookmarkEnd w:id="23"/>
    <w:p w14:paraId="0086C2EC" w14:textId="77777777" w:rsidR="00AF566E" w:rsidRPr="00AF566E" w:rsidRDefault="00AF566E" w:rsidP="00AF566E">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r w:rsidRPr="00AF566E">
        <w:rPr>
          <w:rFonts w:ascii="Book Antiqua" w:eastAsia="Times New Roman" w:hAnsi="Book Antiqua" w:cs="Arial"/>
          <w:b/>
          <w:bCs/>
          <w:caps/>
          <w:color w:val="000080"/>
          <w:kern w:val="0"/>
          <w:sz w:val="19"/>
          <w:szCs w:val="19"/>
          <w:lang w:eastAsia="pt-BR"/>
          <w14:ligatures w14:val="none"/>
        </w:rPr>
        <w:fldChar w:fldCharType="begin"/>
      </w:r>
      <w:r w:rsidRPr="00AF566E">
        <w:rPr>
          <w:rFonts w:ascii="Book Antiqua" w:eastAsia="Times New Roman" w:hAnsi="Book Antiqua" w:cs="Arial"/>
          <w:b/>
          <w:bCs/>
          <w:caps/>
          <w:color w:val="000080"/>
          <w:kern w:val="0"/>
          <w:sz w:val="19"/>
          <w:szCs w:val="19"/>
          <w:lang w:eastAsia="pt-BR"/>
          <w14:ligatures w14:val="none"/>
        </w:rPr>
        <w:instrText xml:space="preserve"> HYPERLINK "http://legislacao.planalto.gov.br/legisla/legislacao.nsf/Viw_Identificacao/lei%2014.010-2020?OpenDocument" </w:instrText>
      </w:r>
      <w:r w:rsidRPr="00AF566E">
        <w:rPr>
          <w:rFonts w:ascii="Book Antiqua" w:eastAsia="Times New Roman" w:hAnsi="Book Antiqua" w:cs="Arial"/>
          <w:b/>
          <w:bCs/>
          <w:caps/>
          <w:color w:val="000080"/>
          <w:kern w:val="0"/>
          <w:sz w:val="19"/>
          <w:szCs w:val="19"/>
          <w:lang w:eastAsia="pt-BR"/>
          <w14:ligatures w14:val="none"/>
        </w:rPr>
      </w:r>
      <w:r w:rsidRPr="00AF566E">
        <w:rPr>
          <w:rFonts w:ascii="Book Antiqua" w:eastAsia="Times New Roman" w:hAnsi="Book Antiqua" w:cs="Arial"/>
          <w:b/>
          <w:bCs/>
          <w:caps/>
          <w:color w:val="000080"/>
          <w:kern w:val="0"/>
          <w:sz w:val="19"/>
          <w:szCs w:val="19"/>
          <w:lang w:eastAsia="pt-BR"/>
          <w14:ligatures w14:val="none"/>
        </w:rPr>
        <w:fldChar w:fldCharType="separate"/>
      </w:r>
      <w:r w:rsidRPr="00AF566E">
        <w:rPr>
          <w:rFonts w:ascii="Book Antiqua" w:eastAsia="Times New Roman" w:hAnsi="Book Antiqua" w:cs="Arial"/>
          <w:b/>
          <w:bCs/>
          <w:caps/>
          <w:color w:val="000080"/>
          <w:kern w:val="0"/>
          <w:sz w:val="19"/>
          <w:szCs w:val="19"/>
          <w:u w:val="single"/>
          <w:lang w:eastAsia="pt-BR"/>
          <w14:ligatures w14:val="none"/>
        </w:rPr>
        <w:t>LEI Nº 14.010, DE 10 DE JUNHO DE 2020</w:t>
      </w:r>
      <w:r w:rsidRPr="00AF566E">
        <w:rPr>
          <w:rFonts w:ascii="Book Antiqua" w:eastAsia="Times New Roman" w:hAnsi="Book Antiqua" w:cs="Arial"/>
          <w:b/>
          <w:bCs/>
          <w:caps/>
          <w:color w:val="000080"/>
          <w:kern w:val="0"/>
          <w:sz w:val="19"/>
          <w:szCs w:val="19"/>
          <w:lang w:eastAsia="pt-BR"/>
          <w14:ligatures w14:val="none"/>
        </w:rPr>
        <w:fldChar w:fldCharType="end"/>
      </w:r>
    </w:p>
    <w:p w14:paraId="4CF09493" w14:textId="77777777" w:rsidR="00AF566E" w:rsidRPr="00AF566E" w:rsidRDefault="00AF566E" w:rsidP="00AF566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br/>
      </w:r>
    </w:p>
    <w:p w14:paraId="4480B820" w14:textId="77777777" w:rsidR="00AF566E" w:rsidRPr="00AF566E" w:rsidRDefault="00AF566E" w:rsidP="00AF566E">
      <w:pPr>
        <w:spacing w:before="100" w:beforeAutospacing="1" w:after="100" w:afterAutospacing="1" w:line="240" w:lineRule="auto"/>
        <w:jc w:val="both"/>
        <w:rPr>
          <w:rFonts w:ascii="Book Antiqua" w:eastAsia="Times New Roman" w:hAnsi="Book Antiqua" w:cs="Arial"/>
          <w:color w:val="800000"/>
          <w:kern w:val="0"/>
          <w:sz w:val="19"/>
          <w:szCs w:val="19"/>
          <w:lang w:eastAsia="pt-BR"/>
          <w14:ligatures w14:val="none"/>
        </w:rPr>
      </w:pPr>
      <w:r w:rsidRPr="00AF566E">
        <w:rPr>
          <w:rFonts w:ascii="Book Antiqua" w:eastAsia="Times New Roman" w:hAnsi="Book Antiqua" w:cs="Arial"/>
          <w:color w:val="800000"/>
          <w:kern w:val="0"/>
          <w:sz w:val="19"/>
          <w:szCs w:val="19"/>
          <w:lang w:eastAsia="pt-BR"/>
          <w14:ligatures w14:val="none"/>
        </w:rPr>
        <w:t>Dispõe sobre o Regime Jurídico Emergencial e Transitório das relações jurídicas de Direito Privado (RJET) no período da pandemia do coronavírus (Covid-19</w:t>
      </w:r>
      <w:proofErr w:type="gramStart"/>
      <w:r w:rsidRPr="00AF566E">
        <w:rPr>
          <w:rFonts w:ascii="Book Antiqua" w:eastAsia="Times New Roman" w:hAnsi="Book Antiqua" w:cs="Arial"/>
          <w:color w:val="800000"/>
          <w:kern w:val="0"/>
          <w:sz w:val="19"/>
          <w:szCs w:val="19"/>
          <w:lang w:eastAsia="pt-BR"/>
          <w14:ligatures w14:val="none"/>
        </w:rPr>
        <w:t>) .</w:t>
      </w:r>
      <w:proofErr w:type="gramEnd"/>
    </w:p>
    <w:p w14:paraId="19247812"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Faço saber que o Congresso Nacional rejeitou, em parte, o veto parcial aposto ao Projeto de Lei nº 1.179, de 2020, transformado na Lei nº 14.010, de 10 de junho de 2020, e eu, Davi Alcolumbre, Presidente do Senado Federal, nos termos do § 7º do art. 66 da Constituição Federal, promulgo o seguinte:</w:t>
      </w:r>
    </w:p>
    <w:p w14:paraId="271F1937"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III</w:t>
      </w:r>
    </w:p>
    <w:p w14:paraId="6F17222D"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DAS PESSOAS JURÍDICAS DE DIREITO PRIVADO</w:t>
      </w:r>
    </w:p>
    <w:p w14:paraId="65871853" w14:textId="77777777" w:rsidR="00AF566E" w:rsidRPr="00AF566E" w:rsidRDefault="00000000"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3" w:anchor="art4.0" w:history="1">
        <w:r w:rsidR="00AF566E" w:rsidRPr="00AF566E">
          <w:rPr>
            <w:rFonts w:ascii="Book Antiqua" w:eastAsia="Times New Roman" w:hAnsi="Book Antiqua" w:cs="Arial"/>
            <w:color w:val="000080"/>
            <w:kern w:val="0"/>
            <w:sz w:val="19"/>
            <w:szCs w:val="19"/>
            <w:u w:val="single"/>
            <w:lang w:eastAsia="pt-BR"/>
            <w14:ligatures w14:val="none"/>
          </w:rPr>
          <w:t>' Art. 4º </w:t>
        </w:r>
      </w:hyperlink>
      <w:r w:rsidR="00AF566E" w:rsidRPr="00AF566E">
        <w:rPr>
          <w:rFonts w:ascii="Book Antiqua" w:eastAsia="Times New Roman" w:hAnsi="Book Antiqua" w:cs="Arial"/>
          <w:color w:val="000000"/>
          <w:kern w:val="0"/>
          <w:sz w:val="19"/>
          <w:szCs w:val="19"/>
          <w:lang w:eastAsia="pt-BR"/>
          <w14:ligatures w14:val="none"/>
        </w:rPr>
        <w:t>As pessoas jurídicas de direito privado referidas nos incisos I a III do art. 44 do Código Civil deverão observar as restrições à realização de reuniões e assembleias presenciais até 30 de outubro de 2020, durante a vigência desta Lei, observadas as determinações sanitárias das autoridades locais.'"</w:t>
      </w:r>
    </w:p>
    <w:p w14:paraId="0ABD0B49"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IV</w:t>
      </w:r>
    </w:p>
    <w:p w14:paraId="1166AEE9"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DA RESILIÇÃO, RESOLUÇÃO E REVISÃO DOS CONTRATOS</w:t>
      </w:r>
    </w:p>
    <w:p w14:paraId="2B50EDBF" w14:textId="77777777" w:rsidR="00AF566E" w:rsidRPr="00AF566E" w:rsidRDefault="00000000"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4" w:anchor="art6.0" w:history="1">
        <w:r w:rsidR="00AF566E" w:rsidRPr="00AF566E">
          <w:rPr>
            <w:rFonts w:ascii="Book Antiqua" w:eastAsia="Times New Roman" w:hAnsi="Book Antiqua" w:cs="Arial"/>
            <w:color w:val="000080"/>
            <w:kern w:val="0"/>
            <w:sz w:val="19"/>
            <w:szCs w:val="19"/>
            <w:u w:val="single"/>
            <w:lang w:eastAsia="pt-BR"/>
            <w14:ligatures w14:val="none"/>
          </w:rPr>
          <w:t>Art. 6º </w:t>
        </w:r>
      </w:hyperlink>
      <w:r w:rsidR="00AF566E" w:rsidRPr="00AF566E">
        <w:rPr>
          <w:rFonts w:ascii="Book Antiqua" w:eastAsia="Times New Roman" w:hAnsi="Book Antiqua" w:cs="Arial"/>
          <w:color w:val="000000"/>
          <w:kern w:val="0"/>
          <w:sz w:val="19"/>
          <w:szCs w:val="19"/>
          <w:lang w:eastAsia="pt-BR"/>
          <w14:ligatures w14:val="none"/>
        </w:rPr>
        <w:t>As consequências decorrentes da pandemia do coronavírus (Covid-19) nas execuções dos contratos, incluídas as previstas no art. 393 do Código Civil, não terão efeitos jurídicos retroativos.</w:t>
      </w:r>
    </w:p>
    <w:p w14:paraId="5ABD8EB4" w14:textId="77777777" w:rsidR="00AF566E" w:rsidRPr="00AF566E" w:rsidRDefault="00000000"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5" w:anchor="art7.0" w:history="1">
        <w:r w:rsidR="00AF566E" w:rsidRPr="00AF566E">
          <w:rPr>
            <w:rFonts w:ascii="Book Antiqua" w:eastAsia="Times New Roman" w:hAnsi="Book Antiqua" w:cs="Arial"/>
            <w:color w:val="000080"/>
            <w:kern w:val="0"/>
            <w:sz w:val="19"/>
            <w:szCs w:val="19"/>
            <w:u w:val="single"/>
            <w:lang w:eastAsia="pt-BR"/>
            <w14:ligatures w14:val="none"/>
          </w:rPr>
          <w:t>Art. 7º </w:t>
        </w:r>
      </w:hyperlink>
      <w:r w:rsidR="00AF566E" w:rsidRPr="00AF566E">
        <w:rPr>
          <w:rFonts w:ascii="Book Antiqua" w:eastAsia="Times New Roman" w:hAnsi="Book Antiqua" w:cs="Arial"/>
          <w:color w:val="000000"/>
          <w:kern w:val="0"/>
          <w:sz w:val="19"/>
          <w:szCs w:val="19"/>
          <w:lang w:eastAsia="pt-BR"/>
          <w14:ligatures w14:val="none"/>
        </w:rPr>
        <w:t xml:space="preserve">Não se consideram fatos imprevisíveis, para os fins exclusivos dos </w:t>
      </w:r>
      <w:proofErr w:type="spellStart"/>
      <w:r w:rsidR="00AF566E" w:rsidRPr="00AF566E">
        <w:rPr>
          <w:rFonts w:ascii="Book Antiqua" w:eastAsia="Times New Roman" w:hAnsi="Book Antiqua" w:cs="Arial"/>
          <w:color w:val="000000"/>
          <w:kern w:val="0"/>
          <w:sz w:val="19"/>
          <w:szCs w:val="19"/>
          <w:lang w:eastAsia="pt-BR"/>
          <w14:ligatures w14:val="none"/>
        </w:rPr>
        <w:t>arts</w:t>
      </w:r>
      <w:proofErr w:type="spellEnd"/>
      <w:r w:rsidR="00AF566E" w:rsidRPr="00AF566E">
        <w:rPr>
          <w:rFonts w:ascii="Book Antiqua" w:eastAsia="Times New Roman" w:hAnsi="Book Antiqua" w:cs="Arial"/>
          <w:color w:val="000000"/>
          <w:kern w:val="0"/>
          <w:sz w:val="19"/>
          <w:szCs w:val="19"/>
          <w:lang w:eastAsia="pt-BR"/>
          <w14:ligatures w14:val="none"/>
        </w:rPr>
        <w:t>. 317, 478, 479 e 480 do Código Civil, o aumento da inflação, a variação cambial, a desvalorização ou a substituição do padrão monetário.</w:t>
      </w:r>
    </w:p>
    <w:p w14:paraId="351872D2"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 1º As regras sobre revisão contratual previstas na Lei nº 8.078, de 11 de setembro de 1990 (Código de Defesa do Consumidor), e na Lei nº 8.245, de 18 de outubro de 1991, não se sujeitam ao disposto no caput deste artigo.</w:t>
      </w:r>
    </w:p>
    <w:p w14:paraId="05F9BD8E"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 2º Para os fins desta Lei, as normas de proteção ao consumidor não se aplicam às relações contratuais subordinadas ao Código Civil, incluindo aquelas estabelecidas exclusivamente entre empresas ou empresários."</w:t>
      </w:r>
    </w:p>
    <w:p w14:paraId="58E9AD34"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"CAPÍTULO VI</w:t>
      </w:r>
    </w:p>
    <w:p w14:paraId="17A67BB6"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lastRenderedPageBreak/>
        <w:t>DAS LOCAÇÕES DE IMÓVEIS URBANOS</w:t>
      </w:r>
    </w:p>
    <w:p w14:paraId="68E4A418" w14:textId="77777777" w:rsidR="00AF566E" w:rsidRPr="00AF566E" w:rsidRDefault="00000000"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6" w:anchor="art9.0" w:history="1">
        <w:r w:rsidR="00AF566E" w:rsidRPr="00AF566E">
          <w:rPr>
            <w:rFonts w:ascii="Book Antiqua" w:eastAsia="Times New Roman" w:hAnsi="Book Antiqua" w:cs="Arial"/>
            <w:color w:val="000080"/>
            <w:kern w:val="0"/>
            <w:sz w:val="19"/>
            <w:szCs w:val="19"/>
            <w:u w:val="single"/>
            <w:lang w:eastAsia="pt-BR"/>
            <w14:ligatures w14:val="none"/>
          </w:rPr>
          <w:t>'Art. 9º </w:t>
        </w:r>
      </w:hyperlink>
      <w:r w:rsidR="00AF566E" w:rsidRPr="00AF566E">
        <w:rPr>
          <w:rFonts w:ascii="Book Antiqua" w:eastAsia="Times New Roman" w:hAnsi="Book Antiqua" w:cs="Arial"/>
          <w:color w:val="000000"/>
          <w:kern w:val="0"/>
          <w:sz w:val="19"/>
          <w:szCs w:val="19"/>
          <w:lang w:eastAsia="pt-BR"/>
          <w14:ligatures w14:val="none"/>
        </w:rPr>
        <w:t>Não se concederá liminar para desocupação de imóvel urbano nas ações de despejo, a que se refere o art. 59, § 1º, incisos I, II, V, VII, VIII e IX, da Lei nº 8.245, de 18 de outubro de 1991, até 30 de outubro de 2020.</w:t>
      </w:r>
    </w:p>
    <w:p w14:paraId="267828A7"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w:t>
      </w:r>
    </w:p>
    <w:p w14:paraId="6ABC52C7"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Senado Federal, em 8 de setembro de 2020.</w:t>
      </w:r>
    </w:p>
    <w:p w14:paraId="55C07A67" w14:textId="77777777" w:rsidR="00AF566E" w:rsidRPr="00AF566E" w:rsidRDefault="00AF566E" w:rsidP="00AF566E">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AF566E">
        <w:rPr>
          <w:rFonts w:ascii="Book Antiqua" w:eastAsia="Times New Roman" w:hAnsi="Book Antiqua" w:cs="Arial"/>
          <w:caps/>
          <w:color w:val="000000"/>
          <w:kern w:val="0"/>
          <w:sz w:val="19"/>
          <w:szCs w:val="19"/>
          <w:lang w:eastAsia="pt-BR"/>
          <w14:ligatures w14:val="none"/>
        </w:rPr>
        <w:t>SENADOR DAVI ALCOLUMBRE</w:t>
      </w:r>
    </w:p>
    <w:p w14:paraId="5424A0A7" w14:textId="77777777" w:rsidR="00AF566E" w:rsidRPr="00AF566E" w:rsidRDefault="00AF566E" w:rsidP="00AF566E">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F566E">
        <w:rPr>
          <w:rFonts w:ascii="Book Antiqua" w:eastAsia="Times New Roman" w:hAnsi="Book Antiqua" w:cs="Arial"/>
          <w:color w:val="000000"/>
          <w:kern w:val="0"/>
          <w:sz w:val="19"/>
          <w:szCs w:val="19"/>
          <w:lang w:eastAsia="pt-BR"/>
          <w14:ligatures w14:val="none"/>
        </w:rPr>
        <w:t>Presidente do Senado Federal</w:t>
      </w:r>
    </w:p>
    <w:p w14:paraId="1C33FB57" w14:textId="77777777" w:rsidR="00AF566E" w:rsidRPr="00AF566E" w:rsidRDefault="00AF566E" w:rsidP="00AF566E">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AF566E">
        <w:rPr>
          <w:rFonts w:ascii="Book Antiqua" w:eastAsia="Times New Roman" w:hAnsi="Book Antiqua" w:cs="Arial"/>
          <w:color w:val="FF0000"/>
          <w:kern w:val="0"/>
          <w:sz w:val="19"/>
          <w:szCs w:val="19"/>
          <w:lang w:eastAsia="pt-BR"/>
          <w14:ligatures w14:val="none"/>
        </w:rPr>
        <w:t>Este texto não substitui o publicado no DOU de 8.9.2020 - Edição extra</w:t>
      </w:r>
    </w:p>
    <w:p w14:paraId="113DF5D3" w14:textId="77777777" w:rsidR="00AF566E" w:rsidRPr="00AF566E" w:rsidRDefault="00AF566E" w:rsidP="00AF566E">
      <w:pPr>
        <w:spacing w:before="100" w:beforeAutospacing="1" w:after="100" w:afterAutospacing="1" w:line="240" w:lineRule="auto"/>
        <w:ind w:firstLine="480"/>
        <w:jc w:val="center"/>
        <w:rPr>
          <w:rFonts w:ascii="Book Antiqua" w:eastAsia="Times New Roman" w:hAnsi="Book Antiqua" w:cs="Arial"/>
          <w:color w:val="FF0000"/>
          <w:kern w:val="0"/>
          <w:sz w:val="19"/>
          <w:szCs w:val="19"/>
          <w:lang w:eastAsia="pt-BR"/>
          <w14:ligatures w14:val="none"/>
        </w:rPr>
      </w:pPr>
      <w:r w:rsidRPr="00AF566E">
        <w:rPr>
          <w:rFonts w:ascii="Book Antiqua" w:eastAsia="Times New Roman" w:hAnsi="Book Antiqua" w:cs="Arial"/>
          <w:color w:val="FF0000"/>
          <w:kern w:val="0"/>
          <w:sz w:val="19"/>
          <w:szCs w:val="19"/>
          <w:lang w:eastAsia="pt-BR"/>
          <w14:ligatures w14:val="none"/>
        </w:rPr>
        <w:t>*</w:t>
      </w:r>
    </w:p>
    <w:p w14:paraId="4074AD59" w14:textId="77777777" w:rsidR="00BB7FE6" w:rsidRPr="00AF566E" w:rsidRDefault="00BB7FE6" w:rsidP="00AF566E">
      <w:pPr>
        <w:spacing w:before="100" w:beforeAutospacing="1" w:after="100" w:afterAutospacing="1" w:line="240" w:lineRule="auto"/>
        <w:rPr>
          <w:rFonts w:ascii="Book Antiqua" w:hAnsi="Book Antiqua"/>
          <w:sz w:val="19"/>
          <w:szCs w:val="19"/>
        </w:rPr>
      </w:pPr>
    </w:p>
    <w:sectPr w:rsidR="00BB7FE6" w:rsidRPr="00AF566E" w:rsidSect="00B502FB">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D13DD4"/>
    <w:multiLevelType w:val="multilevel"/>
    <w:tmpl w:val="776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00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759"/>
    <w:rsid w:val="000B5E0B"/>
    <w:rsid w:val="00113B4C"/>
    <w:rsid w:val="002339C2"/>
    <w:rsid w:val="002A2759"/>
    <w:rsid w:val="005B2D51"/>
    <w:rsid w:val="007B1EC9"/>
    <w:rsid w:val="00971648"/>
    <w:rsid w:val="00AF566E"/>
    <w:rsid w:val="00B502FB"/>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CD9D0"/>
  <w15:chartTrackingRefBased/>
  <w15:docId w15:val="{9A930531-A6A9-459D-B974-C11B990D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F5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6876859">
      <w:bodyDiv w:val="1"/>
      <w:marLeft w:val="0"/>
      <w:marRight w:val="0"/>
      <w:marTop w:val="0"/>
      <w:marBottom w:val="0"/>
      <w:divBdr>
        <w:top w:val="none" w:sz="0" w:space="0" w:color="auto"/>
        <w:left w:val="none" w:sz="0" w:space="0" w:color="auto"/>
        <w:bottom w:val="none" w:sz="0" w:space="0" w:color="auto"/>
        <w:right w:val="none" w:sz="0" w:space="0" w:color="auto"/>
      </w:divBdr>
      <w:divsChild>
        <w:div w:id="131679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928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0/lei/L14010.htm" TargetMode="External"/><Relationship Id="rId13" Type="http://schemas.openxmlformats.org/officeDocument/2006/relationships/hyperlink" Target="http://www.planalto.gov.br/ccivil_03/_Ato2011-2014/2011/Lei/L12529.htm" TargetMode="External"/><Relationship Id="rId18" Type="http://schemas.openxmlformats.org/officeDocument/2006/relationships/hyperlink" Target="http://www.planalto.gov.br/ccivil_03/_Ato2015-2018/2015/Lei/L13105.htm" TargetMode="External"/><Relationship Id="rId26" Type="http://schemas.openxmlformats.org/officeDocument/2006/relationships/hyperlink" Target="http://www.planalto.gov.br/ccivil_03/_ato2019-2022/2020/lei/L14010.htm" TargetMode="External"/><Relationship Id="rId3" Type="http://schemas.openxmlformats.org/officeDocument/2006/relationships/settings" Target="settings.xml"/><Relationship Id="rId21" Type="http://schemas.openxmlformats.org/officeDocument/2006/relationships/hyperlink" Target="http://www.planalto.gov.br/ccivil_03/_Ato2015-2018/2018/Lei/L13709.htm" TargetMode="External"/><Relationship Id="rId7" Type="http://schemas.openxmlformats.org/officeDocument/2006/relationships/hyperlink" Target="http://www.planalto.gov.br/ccivil_03/_ato2019-2022/2020/lei/L14010.htm" TargetMode="External"/><Relationship Id="rId12" Type="http://schemas.openxmlformats.org/officeDocument/2006/relationships/hyperlink" Target="http://www.planalto.gov.br/ccivil_03/_Ato2011-2014/2011/Lei/L12529.htm" TargetMode="External"/><Relationship Id="rId17" Type="http://schemas.openxmlformats.org/officeDocument/2006/relationships/hyperlink" Target="http://www.planalto.gov.br/ccivil_03/_Ato2011-2014/2011/Lei/L12529.htm" TargetMode="External"/><Relationship Id="rId25" Type="http://schemas.openxmlformats.org/officeDocument/2006/relationships/hyperlink" Target="http://www.planalto.gov.br/ccivil_03/_ato2019-2022/2020/lei/L14010.htm" TargetMode="External"/><Relationship Id="rId2" Type="http://schemas.openxmlformats.org/officeDocument/2006/relationships/styles" Target="styles.xml"/><Relationship Id="rId16" Type="http://schemas.openxmlformats.org/officeDocument/2006/relationships/hyperlink" Target="http://www.planalto.gov.br/ccivil_03/_Ato2011-2014/2011/Lei/L12529.htm" TargetMode="External"/><Relationship Id="rId20" Type="http://schemas.openxmlformats.org/officeDocument/2006/relationships/hyperlink" Target="http://www.planalto.gov.br/ccivil_03/_Ato2015-2018/2015/Lei/L13105.htm" TargetMode="External"/><Relationship Id="rId1" Type="http://schemas.openxmlformats.org/officeDocument/2006/relationships/numbering" Target="numbering.xml"/><Relationship Id="rId6" Type="http://schemas.openxmlformats.org/officeDocument/2006/relationships/hyperlink" Target="http://www.planalto.gov.br/ccivil_03/LEIS/2002/L10406.htm" TargetMode="External"/><Relationship Id="rId11" Type="http://schemas.openxmlformats.org/officeDocument/2006/relationships/hyperlink" Target="http://www.planalto.gov.br/ccivil_03/_Ato2011-2014/2011/Lei/L12529.htm" TargetMode="External"/><Relationship Id="rId24" Type="http://schemas.openxmlformats.org/officeDocument/2006/relationships/hyperlink" Target="http://www.planalto.gov.br/ccivil_03/_ato2019-2022/2020/lei/L14010.htm" TargetMode="External"/><Relationship Id="rId5" Type="http://schemas.openxmlformats.org/officeDocument/2006/relationships/hyperlink" Target="http://legislacao.planalto.gov.br/legisla/legislacao.nsf/Viw_Identificacao/lei%2014.010-2020?OpenDocument" TargetMode="External"/><Relationship Id="rId15" Type="http://schemas.openxmlformats.org/officeDocument/2006/relationships/hyperlink" Target="http://www.planalto.gov.br/ccivil_03/Portaria/DLG6-2020.htm" TargetMode="External"/><Relationship Id="rId23" Type="http://schemas.openxmlformats.org/officeDocument/2006/relationships/hyperlink" Target="http://www.planalto.gov.br/ccivil_03/_ato2019-2022/2020/lei/L14010.htm" TargetMode="External"/><Relationship Id="rId28" Type="http://schemas.openxmlformats.org/officeDocument/2006/relationships/theme" Target="theme/theme1.xml"/><Relationship Id="rId10" Type="http://schemas.openxmlformats.org/officeDocument/2006/relationships/hyperlink" Target="http://www.planalto.gov.br/ccivil_03/_ato2019-2022/2020/lei/L14010.htm" TargetMode="External"/><Relationship Id="rId19" Type="http://schemas.openxmlformats.org/officeDocument/2006/relationships/hyperlink" Target="http://www.planalto.gov.br/ccivil_03/_Ato2015-2018/2015/Lei/L13105.htm" TargetMode="External"/><Relationship Id="rId4" Type="http://schemas.openxmlformats.org/officeDocument/2006/relationships/webSettings" Target="webSettings.xml"/><Relationship Id="rId9" Type="http://schemas.openxmlformats.org/officeDocument/2006/relationships/hyperlink" Target="http://www.planalto.gov.br/ccivil_03/_ato2019-2022/2020/lei/L14010.htm" TargetMode="External"/><Relationship Id="rId14" Type="http://schemas.openxmlformats.org/officeDocument/2006/relationships/hyperlink" Target="http://www.planalto.gov.br/ccivil_03/_Ato2011-2014/2011/Lei/L12529.htm" TargetMode="External"/><Relationship Id="rId22" Type="http://schemas.openxmlformats.org/officeDocument/2006/relationships/hyperlink" Target="http://www.planalto.gov.br/ccivil_03/_Ato2015-2018/2018/Lei/L13709.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2467</Words>
  <Characters>13326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2023-04-20T18:22:00Z</dcterms:created>
  <dcterms:modified xsi:type="dcterms:W3CDTF">2024-09-09T20:08:00Z</dcterms:modified>
</cp:coreProperties>
</file>