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602B" w14:textId="3D15758A" w:rsidR="00984CA1" w:rsidRPr="00984CA1" w:rsidRDefault="00984CA1" w:rsidP="006F65D0">
      <w:pPr>
        <w:spacing w:before="100" w:beforeAutospacing="1" w:after="100" w:afterAutospacing="1" w:line="240" w:lineRule="auto"/>
        <w:jc w:val="center"/>
        <w:rPr>
          <w:rFonts w:ascii="Book Antiqua" w:hAnsi="Book Antiqua" w:cs="Times New Roman"/>
          <w:b/>
          <w:bCs/>
          <w:color w:val="FF0000"/>
          <w:sz w:val="19"/>
          <w:szCs w:val="19"/>
        </w:rPr>
      </w:pPr>
      <w:r w:rsidRPr="00984CA1">
        <w:rPr>
          <w:rFonts w:ascii="Book Antiqua" w:hAnsi="Book Antiqua" w:cs="Times New Roman"/>
          <w:b/>
          <w:bCs/>
          <w:color w:val="FF0000"/>
          <w:sz w:val="19"/>
          <w:szCs w:val="19"/>
        </w:rPr>
        <w:t xml:space="preserve">(Atualização em </w:t>
      </w:r>
      <w:r w:rsidR="00623683">
        <w:rPr>
          <w:rFonts w:ascii="Book Antiqua" w:hAnsi="Book Antiqua" w:cs="Times New Roman"/>
          <w:b/>
          <w:bCs/>
          <w:color w:val="FF0000"/>
          <w:sz w:val="19"/>
          <w:szCs w:val="19"/>
        </w:rPr>
        <w:t>07/08</w:t>
      </w:r>
      <w:r w:rsidRPr="00984CA1">
        <w:rPr>
          <w:rFonts w:ascii="Book Antiqua" w:hAnsi="Book Antiqua" w:cs="Times New Roman"/>
          <w:b/>
          <w:bCs/>
          <w:color w:val="FF0000"/>
          <w:sz w:val="19"/>
          <w:szCs w:val="19"/>
        </w:rPr>
        <w:t>/2021: questões de concurso)</w:t>
      </w:r>
    </w:p>
    <w:p w14:paraId="3C7D9F78" w14:textId="4B05F22C" w:rsidR="006F65D0" w:rsidRPr="00C410FB" w:rsidRDefault="00244ED5" w:rsidP="006F65D0">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006F65D0" w:rsidRPr="00C410FB">
          <w:rPr>
            <w:rFonts w:ascii="Book Antiqua" w:eastAsia="Times New Roman" w:hAnsi="Book Antiqua" w:cs="Times New Roman"/>
            <w:b/>
            <w:bCs/>
            <w:color w:val="000080"/>
            <w:sz w:val="19"/>
            <w:szCs w:val="19"/>
            <w:u w:val="single"/>
            <w:lang w:eastAsia="pt-BR"/>
          </w:rPr>
          <w:t>DECRETO Nº 5.296 DE 2 DE DEZEMBRO DE 2004.</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F65D0" w:rsidRPr="00C410FB" w14:paraId="67FB9D8B" w14:textId="77777777" w:rsidTr="00C410FB">
        <w:trPr>
          <w:trHeight w:val="300"/>
          <w:tblCellSpacing w:w="0" w:type="dxa"/>
        </w:trPr>
        <w:tc>
          <w:tcPr>
            <w:tcW w:w="1167" w:type="pct"/>
            <w:vAlign w:val="center"/>
            <w:hideMark/>
          </w:tcPr>
          <w:p w14:paraId="3A5BA04D" w14:textId="77777777" w:rsidR="006F65D0" w:rsidRPr="00C410FB" w:rsidRDefault="006F65D0" w:rsidP="006F65D0">
            <w:pPr>
              <w:spacing w:after="0" w:line="240" w:lineRule="auto"/>
              <w:rPr>
                <w:rFonts w:ascii="Book Antiqua" w:eastAsia="Times New Roman" w:hAnsi="Book Antiqua" w:cs="Times New Roman"/>
                <w:sz w:val="18"/>
                <w:szCs w:val="18"/>
                <w:lang w:eastAsia="pt-BR"/>
              </w:rPr>
            </w:pPr>
          </w:p>
        </w:tc>
        <w:tc>
          <w:tcPr>
            <w:tcW w:w="3833" w:type="pct"/>
            <w:vAlign w:val="center"/>
            <w:hideMark/>
          </w:tcPr>
          <w:p w14:paraId="68217E6A"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8"/>
                <w:szCs w:val="18"/>
                <w:lang w:eastAsia="pt-BR"/>
              </w:rPr>
            </w:pPr>
            <w:r w:rsidRPr="00C410FB">
              <w:rPr>
                <w:rFonts w:ascii="Book Antiqua" w:eastAsia="Times New Roman" w:hAnsi="Book Antiqua" w:cs="Times New Roman"/>
                <w:color w:val="800000"/>
                <w:sz w:val="18"/>
                <w:szCs w:val="18"/>
                <w:lang w:eastAsia="pt-BR"/>
              </w:rPr>
              <w:t>Regulamenta as Leis n</w:t>
            </w:r>
            <w:r w:rsidRPr="00C410FB">
              <w:rPr>
                <w:rFonts w:ascii="Book Antiqua" w:eastAsia="Times New Roman" w:hAnsi="Book Antiqua" w:cs="Times New Roman"/>
                <w:color w:val="800000"/>
                <w:sz w:val="18"/>
                <w:szCs w:val="18"/>
                <w:u w:val="single"/>
                <w:vertAlign w:val="superscript"/>
                <w:lang w:eastAsia="pt-BR"/>
              </w:rPr>
              <w:t>o</w:t>
            </w:r>
            <w:r w:rsidRPr="00C410FB">
              <w:rPr>
                <w:rFonts w:ascii="Book Antiqua" w:eastAsia="Times New Roman" w:hAnsi="Book Antiqua" w:cs="Times New Roman"/>
                <w:color w:val="800000"/>
                <w:sz w:val="18"/>
                <w:szCs w:val="18"/>
                <w:vertAlign w:val="superscript"/>
                <w:lang w:eastAsia="pt-BR"/>
              </w:rPr>
              <w:t>s</w:t>
            </w:r>
            <w:r w:rsidRPr="00C410FB">
              <w:rPr>
                <w:rFonts w:ascii="Book Antiqua" w:eastAsia="Times New Roman" w:hAnsi="Book Antiqua" w:cs="Times New Roman"/>
                <w:color w:val="800000"/>
                <w:sz w:val="18"/>
                <w:szCs w:val="18"/>
                <w:lang w:eastAsia="pt-BR"/>
              </w:rPr>
              <w:t xml:space="preserve"> 10.048, de 8 de novembro de 2000, que dá prioridade de atendimento às pessoas que especifica, e 10.098, de 19 de dezembro de 2000, que estabelece normas gerais e critérios básicos para a promoção da acessibilidade das pessoas portadoras de deficiência ou com mobilidade reduzida, e dá outras providências.</w:t>
            </w:r>
          </w:p>
        </w:tc>
      </w:tr>
    </w:tbl>
    <w:p w14:paraId="3AD7D30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b/>
          <w:bCs/>
          <w:sz w:val="19"/>
          <w:szCs w:val="19"/>
          <w:lang w:eastAsia="pt-BR"/>
        </w:rPr>
        <w:t>O PRESIDENTE DA REPÚBLICA</w:t>
      </w:r>
      <w:r w:rsidRPr="00C410FB">
        <w:rPr>
          <w:rFonts w:ascii="Book Antiqua" w:eastAsia="Times New Roman" w:hAnsi="Book Antiqua" w:cs="Times New Roman"/>
          <w:sz w:val="19"/>
          <w:szCs w:val="19"/>
          <w:lang w:eastAsia="pt-BR"/>
        </w:rPr>
        <w:t>, no uso da atribuição que lhe confere o art. 84, inciso IV, da Constituição, e tendo em vista o disposto nas Leis n</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vertAlign w:val="superscript"/>
          <w:lang w:eastAsia="pt-BR"/>
        </w:rPr>
        <w:t>s</w:t>
      </w:r>
      <w:r w:rsidRPr="00C410FB">
        <w:rPr>
          <w:rFonts w:ascii="Book Antiqua" w:eastAsia="Times New Roman" w:hAnsi="Book Antiqua" w:cs="Times New Roman"/>
          <w:sz w:val="19"/>
          <w:szCs w:val="19"/>
          <w:lang w:eastAsia="pt-BR"/>
        </w:rPr>
        <w:t xml:space="preserve"> 10.048, de 8 de novembro de 2000, e 10.098, de 19 de dezembro de 2000,</w:t>
      </w:r>
    </w:p>
    <w:p w14:paraId="04C8C011" w14:textId="77777777" w:rsidR="006F65D0" w:rsidRPr="00C410FB" w:rsidRDefault="006F65D0" w:rsidP="006F65D0">
      <w:pPr>
        <w:spacing w:before="100" w:beforeAutospacing="1" w:after="100" w:afterAutospacing="1" w:line="240" w:lineRule="auto"/>
        <w:ind w:firstLine="567"/>
        <w:rPr>
          <w:rFonts w:ascii="Book Antiqua" w:eastAsia="Times New Roman" w:hAnsi="Book Antiqua" w:cs="Times New Roman"/>
          <w:sz w:val="19"/>
          <w:szCs w:val="19"/>
          <w:lang w:eastAsia="pt-BR"/>
        </w:rPr>
      </w:pPr>
      <w:r w:rsidRPr="00C410FB">
        <w:rPr>
          <w:rFonts w:ascii="Book Antiqua" w:eastAsia="Times New Roman" w:hAnsi="Book Antiqua" w:cs="Times New Roman"/>
          <w:b/>
          <w:bCs/>
          <w:sz w:val="19"/>
          <w:szCs w:val="19"/>
          <w:lang w:eastAsia="pt-BR"/>
        </w:rPr>
        <w:t>DECRETA</w:t>
      </w:r>
      <w:r w:rsidRPr="00C410FB">
        <w:rPr>
          <w:rFonts w:ascii="Book Antiqua" w:eastAsia="Times New Roman" w:hAnsi="Book Antiqua" w:cs="Times New Roman"/>
          <w:sz w:val="19"/>
          <w:szCs w:val="19"/>
          <w:lang w:eastAsia="pt-BR"/>
        </w:rPr>
        <w:t>:</w:t>
      </w:r>
    </w:p>
    <w:p w14:paraId="247D08F2"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I</w:t>
      </w:r>
    </w:p>
    <w:p w14:paraId="6BCCEB4D"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DISPOSIÇÕES PRELIMINARES</w:t>
      </w:r>
    </w:p>
    <w:p w14:paraId="2F6BDC7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Este Decreto regulamenta as </w:t>
      </w:r>
      <w:hyperlink r:id="rId7" w:history="1">
        <w:r w:rsidRPr="00C410FB">
          <w:rPr>
            <w:rFonts w:ascii="Book Antiqua" w:eastAsia="Times New Roman" w:hAnsi="Book Antiqua" w:cs="Times New Roman"/>
            <w:color w:val="0000FF"/>
            <w:sz w:val="19"/>
            <w:szCs w:val="19"/>
            <w:u w:val="single"/>
            <w:lang w:eastAsia="pt-BR"/>
          </w:rPr>
          <w:t>Leis n</w:t>
        </w:r>
        <w:r w:rsidRPr="00C410FB">
          <w:rPr>
            <w:rFonts w:ascii="Book Antiqua" w:eastAsia="Times New Roman" w:hAnsi="Book Antiqua" w:cs="Times New Roman"/>
            <w:color w:val="0000FF"/>
            <w:sz w:val="19"/>
            <w:szCs w:val="19"/>
            <w:u w:val="single"/>
            <w:vertAlign w:val="superscript"/>
            <w:lang w:eastAsia="pt-BR"/>
          </w:rPr>
          <w:t>os</w:t>
        </w:r>
        <w:r w:rsidRPr="00C410FB">
          <w:rPr>
            <w:rFonts w:ascii="Book Antiqua" w:eastAsia="Times New Roman" w:hAnsi="Book Antiqua" w:cs="Times New Roman"/>
            <w:color w:val="0000FF"/>
            <w:sz w:val="19"/>
            <w:szCs w:val="19"/>
            <w:u w:val="single"/>
            <w:lang w:eastAsia="pt-BR"/>
          </w:rPr>
          <w:t xml:space="preserve"> 10.048, de 8 de novembro de 2000</w:t>
        </w:r>
      </w:hyperlink>
      <w:r w:rsidRPr="00C410FB">
        <w:rPr>
          <w:rFonts w:ascii="Book Antiqua" w:eastAsia="Times New Roman" w:hAnsi="Book Antiqua" w:cs="Times New Roman"/>
          <w:sz w:val="19"/>
          <w:szCs w:val="19"/>
          <w:lang w:eastAsia="pt-BR"/>
        </w:rPr>
        <w:t xml:space="preserve">, e </w:t>
      </w:r>
      <w:hyperlink r:id="rId8" w:history="1">
        <w:r w:rsidRPr="00C410FB">
          <w:rPr>
            <w:rFonts w:ascii="Book Antiqua" w:eastAsia="Times New Roman" w:hAnsi="Book Antiqua" w:cs="Times New Roman"/>
            <w:color w:val="0000FF"/>
            <w:sz w:val="19"/>
            <w:szCs w:val="19"/>
            <w:u w:val="single"/>
            <w:lang w:eastAsia="pt-BR"/>
          </w:rPr>
          <w:t>10.098, de 19 de dezembro de 2000</w:t>
        </w:r>
      </w:hyperlink>
      <w:r w:rsidRPr="00C410FB">
        <w:rPr>
          <w:rFonts w:ascii="Book Antiqua" w:eastAsia="Times New Roman" w:hAnsi="Book Antiqua" w:cs="Times New Roman"/>
          <w:sz w:val="19"/>
          <w:szCs w:val="19"/>
          <w:lang w:eastAsia="pt-BR"/>
        </w:rPr>
        <w:t>.</w:t>
      </w:r>
    </w:p>
    <w:p w14:paraId="57F48B1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Ficam sujeitos ao cumprimento das disposições deste Decreto, sempre que houver interação com a matéria nele regulamentada:</w:t>
      </w:r>
    </w:p>
    <w:p w14:paraId="5B8868A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 aprovação de projeto de natureza arquitetônica e urbanística, de comunicação e informação, de transporte coletivo, bem como a execução de qualquer tipo de obra, quando tenham destinação pública ou coletiva;</w:t>
      </w:r>
    </w:p>
    <w:p w14:paraId="1B2418E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a outorga de concessão, permissão, autorização ou habilitação de qualquer natureza;</w:t>
      </w:r>
    </w:p>
    <w:p w14:paraId="52DC12E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a aprovação de financiamento de projetos com a utilização de recursos públicos, dentre eles os projetos de natureza arquitetônica e urbanística, os tocantes à comunicação e informação e os referentes ao transporte coletivo, por meio de qualquer instrumento, tais como convênio, acordo, ajuste, contrato ou similar; e</w:t>
      </w:r>
    </w:p>
    <w:p w14:paraId="5FCE48F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a concessão de aval da União na obtenção de empréstimos e financiamentos internacionais por entes públicos ou privados.</w:t>
      </w:r>
    </w:p>
    <w:p w14:paraId="07D1064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Serão aplicadas sanções administrativas, cíveis e penais cabíveis, previstas em lei, quando não forem observadas as normas deste Decreto.</w:t>
      </w:r>
    </w:p>
    <w:p w14:paraId="78EB1C5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 Conselho Nacional dos Direitos da Pessoa Portadora de Deficiência, os Conselhos Estaduais, Municipais e do Distrito Federal, e as organizações representativas de pessoas portadoras de deficiência terão legitimidade para acompanhar e sugerir medidas para o cumprimento dos requisitos estabelecidos neste Decreto.</w:t>
      </w:r>
    </w:p>
    <w:p w14:paraId="6EAA7504"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II</w:t>
      </w:r>
    </w:p>
    <w:p w14:paraId="1C5804C7"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DO ATENDIMENTO PRIORITÁRIO</w:t>
      </w:r>
    </w:p>
    <w:p w14:paraId="77BC168A" w14:textId="590257A9"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C410FB">
        <w:rPr>
          <w:rFonts w:ascii="Book Antiqua" w:eastAsia="Times New Roman" w:hAnsi="Book Antiqua" w:cs="Times New Roman"/>
          <w:b/>
          <w:bCs/>
          <w:sz w:val="19"/>
          <w:szCs w:val="19"/>
          <w:highlight w:val="magenta"/>
          <w:lang w:eastAsia="pt-BR"/>
        </w:rPr>
        <w:t>Art. 5</w:t>
      </w:r>
      <w:r w:rsidRPr="00C410FB">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Os </w:t>
      </w:r>
      <w:r w:rsidRPr="00C410FB">
        <w:rPr>
          <w:rFonts w:ascii="Book Antiqua" w:eastAsia="Times New Roman" w:hAnsi="Book Antiqua" w:cs="Times New Roman"/>
          <w:b/>
          <w:bCs/>
          <w:sz w:val="19"/>
          <w:szCs w:val="19"/>
          <w:highlight w:val="cyan"/>
          <w:lang w:eastAsia="pt-BR"/>
        </w:rPr>
        <w:t>órgãos</w:t>
      </w:r>
      <w:r w:rsidRPr="00C410FB">
        <w:rPr>
          <w:rFonts w:ascii="Book Antiqua" w:eastAsia="Times New Roman" w:hAnsi="Book Antiqua" w:cs="Times New Roman"/>
          <w:sz w:val="19"/>
          <w:szCs w:val="19"/>
          <w:lang w:eastAsia="pt-BR"/>
        </w:rPr>
        <w:t xml:space="preserve"> da </w:t>
      </w:r>
      <w:r w:rsidRPr="00C410FB">
        <w:rPr>
          <w:rFonts w:ascii="Book Antiqua" w:eastAsia="Times New Roman" w:hAnsi="Book Antiqua" w:cs="Times New Roman"/>
          <w:b/>
          <w:bCs/>
          <w:sz w:val="19"/>
          <w:szCs w:val="19"/>
          <w:highlight w:val="yellow"/>
          <w:lang w:eastAsia="pt-BR"/>
        </w:rPr>
        <w:t>administração pública direta</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bCs/>
          <w:sz w:val="19"/>
          <w:szCs w:val="19"/>
          <w:highlight w:val="yellow"/>
          <w:lang w:eastAsia="pt-BR"/>
        </w:rPr>
        <w:t>indireta</w:t>
      </w:r>
      <w:r w:rsidRPr="00C410FB">
        <w:rPr>
          <w:rFonts w:ascii="Book Antiqua" w:eastAsia="Times New Roman" w:hAnsi="Book Antiqua" w:cs="Times New Roman"/>
          <w:sz w:val="19"/>
          <w:szCs w:val="19"/>
          <w:lang w:eastAsia="pt-BR"/>
        </w:rPr>
        <w:t xml:space="preserve"> e </w:t>
      </w:r>
      <w:r w:rsidRPr="00C410FB">
        <w:rPr>
          <w:rFonts w:ascii="Book Antiqua" w:eastAsia="Times New Roman" w:hAnsi="Book Antiqua" w:cs="Times New Roman"/>
          <w:b/>
          <w:bCs/>
          <w:sz w:val="19"/>
          <w:szCs w:val="19"/>
          <w:highlight w:val="yellow"/>
          <w:lang w:eastAsia="pt-BR"/>
        </w:rPr>
        <w:t>fundacional</w:t>
      </w:r>
      <w:r w:rsidRPr="00C410FB">
        <w:rPr>
          <w:rFonts w:ascii="Book Antiqua" w:eastAsia="Times New Roman" w:hAnsi="Book Antiqua" w:cs="Times New Roman"/>
          <w:sz w:val="19"/>
          <w:szCs w:val="19"/>
          <w:lang w:eastAsia="pt-BR"/>
        </w:rPr>
        <w:t xml:space="preserve">, as </w:t>
      </w:r>
      <w:r w:rsidRPr="00C410FB">
        <w:rPr>
          <w:rFonts w:ascii="Book Antiqua" w:eastAsia="Times New Roman" w:hAnsi="Book Antiqua" w:cs="Times New Roman"/>
          <w:b/>
          <w:bCs/>
          <w:sz w:val="19"/>
          <w:szCs w:val="19"/>
          <w:highlight w:val="yellow"/>
          <w:lang w:eastAsia="pt-BR"/>
        </w:rPr>
        <w:t>empresas prestadoras de serviços públicos</w:t>
      </w:r>
      <w:r w:rsidRPr="00C410FB">
        <w:rPr>
          <w:rFonts w:ascii="Book Antiqua" w:eastAsia="Times New Roman" w:hAnsi="Book Antiqua" w:cs="Times New Roman"/>
          <w:sz w:val="19"/>
          <w:szCs w:val="19"/>
          <w:lang w:eastAsia="pt-BR"/>
        </w:rPr>
        <w:t xml:space="preserve"> e as </w:t>
      </w:r>
      <w:r w:rsidRPr="00C410FB">
        <w:rPr>
          <w:rFonts w:ascii="Book Antiqua" w:eastAsia="Times New Roman" w:hAnsi="Book Antiqua" w:cs="Times New Roman"/>
          <w:b/>
          <w:bCs/>
          <w:sz w:val="19"/>
          <w:szCs w:val="19"/>
          <w:highlight w:val="yellow"/>
          <w:lang w:eastAsia="pt-BR"/>
        </w:rPr>
        <w:t>instituições financeiras</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bCs/>
          <w:caps/>
          <w:sz w:val="19"/>
          <w:szCs w:val="19"/>
          <w:highlight w:val="green"/>
          <w:lang w:eastAsia="pt-BR"/>
        </w:rPr>
        <w:t>deverão dispensar</w:t>
      </w:r>
      <w:r w:rsidRPr="00C410FB">
        <w:rPr>
          <w:rFonts w:ascii="Book Antiqua" w:eastAsia="Times New Roman" w:hAnsi="Book Antiqua" w:cs="Times New Roman"/>
          <w:b/>
          <w:bCs/>
          <w:caps/>
          <w:sz w:val="19"/>
          <w:szCs w:val="19"/>
          <w:lang w:eastAsia="pt-BR"/>
        </w:rPr>
        <w:t xml:space="preserve"> </w:t>
      </w:r>
      <w:r w:rsidRPr="00C410FB">
        <w:rPr>
          <w:rFonts w:ascii="Book Antiqua" w:eastAsia="Times New Roman" w:hAnsi="Book Antiqua" w:cs="Times New Roman"/>
          <w:b/>
          <w:bCs/>
          <w:caps/>
          <w:sz w:val="19"/>
          <w:szCs w:val="19"/>
          <w:shd w:val="clear" w:color="auto" w:fill="F7CAAC" w:themeFill="accent2" w:themeFillTint="66"/>
          <w:lang w:eastAsia="pt-BR"/>
        </w:rPr>
        <w:t>atendimento prioritário</w:t>
      </w:r>
      <w:r w:rsidRPr="00C410FB">
        <w:rPr>
          <w:rFonts w:ascii="Book Antiqua" w:eastAsia="Times New Roman" w:hAnsi="Book Antiqua" w:cs="Times New Roman"/>
          <w:sz w:val="19"/>
          <w:szCs w:val="19"/>
          <w:lang w:eastAsia="pt-BR"/>
        </w:rPr>
        <w:t xml:space="preserve"> às </w:t>
      </w:r>
      <w:r w:rsidRPr="00C410FB">
        <w:rPr>
          <w:rFonts w:ascii="Book Antiqua" w:eastAsia="Times New Roman" w:hAnsi="Book Antiqua" w:cs="Times New Roman"/>
          <w:b/>
          <w:bCs/>
          <w:sz w:val="19"/>
          <w:szCs w:val="19"/>
          <w:highlight w:val="cyan"/>
          <w:lang w:eastAsia="pt-BR"/>
        </w:rPr>
        <w:t>pessoas portadoras de deficiência</w:t>
      </w:r>
      <w:r w:rsidRPr="00C410FB">
        <w:rPr>
          <w:rFonts w:ascii="Book Antiqua" w:eastAsia="Times New Roman" w:hAnsi="Book Antiqua" w:cs="Times New Roman"/>
          <w:b/>
          <w:bCs/>
          <w:sz w:val="19"/>
          <w:szCs w:val="19"/>
          <w:lang w:eastAsia="pt-BR"/>
        </w:rPr>
        <w:t xml:space="preserve"> </w:t>
      </w:r>
      <w:r w:rsidRPr="00C410FB">
        <w:rPr>
          <w:rFonts w:ascii="Book Antiqua" w:eastAsia="Times New Roman" w:hAnsi="Book Antiqua" w:cs="Times New Roman"/>
          <w:sz w:val="19"/>
          <w:szCs w:val="19"/>
          <w:lang w:eastAsia="pt-BR"/>
        </w:rPr>
        <w:t xml:space="preserve">ou </w:t>
      </w:r>
      <w:r w:rsidRPr="00C410FB">
        <w:rPr>
          <w:rFonts w:ascii="Book Antiqua" w:eastAsia="Times New Roman" w:hAnsi="Book Antiqua" w:cs="Times New Roman"/>
          <w:b/>
          <w:bCs/>
          <w:sz w:val="19"/>
          <w:szCs w:val="19"/>
          <w:highlight w:val="cyan"/>
          <w:lang w:eastAsia="pt-BR"/>
        </w:rPr>
        <w:t>com mobilidade reduzida</w:t>
      </w:r>
      <w:r w:rsidRPr="00C410FB">
        <w:rPr>
          <w:rFonts w:ascii="Book Antiqua" w:eastAsia="Times New Roman" w:hAnsi="Book Antiqua" w:cs="Times New Roman"/>
          <w:sz w:val="19"/>
          <w:szCs w:val="19"/>
          <w:lang w:eastAsia="pt-BR"/>
        </w:rPr>
        <w:t>.</w:t>
      </w:r>
      <w:r w:rsidR="00264716">
        <w:rPr>
          <w:rFonts w:ascii="Book Antiqua" w:eastAsia="Times New Roman" w:hAnsi="Book Antiqua" w:cs="Times New Roman"/>
          <w:sz w:val="19"/>
          <w:szCs w:val="19"/>
          <w:lang w:eastAsia="pt-BR"/>
        </w:rPr>
        <w:t xml:space="preserve"> </w:t>
      </w:r>
      <w:r w:rsidR="00264716" w:rsidRPr="00440CA8">
        <w:rPr>
          <w:rFonts w:ascii="Book Antiqua" w:eastAsia="Times New Roman" w:hAnsi="Book Antiqua" w:cs="Times New Roman"/>
          <w:b/>
          <w:bCs/>
          <w:color w:val="FF0000"/>
          <w:sz w:val="19"/>
          <w:szCs w:val="19"/>
          <w:u w:val="single"/>
          <w:lang w:eastAsia="pt-BR"/>
        </w:rPr>
        <w:t>(</w:t>
      </w:r>
      <w:r w:rsidR="00264716">
        <w:rPr>
          <w:rFonts w:ascii="Book Antiqua" w:eastAsia="Times New Roman" w:hAnsi="Book Antiqua" w:cs="Times New Roman"/>
          <w:b/>
          <w:bCs/>
          <w:color w:val="FF0000"/>
          <w:sz w:val="19"/>
          <w:szCs w:val="19"/>
          <w:u w:val="single"/>
          <w:lang w:eastAsia="pt-BR"/>
        </w:rPr>
        <w:t>MPPB-</w:t>
      </w:r>
      <w:r w:rsidR="00264716" w:rsidRPr="003E460B">
        <w:rPr>
          <w:rFonts w:ascii="Book Antiqua" w:eastAsia="Times New Roman" w:hAnsi="Book Antiqua" w:cs="Times New Roman"/>
          <w:b/>
          <w:bCs/>
          <w:color w:val="FF0000"/>
          <w:sz w:val="19"/>
          <w:szCs w:val="19"/>
          <w:u w:val="single"/>
          <w:lang w:eastAsia="pt-BR"/>
        </w:rPr>
        <w:t>2010)</w:t>
      </w:r>
      <w:r w:rsidR="003E460B" w:rsidRPr="003E460B">
        <w:rPr>
          <w:rFonts w:ascii="Book Antiqua" w:eastAsia="Times New Roman" w:hAnsi="Book Antiqua" w:cs="Times New Roman"/>
          <w:b/>
          <w:bCs/>
          <w:color w:val="FF0000"/>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r w:rsidR="0075720F">
        <w:rPr>
          <w:rFonts w:ascii="Book Antiqua" w:eastAsia="Times New Roman" w:hAnsi="Book Antiqua" w:cs="Times New Roman"/>
          <w:b/>
          <w:bCs/>
          <w:color w:val="FF0000"/>
          <w:sz w:val="19"/>
          <w:szCs w:val="19"/>
          <w:lang w:eastAsia="pt-BR"/>
        </w:rPr>
        <w:t xml:space="preserve"> </w:t>
      </w:r>
      <w:r w:rsidR="0075720F">
        <w:rPr>
          <w:rFonts w:ascii="Book Antiqua" w:eastAsia="Times New Roman" w:hAnsi="Book Antiqua" w:cs="Times New Roman"/>
          <w:b/>
          <w:bCs/>
          <w:color w:val="FF0000"/>
          <w:sz w:val="19"/>
          <w:szCs w:val="19"/>
          <w:u w:val="single"/>
          <w:lang w:eastAsia="pt-BR"/>
        </w:rPr>
        <w:t>(DPEES-2012)</w:t>
      </w:r>
      <w:r w:rsidR="0068586D" w:rsidRPr="003E460B">
        <w:rPr>
          <w:rFonts w:ascii="Book Antiqua" w:eastAsia="Times New Roman" w:hAnsi="Book Antiqua" w:cs="Times New Roman"/>
          <w:sz w:val="19"/>
          <w:szCs w:val="19"/>
          <w:lang w:eastAsia="pt-BR"/>
        </w:rPr>
        <w:t xml:space="preserve"> </w:t>
      </w:r>
      <w:r w:rsidR="0068586D" w:rsidRPr="003E460B">
        <w:rPr>
          <w:rFonts w:ascii="Book Antiqua" w:eastAsia="Times New Roman" w:hAnsi="Book Antiqua" w:cs="Times New Roman"/>
          <w:b/>
          <w:bCs/>
          <w:color w:val="FF0000"/>
          <w:sz w:val="19"/>
          <w:szCs w:val="19"/>
          <w:u w:val="single"/>
          <w:lang w:eastAsia="pt-BR"/>
        </w:rPr>
        <w:t>(MPSC</w:t>
      </w:r>
      <w:r w:rsidR="0068586D" w:rsidRPr="00C410FB">
        <w:rPr>
          <w:rFonts w:ascii="Book Antiqua" w:eastAsia="Times New Roman" w:hAnsi="Book Antiqua" w:cs="Times New Roman"/>
          <w:b/>
          <w:bCs/>
          <w:color w:val="FF0000"/>
          <w:sz w:val="19"/>
          <w:szCs w:val="19"/>
          <w:u w:val="single"/>
          <w:lang w:eastAsia="pt-BR"/>
        </w:rPr>
        <w:t>-2016)</w:t>
      </w:r>
    </w:p>
    <w:p w14:paraId="05B99A9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3683">
        <w:rPr>
          <w:rFonts w:ascii="Book Antiqua" w:eastAsia="Times New Roman" w:hAnsi="Book Antiqua" w:cs="Times New Roman"/>
          <w:b/>
          <w:bCs/>
          <w:sz w:val="19"/>
          <w:szCs w:val="19"/>
          <w:highlight w:val="magenta"/>
          <w:lang w:eastAsia="pt-BR"/>
        </w:rPr>
        <w:lastRenderedPageBreak/>
        <w:t>§ 1</w:t>
      </w:r>
      <w:r w:rsidRPr="00623683">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w:t>
      </w:r>
      <w:r w:rsidRPr="00623683">
        <w:rPr>
          <w:rFonts w:ascii="Book Antiqua" w:eastAsia="Times New Roman" w:hAnsi="Book Antiqua" w:cs="Times New Roman"/>
          <w:b/>
          <w:bCs/>
          <w:caps/>
          <w:sz w:val="19"/>
          <w:szCs w:val="19"/>
          <w:highlight w:val="green"/>
          <w:lang w:eastAsia="pt-BR"/>
        </w:rPr>
        <w:t>Considera-se</w:t>
      </w:r>
      <w:r w:rsidRPr="00C410FB">
        <w:rPr>
          <w:rFonts w:ascii="Book Antiqua" w:eastAsia="Times New Roman" w:hAnsi="Book Antiqua" w:cs="Times New Roman"/>
          <w:sz w:val="19"/>
          <w:szCs w:val="19"/>
          <w:lang w:eastAsia="pt-BR"/>
        </w:rPr>
        <w:t xml:space="preserve">, </w:t>
      </w:r>
      <w:r w:rsidRPr="00623683">
        <w:rPr>
          <w:rFonts w:ascii="Book Antiqua" w:eastAsia="Times New Roman" w:hAnsi="Book Antiqua" w:cs="Times New Roman"/>
          <w:b/>
          <w:bCs/>
          <w:sz w:val="19"/>
          <w:szCs w:val="19"/>
          <w:highlight w:val="cyan"/>
          <w:lang w:eastAsia="pt-BR"/>
        </w:rPr>
        <w:t>para os efeitos</w:t>
      </w:r>
      <w:r w:rsidRPr="00623683">
        <w:rPr>
          <w:rFonts w:ascii="Book Antiqua" w:eastAsia="Times New Roman" w:hAnsi="Book Antiqua" w:cs="Times New Roman"/>
          <w:b/>
          <w:bCs/>
          <w:sz w:val="19"/>
          <w:szCs w:val="19"/>
          <w:lang w:eastAsia="pt-BR"/>
        </w:rPr>
        <w:t xml:space="preserve"> </w:t>
      </w:r>
      <w:r w:rsidRPr="00623683">
        <w:rPr>
          <w:rFonts w:ascii="Book Antiqua" w:eastAsia="Times New Roman" w:hAnsi="Book Antiqua" w:cs="Times New Roman"/>
          <w:b/>
          <w:bCs/>
          <w:sz w:val="19"/>
          <w:szCs w:val="19"/>
          <w:highlight w:val="yellow"/>
          <w:lang w:eastAsia="pt-BR"/>
        </w:rPr>
        <w:t>deste Decreto</w:t>
      </w:r>
      <w:r w:rsidRPr="00C410FB">
        <w:rPr>
          <w:rFonts w:ascii="Book Antiqua" w:eastAsia="Times New Roman" w:hAnsi="Book Antiqua" w:cs="Times New Roman"/>
          <w:sz w:val="19"/>
          <w:szCs w:val="19"/>
          <w:lang w:eastAsia="pt-BR"/>
        </w:rPr>
        <w:t>:</w:t>
      </w:r>
    </w:p>
    <w:p w14:paraId="3C6BEFB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I - pessoa portadora de deficiência, além daquelas previstas na </w:t>
      </w:r>
      <w:hyperlink r:id="rId9"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10.690, de 16 de junho de 2003</w:t>
        </w:r>
      </w:hyperlink>
      <w:r w:rsidRPr="00C410FB">
        <w:rPr>
          <w:rFonts w:ascii="Book Antiqua" w:eastAsia="Times New Roman" w:hAnsi="Book Antiqua" w:cs="Times New Roman"/>
          <w:sz w:val="19"/>
          <w:szCs w:val="19"/>
          <w:lang w:eastAsia="pt-BR"/>
        </w:rPr>
        <w:t>, a que possui limitação ou incapacidade para o desempenho de atividade e se enquadra nas seguintes categorias:</w:t>
      </w:r>
    </w:p>
    <w:p w14:paraId="13D8120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 deficiência física: alteração completa ou parcial de um ou mais segmentos do corpo humano, acarretando o comprometimento da função física, apresentando-se sob a forma de paraplegia, paraparesia, monoplegia, monoparesia, tetraplegia, tetraparesia, triplegia, triparesia, hemiplegia, hemiparesia, ostomia, amputação ou ausência de membro, paralisia cerebral, nanismo, membros com deformidade congênita ou adquirida, exceto as deformidades estéticas e as que não produzam dificuldades para o desempenho de funções;</w:t>
      </w:r>
    </w:p>
    <w:p w14:paraId="63395D01" w14:textId="70A6C1F1" w:rsidR="006F65D0" w:rsidRPr="001A47FB"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C410FB">
        <w:rPr>
          <w:rFonts w:ascii="Book Antiqua" w:eastAsia="Times New Roman" w:hAnsi="Book Antiqua" w:cs="Times New Roman"/>
          <w:sz w:val="19"/>
          <w:szCs w:val="19"/>
          <w:lang w:eastAsia="pt-BR"/>
        </w:rPr>
        <w:t>b) </w:t>
      </w:r>
      <w:r w:rsidRPr="001A47FB">
        <w:rPr>
          <w:rFonts w:ascii="Book Antiqua" w:eastAsia="Times New Roman" w:hAnsi="Book Antiqua" w:cs="Times New Roman"/>
          <w:b/>
          <w:bCs/>
          <w:caps/>
          <w:sz w:val="19"/>
          <w:szCs w:val="19"/>
          <w:shd w:val="clear" w:color="auto" w:fill="F7CAAC" w:themeFill="accent2" w:themeFillTint="66"/>
          <w:lang w:eastAsia="pt-BR"/>
        </w:rPr>
        <w:t>deficiência auditiva</w:t>
      </w:r>
      <w:r w:rsidRPr="00C410FB">
        <w:rPr>
          <w:rFonts w:ascii="Book Antiqua" w:eastAsia="Times New Roman" w:hAnsi="Book Antiqua" w:cs="Times New Roman"/>
          <w:sz w:val="19"/>
          <w:szCs w:val="19"/>
          <w:lang w:eastAsia="pt-BR"/>
        </w:rPr>
        <w:t>: </w:t>
      </w:r>
      <w:r w:rsidRPr="001A47FB">
        <w:rPr>
          <w:rFonts w:ascii="Book Antiqua" w:eastAsia="Times New Roman" w:hAnsi="Book Antiqua" w:cs="Times New Roman"/>
          <w:b/>
          <w:bCs/>
          <w:sz w:val="19"/>
          <w:szCs w:val="19"/>
          <w:lang w:eastAsia="pt-BR"/>
        </w:rPr>
        <w:t xml:space="preserve">perda </w:t>
      </w:r>
      <w:r w:rsidRPr="001A47FB">
        <w:rPr>
          <w:rFonts w:ascii="Book Antiqua" w:eastAsia="Times New Roman" w:hAnsi="Book Antiqua" w:cs="Times New Roman"/>
          <w:b/>
          <w:bCs/>
          <w:sz w:val="19"/>
          <w:szCs w:val="19"/>
          <w:highlight w:val="cyan"/>
          <w:lang w:eastAsia="pt-BR"/>
        </w:rPr>
        <w:t>bilateral</w:t>
      </w:r>
      <w:r w:rsidRPr="001A47FB">
        <w:rPr>
          <w:rFonts w:ascii="Book Antiqua" w:eastAsia="Times New Roman" w:hAnsi="Book Antiqua" w:cs="Times New Roman"/>
          <w:b/>
          <w:bCs/>
          <w:sz w:val="19"/>
          <w:szCs w:val="19"/>
          <w:lang w:eastAsia="pt-BR"/>
        </w:rPr>
        <w:t xml:space="preserve">, parcial ou total, de quarenta e um decibéis (dB) ou mais, aferida por audiograma nas </w:t>
      </w:r>
      <w:proofErr w:type="spellStart"/>
      <w:r w:rsidRPr="001A47FB">
        <w:rPr>
          <w:rFonts w:ascii="Book Antiqua" w:eastAsia="Times New Roman" w:hAnsi="Book Antiqua" w:cs="Times New Roman"/>
          <w:b/>
          <w:bCs/>
          <w:sz w:val="19"/>
          <w:szCs w:val="19"/>
          <w:lang w:eastAsia="pt-BR"/>
        </w:rPr>
        <w:t>freqüências</w:t>
      </w:r>
      <w:proofErr w:type="spellEnd"/>
      <w:r w:rsidRPr="001A47FB">
        <w:rPr>
          <w:rFonts w:ascii="Book Antiqua" w:eastAsia="Times New Roman" w:hAnsi="Book Antiqua" w:cs="Times New Roman"/>
          <w:b/>
          <w:bCs/>
          <w:sz w:val="19"/>
          <w:szCs w:val="19"/>
          <w:lang w:eastAsia="pt-BR"/>
        </w:rPr>
        <w:t xml:space="preserve"> de 500Hz, 1.000Hz, 2.000Hz e 3.000Hz</w:t>
      </w:r>
      <w:r w:rsidRPr="00C410FB">
        <w:rPr>
          <w:rFonts w:ascii="Book Antiqua" w:eastAsia="Times New Roman" w:hAnsi="Book Antiqua" w:cs="Times New Roman"/>
          <w:sz w:val="19"/>
          <w:szCs w:val="19"/>
          <w:lang w:eastAsia="pt-BR"/>
        </w:rPr>
        <w:t>;</w:t>
      </w:r>
      <w:r w:rsidR="001A47FB">
        <w:rPr>
          <w:rFonts w:ascii="Book Antiqua" w:eastAsia="Times New Roman" w:hAnsi="Book Antiqua" w:cs="Times New Roman"/>
          <w:sz w:val="19"/>
          <w:szCs w:val="19"/>
          <w:lang w:eastAsia="pt-BR"/>
        </w:rPr>
        <w:t xml:space="preserve"> </w:t>
      </w:r>
      <w:bookmarkStart w:id="0" w:name="_Hlk79236793"/>
      <w:r w:rsidR="001A47FB" w:rsidRPr="001A47FB">
        <w:rPr>
          <w:rFonts w:ascii="Book Antiqua" w:eastAsia="Times New Roman" w:hAnsi="Book Antiqua" w:cs="Times New Roman"/>
          <w:b/>
          <w:bCs/>
          <w:color w:val="FF0000"/>
          <w:sz w:val="19"/>
          <w:szCs w:val="19"/>
          <w:u w:val="single"/>
          <w:lang w:eastAsia="pt-BR"/>
        </w:rPr>
        <w:t>(DPETO-2013)</w:t>
      </w:r>
      <w:bookmarkEnd w:id="0"/>
    </w:p>
    <w:p w14:paraId="2AB1D8D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 deficiência visual: cegueira, na qual a acuidade visual é igual ou menor que 0,05 no melhor olho, com a melhor correção óptica; a baixa visão, que significa acuidade visual entre 0,3 e 0,05 no melhor olho, com a melhor correção óptica; os casos nos quais a somatória da medida do campo visual em ambos os olhos for igual ou menor que 60</w:t>
      </w:r>
      <w:r w:rsidRPr="00C410FB">
        <w:rPr>
          <w:rFonts w:ascii="Book Antiqua" w:eastAsia="Times New Roman" w:hAnsi="Book Antiqua" w:cs="Times New Roman"/>
          <w:sz w:val="19"/>
          <w:szCs w:val="19"/>
          <w:vertAlign w:val="superscript"/>
          <w:lang w:eastAsia="pt-BR"/>
        </w:rPr>
        <w:t>o</w:t>
      </w:r>
      <w:r w:rsidRPr="00C410FB">
        <w:rPr>
          <w:rFonts w:ascii="Book Antiqua" w:eastAsia="Times New Roman" w:hAnsi="Book Antiqua" w:cs="Times New Roman"/>
          <w:sz w:val="19"/>
          <w:szCs w:val="19"/>
          <w:lang w:eastAsia="pt-BR"/>
        </w:rPr>
        <w:t>; ou a ocorrência simultânea de quaisquer das condições anteriores;</w:t>
      </w:r>
    </w:p>
    <w:p w14:paraId="03D9668A" w14:textId="4CA5010B" w:rsidR="006F65D0" w:rsidRPr="00623683"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C410FB">
        <w:rPr>
          <w:rFonts w:ascii="Book Antiqua" w:eastAsia="Times New Roman" w:hAnsi="Book Antiqua" w:cs="Times New Roman"/>
          <w:sz w:val="19"/>
          <w:szCs w:val="19"/>
          <w:lang w:eastAsia="pt-BR"/>
        </w:rPr>
        <w:t>d) </w:t>
      </w:r>
      <w:r w:rsidRPr="00623683">
        <w:rPr>
          <w:rFonts w:ascii="Book Antiqua" w:eastAsia="Times New Roman" w:hAnsi="Book Antiqua" w:cs="Times New Roman"/>
          <w:b/>
          <w:bCs/>
          <w:caps/>
          <w:sz w:val="19"/>
          <w:szCs w:val="19"/>
          <w:shd w:val="clear" w:color="auto" w:fill="F7CAAC" w:themeFill="accent2" w:themeFillTint="66"/>
          <w:lang w:eastAsia="pt-BR"/>
        </w:rPr>
        <w:t>deficiência mental</w:t>
      </w:r>
      <w:r w:rsidRPr="00C410FB">
        <w:rPr>
          <w:rFonts w:ascii="Book Antiqua" w:eastAsia="Times New Roman" w:hAnsi="Book Antiqua" w:cs="Times New Roman"/>
          <w:sz w:val="19"/>
          <w:szCs w:val="19"/>
          <w:lang w:eastAsia="pt-BR"/>
        </w:rPr>
        <w:t>: </w:t>
      </w:r>
      <w:r w:rsidRPr="00623683">
        <w:rPr>
          <w:rFonts w:ascii="Book Antiqua" w:eastAsia="Times New Roman" w:hAnsi="Book Antiqua" w:cs="Times New Roman"/>
          <w:b/>
          <w:bCs/>
          <w:sz w:val="19"/>
          <w:szCs w:val="19"/>
          <w:lang w:eastAsia="pt-BR"/>
        </w:rPr>
        <w:t>funcionamento intelectual significativamente inferior à média, com manifestação antes dos dezoito anos e limitações associadas a duas ou mais áreas de habilidades adaptativas, tais como:</w:t>
      </w:r>
    </w:p>
    <w:tbl>
      <w:tblPr>
        <w:tblStyle w:val="Tabelacomgrade"/>
        <w:tblW w:w="0" w:type="auto"/>
        <w:tblLook w:val="04A0" w:firstRow="1" w:lastRow="0" w:firstColumn="1" w:lastColumn="0" w:noHBand="0" w:noVBand="1"/>
      </w:tblPr>
      <w:tblGrid>
        <w:gridCol w:w="8494"/>
      </w:tblGrid>
      <w:tr w:rsidR="00623683" w14:paraId="0245E76C" w14:textId="77777777" w:rsidTr="00623683">
        <w:tc>
          <w:tcPr>
            <w:tcW w:w="8494" w:type="dxa"/>
            <w:shd w:val="clear" w:color="auto" w:fill="CCFFFF"/>
          </w:tcPr>
          <w:p w14:paraId="5BFFE01F" w14:textId="4F1B65FD" w:rsidR="00623683" w:rsidRPr="00623683" w:rsidRDefault="00623683" w:rsidP="0062368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683">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C</w:t>
            </w:r>
            <w:r w:rsidRPr="00623683">
              <w:rPr>
                <w:rFonts w:ascii="Book Antiqua" w:eastAsia="Times New Roman" w:hAnsi="Book Antiqua" w:cs="Times New Roman"/>
                <w:sz w:val="19"/>
                <w:szCs w:val="19"/>
                <w:lang w:eastAsia="pt-BR"/>
              </w:rPr>
              <w:t>om relação ao direito das pessoas com deficiência, assinale a opção correta de acordo com o Decreto 5.296/04</w:t>
            </w:r>
            <w:r>
              <w:rPr>
                <w:rFonts w:ascii="Book Antiqua" w:eastAsia="Times New Roman" w:hAnsi="Book Antiqua" w:cs="Times New Roman"/>
                <w:sz w:val="19"/>
                <w:szCs w:val="19"/>
                <w:lang w:eastAsia="pt-BR"/>
              </w:rPr>
              <w:t xml:space="preserve">: </w:t>
            </w:r>
            <w:r w:rsidRPr="00623683">
              <w:rPr>
                <w:rFonts w:ascii="Book Antiqua" w:eastAsia="Times New Roman" w:hAnsi="Book Antiqua" w:cs="Times New Roman"/>
                <w:sz w:val="19"/>
                <w:szCs w:val="19"/>
                <w:lang w:eastAsia="pt-BR"/>
              </w:rPr>
              <w:t>Consoante a referida norma, classifica-se como deficiência mental o funcionamento intelectual significativamente inferior à média, manifestado antes dos dezoito anos e com limitações associadas a duas ou mais áreas de habilidades adaptativas.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§1º, “d”, Dec. 5296.</w:t>
            </w:r>
          </w:p>
        </w:tc>
      </w:tr>
    </w:tbl>
    <w:p w14:paraId="463F5DD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1. comunicação;</w:t>
      </w:r>
    </w:p>
    <w:p w14:paraId="080043F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2. cuidado pessoal;</w:t>
      </w:r>
    </w:p>
    <w:p w14:paraId="0D3D524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3. habilidades sociais;</w:t>
      </w:r>
    </w:p>
    <w:p w14:paraId="048A099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4. utilização dos recursos da comunidade;</w:t>
      </w:r>
    </w:p>
    <w:p w14:paraId="3E9ECE9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5. saúde e segurança;</w:t>
      </w:r>
    </w:p>
    <w:p w14:paraId="6D68E79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6. habilidades acadêmicas;</w:t>
      </w:r>
    </w:p>
    <w:p w14:paraId="6C89C9D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7. lazer; e</w:t>
      </w:r>
    </w:p>
    <w:p w14:paraId="7D12626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8. trabalho;</w:t>
      </w:r>
    </w:p>
    <w:p w14:paraId="4556D78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e) deficiência múltipla - associação de duas ou mais deficiências; e</w:t>
      </w:r>
    </w:p>
    <w:p w14:paraId="2F97071F" w14:textId="4E26CC11" w:rsidR="006F65D0" w:rsidRPr="003E460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E460B">
        <w:rPr>
          <w:rFonts w:ascii="Book Antiqua" w:eastAsia="Times New Roman" w:hAnsi="Book Antiqua" w:cs="Times New Roman"/>
          <w:sz w:val="19"/>
          <w:szCs w:val="19"/>
          <w:lang w:eastAsia="pt-BR"/>
        </w:rPr>
        <w:t>II - pessoa com mobilidade reduzida, aquela que, não se enquadrando no conceito de pessoa portadora de deficiência, tenha, por qualquer motivo, dificuldade de movimentar-se, permanente ou temporariamente, gerando redução efetiva da mobilidade, flexibilidade, coordenação motora e percepção.</w:t>
      </w:r>
      <w:r w:rsidR="003E460B" w:rsidRPr="003E460B">
        <w:rPr>
          <w:rFonts w:ascii="Book Antiqua" w:eastAsia="Times New Roman" w:hAnsi="Book Antiqua" w:cs="Times New Roman"/>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p>
    <w:p w14:paraId="4FF9092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 disposto no caput aplica-se, ainda, às pessoas com idade igual ou superior a sessenta anos, gestantes, lactantes e pessoas com criança de colo.</w:t>
      </w:r>
    </w:p>
    <w:p w14:paraId="1FDFFAC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O acesso prioritário às edificações e serviços das instituições financeiras deve seguir os preceitos estabelecidos neste Decreto e nas normas técnicas de acessibilidade da Associação Brasileira de Normas Técnicas - ABNT, no que não conflitarem com a </w:t>
      </w:r>
      <w:hyperlink r:id="rId10"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7.102, de 20 de junho de 1983</w:t>
        </w:r>
      </w:hyperlink>
      <w:r w:rsidRPr="00C410FB">
        <w:rPr>
          <w:rFonts w:ascii="Book Antiqua" w:eastAsia="Times New Roman" w:hAnsi="Book Antiqua" w:cs="Times New Roman"/>
          <w:sz w:val="19"/>
          <w:szCs w:val="19"/>
          <w:lang w:eastAsia="pt-BR"/>
        </w:rPr>
        <w:t>, observando, ainda, a Resolução do Conselho Monetário Nacional n</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2.878, de 26 de julho de 2001.</w:t>
      </w:r>
    </w:p>
    <w:p w14:paraId="6EA54CB5" w14:textId="19D3C334"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r w:rsidRPr="00C410FB">
        <w:rPr>
          <w:rFonts w:ascii="Book Antiqua" w:eastAsia="Times New Roman" w:hAnsi="Book Antiqua" w:cs="Times New Roman"/>
          <w:b/>
          <w:bCs/>
          <w:sz w:val="19"/>
          <w:szCs w:val="19"/>
          <w:highlight w:val="magenta"/>
          <w:lang w:eastAsia="pt-BR"/>
        </w:rPr>
        <w:t>Art. 6</w:t>
      </w:r>
      <w:r w:rsidRPr="00C410FB">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b/>
          <w:bCs/>
          <w:sz w:val="19"/>
          <w:szCs w:val="19"/>
          <w:lang w:eastAsia="pt-BR"/>
        </w:rPr>
        <w:t>  </w:t>
      </w:r>
      <w:r w:rsidRPr="00C410FB">
        <w:rPr>
          <w:rFonts w:ascii="Book Antiqua" w:eastAsia="Times New Roman" w:hAnsi="Book Antiqua" w:cs="Times New Roman"/>
          <w:sz w:val="19"/>
          <w:szCs w:val="19"/>
          <w:lang w:eastAsia="pt-BR"/>
        </w:rPr>
        <w:t>O atendimento prioritário compreende tratamento diferenciado e atendimento imediato às pessoas de que trata 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w:t>
      </w:r>
      <w:r w:rsidR="00264716">
        <w:rPr>
          <w:rFonts w:ascii="Book Antiqua" w:eastAsia="Times New Roman" w:hAnsi="Book Antiqua" w:cs="Times New Roman"/>
          <w:sz w:val="19"/>
          <w:szCs w:val="19"/>
          <w:lang w:eastAsia="pt-BR"/>
        </w:rPr>
        <w:t xml:space="preserve"> </w:t>
      </w:r>
      <w:r w:rsidR="00264716" w:rsidRPr="00440CA8">
        <w:rPr>
          <w:rFonts w:ascii="Book Antiqua" w:eastAsia="Times New Roman" w:hAnsi="Book Antiqua" w:cs="Times New Roman"/>
          <w:b/>
          <w:bCs/>
          <w:color w:val="FF0000"/>
          <w:sz w:val="19"/>
          <w:szCs w:val="19"/>
          <w:u w:val="single"/>
          <w:lang w:eastAsia="pt-BR"/>
        </w:rPr>
        <w:t>(</w:t>
      </w:r>
      <w:r w:rsidR="00264716">
        <w:rPr>
          <w:rFonts w:ascii="Book Antiqua" w:eastAsia="Times New Roman" w:hAnsi="Book Antiqua" w:cs="Times New Roman"/>
          <w:b/>
          <w:bCs/>
          <w:color w:val="FF0000"/>
          <w:sz w:val="19"/>
          <w:szCs w:val="19"/>
          <w:u w:val="single"/>
          <w:lang w:eastAsia="pt-BR"/>
        </w:rPr>
        <w:t>MPPB-2010</w:t>
      </w:r>
      <w:r w:rsidR="00264716" w:rsidRPr="00440CA8">
        <w:rPr>
          <w:rFonts w:ascii="Book Antiqua" w:eastAsia="Times New Roman" w:hAnsi="Book Antiqua" w:cs="Times New Roman"/>
          <w:b/>
          <w:bCs/>
          <w:color w:val="FF0000"/>
          <w:sz w:val="19"/>
          <w:szCs w:val="19"/>
          <w:u w:val="single"/>
          <w:lang w:eastAsia="pt-BR"/>
        </w:rPr>
        <w:t>)</w:t>
      </w:r>
      <w:r w:rsidR="00984CA1">
        <w:rPr>
          <w:rFonts w:ascii="Book Antiqua" w:eastAsia="Times New Roman" w:hAnsi="Book Antiqua" w:cs="Times New Roman"/>
          <w:b/>
          <w:bCs/>
          <w:color w:val="FF0000"/>
          <w:sz w:val="19"/>
          <w:szCs w:val="19"/>
          <w:lang w:eastAsia="pt-BR"/>
        </w:rPr>
        <w:t xml:space="preserve"> </w:t>
      </w:r>
      <w:r w:rsidR="00984CA1" w:rsidRPr="007F7827">
        <w:rPr>
          <w:rFonts w:ascii="Book Antiqua" w:eastAsia="Times New Roman" w:hAnsi="Book Antiqua" w:cs="Arial"/>
          <w:b/>
          <w:bCs/>
          <w:color w:val="FF0000"/>
          <w:sz w:val="19"/>
          <w:szCs w:val="19"/>
          <w:u w:val="single"/>
          <w:lang w:eastAsia="pt-BR"/>
        </w:rPr>
        <w:t>(MPRO-2010)</w:t>
      </w:r>
      <w:r w:rsidR="0075720F">
        <w:rPr>
          <w:rFonts w:ascii="Book Antiqua" w:eastAsia="Times New Roman" w:hAnsi="Book Antiqua" w:cs="Arial"/>
          <w:b/>
          <w:bCs/>
          <w:color w:val="FF0000"/>
          <w:sz w:val="19"/>
          <w:szCs w:val="19"/>
          <w:lang w:eastAsia="pt-BR"/>
        </w:rPr>
        <w:t xml:space="preserve"> </w:t>
      </w:r>
      <w:r w:rsidR="0075720F">
        <w:rPr>
          <w:rFonts w:ascii="Book Antiqua" w:eastAsia="Times New Roman" w:hAnsi="Book Antiqua" w:cs="Times New Roman"/>
          <w:b/>
          <w:bCs/>
          <w:color w:val="FF0000"/>
          <w:sz w:val="19"/>
          <w:szCs w:val="19"/>
          <w:u w:val="single"/>
          <w:lang w:eastAsia="pt-BR"/>
        </w:rPr>
        <w:t>(DPEES-2012)</w:t>
      </w:r>
      <w:r w:rsidR="003D671F">
        <w:rPr>
          <w:rFonts w:ascii="Book Antiqua" w:eastAsia="Times New Roman" w:hAnsi="Book Antiqua" w:cs="Arial"/>
          <w:b/>
          <w:bCs/>
          <w:color w:val="FF0000"/>
          <w:sz w:val="19"/>
          <w:szCs w:val="19"/>
          <w:lang w:eastAsia="pt-BR"/>
        </w:rPr>
        <w:t xml:space="preserve"> </w:t>
      </w:r>
      <w:r w:rsidR="003D671F" w:rsidRPr="0027257E">
        <w:rPr>
          <w:rFonts w:ascii="Book Antiqua" w:eastAsia="Times New Roman" w:hAnsi="Book Antiqua" w:cs="Arial"/>
          <w:b/>
          <w:bCs/>
          <w:color w:val="FF0000"/>
          <w:sz w:val="19"/>
          <w:szCs w:val="19"/>
          <w:u w:val="single"/>
          <w:lang w:eastAsia="pt-BR"/>
        </w:rPr>
        <w:t>(MPPR-2014)</w:t>
      </w:r>
      <w:r w:rsidR="0020061E" w:rsidRPr="00C410FB">
        <w:rPr>
          <w:rFonts w:ascii="Book Antiqua" w:eastAsia="Times New Roman" w:hAnsi="Book Antiqua" w:cs="Times New Roman"/>
          <w:sz w:val="19"/>
          <w:szCs w:val="19"/>
          <w:lang w:eastAsia="pt-BR"/>
        </w:rPr>
        <w:t xml:space="preserve"> </w:t>
      </w:r>
      <w:r w:rsidR="0020061E" w:rsidRPr="00C410FB">
        <w:rPr>
          <w:rFonts w:ascii="Book Antiqua" w:eastAsia="Times New Roman" w:hAnsi="Book Antiqua" w:cs="Times New Roman"/>
          <w:b/>
          <w:color w:val="FF0000"/>
          <w:sz w:val="19"/>
          <w:szCs w:val="19"/>
          <w:u w:val="single"/>
          <w:lang w:eastAsia="pt-BR"/>
        </w:rPr>
        <w:t>(MPSC-2014)</w:t>
      </w:r>
    </w:p>
    <w:p w14:paraId="567CAB7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84CA1">
        <w:rPr>
          <w:rFonts w:ascii="Book Antiqua" w:eastAsia="Times New Roman" w:hAnsi="Book Antiqua" w:cs="Times New Roman"/>
          <w:b/>
          <w:bCs/>
          <w:sz w:val="19"/>
          <w:szCs w:val="19"/>
          <w:highlight w:val="magenta"/>
          <w:lang w:eastAsia="pt-BR"/>
        </w:rPr>
        <w:t>§ 1</w:t>
      </w:r>
      <w:r w:rsidRPr="00984CA1">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O </w:t>
      </w:r>
      <w:r w:rsidRPr="00984CA1">
        <w:rPr>
          <w:rFonts w:ascii="Book Antiqua" w:eastAsia="Times New Roman" w:hAnsi="Book Antiqua" w:cs="Times New Roman"/>
          <w:b/>
          <w:bCs/>
          <w:caps/>
          <w:sz w:val="19"/>
          <w:szCs w:val="19"/>
          <w:shd w:val="clear" w:color="auto" w:fill="F7CAAC" w:themeFill="accent2" w:themeFillTint="66"/>
          <w:lang w:eastAsia="pt-BR"/>
        </w:rPr>
        <w:t>tratamento diferenciado</w:t>
      </w:r>
      <w:r w:rsidRPr="00984CA1">
        <w:rPr>
          <w:rFonts w:ascii="Book Antiqua" w:eastAsia="Times New Roman" w:hAnsi="Book Antiqua" w:cs="Times New Roman"/>
          <w:b/>
          <w:bCs/>
          <w:caps/>
          <w:sz w:val="19"/>
          <w:szCs w:val="19"/>
          <w:lang w:eastAsia="pt-BR"/>
        </w:rPr>
        <w:t xml:space="preserve"> </w:t>
      </w:r>
      <w:r w:rsidRPr="00984CA1">
        <w:rPr>
          <w:rFonts w:ascii="Book Antiqua" w:eastAsia="Times New Roman" w:hAnsi="Book Antiqua" w:cs="Times New Roman"/>
          <w:b/>
          <w:bCs/>
          <w:caps/>
          <w:sz w:val="19"/>
          <w:szCs w:val="19"/>
          <w:highlight w:val="green"/>
          <w:lang w:eastAsia="pt-BR"/>
        </w:rPr>
        <w:t>inclui</w:t>
      </w:r>
      <w:r w:rsidRPr="00C410FB">
        <w:rPr>
          <w:rFonts w:ascii="Book Antiqua" w:eastAsia="Times New Roman" w:hAnsi="Book Antiqua" w:cs="Times New Roman"/>
          <w:sz w:val="19"/>
          <w:szCs w:val="19"/>
          <w:lang w:eastAsia="pt-BR"/>
        </w:rPr>
        <w:t xml:space="preserve">, </w:t>
      </w:r>
      <w:r w:rsidRPr="00984CA1">
        <w:rPr>
          <w:rFonts w:ascii="Book Antiqua" w:eastAsia="Times New Roman" w:hAnsi="Book Antiqua" w:cs="Times New Roman"/>
          <w:b/>
          <w:bCs/>
          <w:sz w:val="19"/>
          <w:szCs w:val="19"/>
          <w:highlight w:val="cyan"/>
          <w:lang w:eastAsia="pt-BR"/>
        </w:rPr>
        <w:t>dentre outros</w:t>
      </w:r>
      <w:r w:rsidRPr="00C410FB">
        <w:rPr>
          <w:rFonts w:ascii="Book Antiqua" w:eastAsia="Times New Roman" w:hAnsi="Book Antiqua" w:cs="Times New Roman"/>
          <w:sz w:val="19"/>
          <w:szCs w:val="19"/>
          <w:lang w:eastAsia="pt-BR"/>
        </w:rPr>
        <w:t>:</w:t>
      </w:r>
    </w:p>
    <w:p w14:paraId="07CB1435" w14:textId="508E0AAA" w:rsidR="006F65D0" w:rsidRPr="00623683"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23683">
        <w:rPr>
          <w:rFonts w:ascii="Book Antiqua" w:eastAsia="Times New Roman" w:hAnsi="Book Antiqua" w:cs="Times New Roman"/>
          <w:b/>
          <w:bCs/>
          <w:sz w:val="19"/>
          <w:szCs w:val="19"/>
          <w:lang w:eastAsia="pt-BR"/>
        </w:rPr>
        <w:t>I - assentos de uso preferencial sinalizados, espaços e instalações acessíveis;</w:t>
      </w:r>
      <w:r w:rsidR="00984CA1" w:rsidRPr="00623683">
        <w:rPr>
          <w:rFonts w:ascii="Book Antiqua" w:eastAsia="Times New Roman" w:hAnsi="Book Antiqua" w:cs="Times New Roman"/>
          <w:b/>
          <w:bCs/>
          <w:sz w:val="19"/>
          <w:szCs w:val="19"/>
          <w:lang w:eastAsia="pt-BR"/>
        </w:rPr>
        <w:t xml:space="preserve"> </w:t>
      </w:r>
      <w:r w:rsidR="00984CA1" w:rsidRPr="00623683">
        <w:rPr>
          <w:rFonts w:ascii="Book Antiqua" w:eastAsia="Times New Roman" w:hAnsi="Book Antiqua" w:cs="Arial"/>
          <w:b/>
          <w:bCs/>
          <w:color w:val="FF0000"/>
          <w:sz w:val="19"/>
          <w:szCs w:val="19"/>
          <w:u w:val="single"/>
          <w:lang w:eastAsia="pt-BR"/>
        </w:rPr>
        <w:t>(MPRO-2010)</w:t>
      </w:r>
    </w:p>
    <w:p w14:paraId="14D2E12A" w14:textId="217EBB4F" w:rsidR="006F65D0" w:rsidRPr="00623683"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23683">
        <w:rPr>
          <w:rFonts w:ascii="Book Antiqua" w:eastAsia="Times New Roman" w:hAnsi="Book Antiqua" w:cs="Times New Roman"/>
          <w:b/>
          <w:bCs/>
          <w:sz w:val="19"/>
          <w:szCs w:val="19"/>
          <w:lang w:eastAsia="pt-BR"/>
        </w:rPr>
        <w:t>II - mobiliário de recepção e atendimento obrigatoriamente adaptado à altura e à condição física de pessoas em cadeira de rodas, conforme estabelecido nas normas técnicas de acessibilidade da ABNT;</w:t>
      </w:r>
      <w:r w:rsidR="00984CA1" w:rsidRPr="00623683">
        <w:rPr>
          <w:rFonts w:ascii="Book Antiqua" w:eastAsia="Times New Roman" w:hAnsi="Book Antiqua" w:cs="Times New Roman"/>
          <w:b/>
          <w:bCs/>
          <w:sz w:val="19"/>
          <w:szCs w:val="19"/>
          <w:lang w:eastAsia="pt-BR"/>
        </w:rPr>
        <w:t xml:space="preserve"> </w:t>
      </w:r>
      <w:r w:rsidR="00984CA1" w:rsidRPr="00623683">
        <w:rPr>
          <w:rFonts w:ascii="Book Antiqua" w:eastAsia="Times New Roman" w:hAnsi="Book Antiqua" w:cs="Arial"/>
          <w:b/>
          <w:bCs/>
          <w:color w:val="FF0000"/>
          <w:sz w:val="19"/>
          <w:szCs w:val="19"/>
          <w:u w:val="single"/>
          <w:lang w:eastAsia="pt-BR"/>
        </w:rPr>
        <w:t>(MPRO-2010)</w:t>
      </w:r>
      <w:r w:rsidR="003D671F" w:rsidRPr="00623683">
        <w:rPr>
          <w:rFonts w:ascii="Book Antiqua" w:eastAsia="Times New Roman" w:hAnsi="Book Antiqua" w:cs="Arial"/>
          <w:b/>
          <w:bCs/>
          <w:color w:val="FF0000"/>
          <w:sz w:val="19"/>
          <w:szCs w:val="19"/>
          <w:lang w:eastAsia="pt-BR"/>
        </w:rPr>
        <w:t xml:space="preserve"> </w:t>
      </w:r>
      <w:r w:rsidR="003D671F" w:rsidRPr="00623683">
        <w:rPr>
          <w:rFonts w:ascii="Book Antiqua" w:eastAsia="Times New Roman" w:hAnsi="Book Antiqua" w:cs="Arial"/>
          <w:b/>
          <w:bCs/>
          <w:color w:val="FF0000"/>
          <w:sz w:val="19"/>
          <w:szCs w:val="19"/>
          <w:u w:val="single"/>
          <w:lang w:eastAsia="pt-BR"/>
        </w:rPr>
        <w:t>(MPPR-2014)</w:t>
      </w:r>
    </w:p>
    <w:p w14:paraId="7914CCAA" w14:textId="17C96555"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3683">
        <w:rPr>
          <w:rFonts w:ascii="Book Antiqua" w:eastAsia="Times New Roman" w:hAnsi="Book Antiqua" w:cs="Times New Roman"/>
          <w:b/>
          <w:bCs/>
          <w:sz w:val="19"/>
          <w:szCs w:val="19"/>
          <w:lang w:eastAsia="pt-BR"/>
        </w:rPr>
        <w:t xml:space="preserve">III - serviços de atendimento para pessoas com deficiência auditiva, prestado por intérpretes ou pessoas capacitadas em Língua Brasileira de Sinais - LIBRAS e no trato com aquelas que não se comuniquem em LIBRAS, e para pessoas </w:t>
      </w:r>
      <w:proofErr w:type="spellStart"/>
      <w:r w:rsidRPr="00623683">
        <w:rPr>
          <w:rFonts w:ascii="Book Antiqua" w:eastAsia="Times New Roman" w:hAnsi="Book Antiqua" w:cs="Times New Roman"/>
          <w:b/>
          <w:bCs/>
          <w:sz w:val="19"/>
          <w:szCs w:val="19"/>
          <w:lang w:eastAsia="pt-BR"/>
        </w:rPr>
        <w:t>surdocegas</w:t>
      </w:r>
      <w:proofErr w:type="spellEnd"/>
      <w:r w:rsidRPr="00623683">
        <w:rPr>
          <w:rFonts w:ascii="Book Antiqua" w:eastAsia="Times New Roman" w:hAnsi="Book Antiqua" w:cs="Times New Roman"/>
          <w:b/>
          <w:bCs/>
          <w:sz w:val="19"/>
          <w:szCs w:val="19"/>
          <w:lang w:eastAsia="pt-BR"/>
        </w:rPr>
        <w:t>, prestado por guias-intérpretes ou pessoas capacitadas neste tipo de atendimento</w:t>
      </w:r>
      <w:r w:rsidRPr="00C410FB">
        <w:rPr>
          <w:rFonts w:ascii="Book Antiqua" w:eastAsia="Times New Roman" w:hAnsi="Book Antiqua" w:cs="Times New Roman"/>
          <w:sz w:val="19"/>
          <w:szCs w:val="19"/>
          <w:lang w:eastAsia="pt-BR"/>
        </w:rPr>
        <w:t>;</w:t>
      </w:r>
      <w:r w:rsidR="0075720F">
        <w:rPr>
          <w:rFonts w:ascii="Book Antiqua" w:eastAsia="Times New Roman" w:hAnsi="Book Antiqua" w:cs="Times New Roman"/>
          <w:sz w:val="19"/>
          <w:szCs w:val="19"/>
          <w:lang w:eastAsia="pt-BR"/>
        </w:rPr>
        <w:t xml:space="preserve"> </w:t>
      </w:r>
      <w:r w:rsidR="0075720F">
        <w:rPr>
          <w:rFonts w:ascii="Book Antiqua" w:eastAsia="Times New Roman" w:hAnsi="Book Antiqua" w:cs="Times New Roman"/>
          <w:b/>
          <w:bCs/>
          <w:color w:val="FF0000"/>
          <w:sz w:val="19"/>
          <w:szCs w:val="19"/>
          <w:u w:val="single"/>
          <w:lang w:eastAsia="pt-BR"/>
        </w:rPr>
        <w:t>(DPEES-2012)</w:t>
      </w:r>
    </w:p>
    <w:p w14:paraId="2DFC8FBE" w14:textId="020101DF" w:rsidR="006F65D0"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w:t>
      </w:r>
      <w:r w:rsidRPr="00623683">
        <w:rPr>
          <w:rFonts w:ascii="Book Antiqua" w:eastAsia="Times New Roman" w:hAnsi="Book Antiqua" w:cs="Times New Roman"/>
          <w:b/>
          <w:bCs/>
          <w:sz w:val="19"/>
          <w:szCs w:val="19"/>
          <w:lang w:eastAsia="pt-BR"/>
        </w:rPr>
        <w:t>pessoal capacitado para prestar atendimento às pessoas com deficiência visual, mental e múltipla, bem como às pessoas idosas</w:t>
      </w:r>
      <w:r w:rsidRPr="00C410F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623683" w14:paraId="1AC7673E" w14:textId="77777777" w:rsidTr="00623683">
        <w:tc>
          <w:tcPr>
            <w:tcW w:w="8494" w:type="dxa"/>
            <w:shd w:val="clear" w:color="auto" w:fill="CCFFFF"/>
          </w:tcPr>
          <w:p w14:paraId="39C02139" w14:textId="20C27902" w:rsidR="00623683" w:rsidRPr="00623683" w:rsidRDefault="00623683" w:rsidP="0062368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683">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683">
              <w:rPr>
                <w:rFonts w:ascii="Book Antiqua" w:eastAsia="Times New Roman" w:hAnsi="Book Antiqua" w:cs="Times New Roman"/>
                <w:sz w:val="19"/>
                <w:szCs w:val="19"/>
                <w:lang w:eastAsia="pt-BR"/>
              </w:rPr>
              <w:t>Com base no disposto na Lei 10.048/00 e no Decreto 5.296/04, bem como no dispositivo constitucional sobre o direito das pessoas com deficiência, assinale a opção correta</w:t>
            </w:r>
            <w:r>
              <w:rPr>
                <w:rFonts w:ascii="Book Antiqua" w:eastAsia="Times New Roman" w:hAnsi="Book Antiqua" w:cs="Times New Roman"/>
                <w:sz w:val="19"/>
                <w:szCs w:val="19"/>
                <w:lang w:eastAsia="pt-BR"/>
              </w:rPr>
              <w:t xml:space="preserve">: </w:t>
            </w:r>
            <w:r w:rsidRPr="00623683">
              <w:rPr>
                <w:rFonts w:ascii="Book Antiqua" w:eastAsia="Times New Roman" w:hAnsi="Book Antiqua" w:cs="Times New Roman"/>
                <w:sz w:val="19"/>
                <w:szCs w:val="19"/>
                <w:lang w:eastAsia="pt-BR"/>
              </w:rPr>
              <w:t>O tratamento diferenciado previsto no Decreto 5.296/04 inclui, entre outros, pessoal capacitado para prestar atendimento às pessoas com deficiência visual, mental e múltipla, bem como às pessoas idosas.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IV, Dec. 5296/04.</w:t>
            </w:r>
          </w:p>
        </w:tc>
      </w:tr>
    </w:tbl>
    <w:p w14:paraId="4D233AC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 - disponibilidade de área especial para embarque e desembarque de pessoa portadora de deficiência ou com mobilidade reduzida;</w:t>
      </w:r>
    </w:p>
    <w:p w14:paraId="5B92941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 - sinalização ambiental para orientação das pessoas referidas no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w:t>
      </w:r>
    </w:p>
    <w:p w14:paraId="2148589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VII - divulgação, em lugar visível, do direito de atendimento prioritário das pessoas portadoras de deficiência ou com mobilidade reduzida;</w:t>
      </w:r>
    </w:p>
    <w:p w14:paraId="6F7AE2E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VIII - admissão de entrada e permanência de cão-guia ou cão-guia de acompanhamento junto de pessoa portadora de deficiência ou de treinador nos locais dispostos no caput do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bem como nas demais edificações de uso público e naquelas de uso coletivo, mediante apresentação da carteira de vacina atualizada do animal; e</w:t>
      </w:r>
    </w:p>
    <w:p w14:paraId="585FC08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IX - a existência de local de atendimento específico para as pessoas referidas no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w:t>
      </w:r>
    </w:p>
    <w:p w14:paraId="6C69408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Entende-se por imediato o atendimento prestado às pessoas referidas no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antes de qualquer outra, depois de concluído o atendimento que estiver em andamento, observado o disposto no </w:t>
      </w:r>
      <w:hyperlink r:id="rId11" w:anchor="art3pi" w:history="1">
        <w:r w:rsidRPr="00C410FB">
          <w:rPr>
            <w:rFonts w:ascii="Book Antiqua" w:eastAsia="Times New Roman" w:hAnsi="Book Antiqua" w:cs="Times New Roman"/>
            <w:color w:val="0000FF"/>
            <w:sz w:val="19"/>
            <w:szCs w:val="19"/>
            <w:u w:val="single"/>
            <w:lang w:eastAsia="pt-BR"/>
          </w:rPr>
          <w:t>inciso I do parágrafo único do art. 3</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10.741, de 1</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de outubro de 2003 (Estatuto do Idoso).</w:t>
        </w:r>
      </w:hyperlink>
    </w:p>
    <w:p w14:paraId="1CDD33D7" w14:textId="0961BC16"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b/>
          <w:color w:val="FF0000"/>
          <w:sz w:val="19"/>
          <w:szCs w:val="19"/>
          <w:u w:val="single"/>
          <w:lang w:eastAsia="pt-BR"/>
        </w:rPr>
      </w:pPr>
      <w:r w:rsidRPr="00C410FB">
        <w:rPr>
          <w:rFonts w:ascii="Book Antiqua" w:eastAsia="Times New Roman" w:hAnsi="Book Antiqua" w:cs="Times New Roman"/>
          <w:b/>
          <w:bCs/>
          <w:sz w:val="19"/>
          <w:szCs w:val="19"/>
          <w:highlight w:val="magenta"/>
          <w:lang w:eastAsia="pt-BR"/>
        </w:rPr>
        <w:t>§ 3</w:t>
      </w:r>
      <w:r w:rsidRPr="00C410FB">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Nos </w:t>
      </w:r>
      <w:r w:rsidRPr="00C410FB">
        <w:rPr>
          <w:rFonts w:ascii="Book Antiqua" w:eastAsia="Times New Roman" w:hAnsi="Book Antiqua" w:cs="Times New Roman"/>
          <w:b/>
          <w:bCs/>
          <w:caps/>
          <w:sz w:val="19"/>
          <w:szCs w:val="19"/>
          <w:shd w:val="clear" w:color="auto" w:fill="F7CAAC" w:themeFill="accent2" w:themeFillTint="66"/>
          <w:lang w:eastAsia="pt-BR"/>
        </w:rPr>
        <w:t>serviços de emergência</w:t>
      </w:r>
      <w:r w:rsidRPr="00C410FB">
        <w:rPr>
          <w:rFonts w:ascii="Book Antiqua" w:eastAsia="Times New Roman" w:hAnsi="Book Antiqua" w:cs="Times New Roman"/>
          <w:sz w:val="19"/>
          <w:szCs w:val="19"/>
          <w:lang w:eastAsia="pt-BR"/>
        </w:rPr>
        <w:t xml:space="preserve"> dos </w:t>
      </w:r>
      <w:r w:rsidRPr="00C410FB">
        <w:rPr>
          <w:rFonts w:ascii="Book Antiqua" w:eastAsia="Times New Roman" w:hAnsi="Book Antiqua" w:cs="Times New Roman"/>
          <w:b/>
          <w:bCs/>
          <w:sz w:val="19"/>
          <w:szCs w:val="19"/>
          <w:highlight w:val="cyan"/>
          <w:lang w:eastAsia="pt-BR"/>
        </w:rPr>
        <w:t>estabelecimentos públicos</w:t>
      </w:r>
      <w:r w:rsidRPr="00C410FB">
        <w:rPr>
          <w:rFonts w:ascii="Book Antiqua" w:eastAsia="Times New Roman" w:hAnsi="Book Antiqua" w:cs="Times New Roman"/>
          <w:sz w:val="19"/>
          <w:szCs w:val="19"/>
          <w:lang w:eastAsia="pt-BR"/>
        </w:rPr>
        <w:t xml:space="preserve"> e </w:t>
      </w:r>
      <w:r w:rsidRPr="00C410FB">
        <w:rPr>
          <w:rFonts w:ascii="Book Antiqua" w:eastAsia="Times New Roman" w:hAnsi="Book Antiqua" w:cs="Times New Roman"/>
          <w:b/>
          <w:bCs/>
          <w:sz w:val="19"/>
          <w:szCs w:val="19"/>
          <w:highlight w:val="cyan"/>
          <w:lang w:eastAsia="pt-BR"/>
        </w:rPr>
        <w:t>privados</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bCs/>
          <w:sz w:val="19"/>
          <w:szCs w:val="19"/>
          <w:highlight w:val="yellow"/>
          <w:lang w:eastAsia="pt-BR"/>
        </w:rPr>
        <w:t>de atendimento à saúde</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bCs/>
          <w:caps/>
          <w:sz w:val="19"/>
          <w:szCs w:val="19"/>
          <w:shd w:val="clear" w:color="auto" w:fill="F7CAAC" w:themeFill="accent2" w:themeFillTint="66"/>
          <w:lang w:eastAsia="pt-BR"/>
        </w:rPr>
        <w:t>a prioridade</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bCs/>
          <w:sz w:val="19"/>
          <w:szCs w:val="19"/>
          <w:highlight w:val="yellow"/>
          <w:lang w:eastAsia="pt-BR"/>
        </w:rPr>
        <w:t>conferida por este Decreto</w:t>
      </w:r>
      <w:r w:rsidRPr="00C410FB">
        <w:rPr>
          <w:rFonts w:ascii="Book Antiqua" w:eastAsia="Times New Roman" w:hAnsi="Book Antiqua" w:cs="Times New Roman"/>
          <w:sz w:val="19"/>
          <w:szCs w:val="19"/>
          <w:lang w:eastAsia="pt-BR"/>
        </w:rPr>
        <w:t xml:space="preserve"> </w:t>
      </w:r>
      <w:r w:rsidRPr="00C410FB">
        <w:rPr>
          <w:rFonts w:ascii="Book Antiqua" w:eastAsia="Times New Roman" w:hAnsi="Book Antiqua" w:cs="Times New Roman"/>
          <w:b/>
          <w:caps/>
          <w:sz w:val="19"/>
          <w:szCs w:val="19"/>
          <w:highlight w:val="green"/>
          <w:lang w:eastAsia="pt-BR"/>
        </w:rPr>
        <w:t>fica condicionada</w:t>
      </w:r>
      <w:r w:rsidRPr="00C410FB">
        <w:rPr>
          <w:rFonts w:ascii="Book Antiqua" w:eastAsia="Times New Roman" w:hAnsi="Book Antiqua" w:cs="Times New Roman"/>
          <w:b/>
          <w:sz w:val="19"/>
          <w:szCs w:val="19"/>
          <w:lang w:eastAsia="pt-BR"/>
        </w:rPr>
        <w:t xml:space="preserve"> à </w:t>
      </w:r>
      <w:r w:rsidRPr="00C410FB">
        <w:rPr>
          <w:rFonts w:ascii="Book Antiqua" w:eastAsia="Times New Roman" w:hAnsi="Book Antiqua" w:cs="Times New Roman"/>
          <w:b/>
          <w:sz w:val="19"/>
          <w:szCs w:val="19"/>
          <w:highlight w:val="cyan"/>
          <w:lang w:eastAsia="pt-BR"/>
        </w:rPr>
        <w:t>avaliação médica</w:t>
      </w:r>
      <w:r w:rsidRPr="00C410FB">
        <w:rPr>
          <w:rFonts w:ascii="Book Antiqua" w:eastAsia="Times New Roman" w:hAnsi="Book Antiqua" w:cs="Times New Roman"/>
          <w:b/>
          <w:sz w:val="19"/>
          <w:szCs w:val="19"/>
          <w:lang w:eastAsia="pt-BR"/>
        </w:rPr>
        <w:t xml:space="preserve"> </w:t>
      </w:r>
      <w:r w:rsidRPr="00C410FB">
        <w:rPr>
          <w:rFonts w:ascii="Book Antiqua" w:eastAsia="Times New Roman" w:hAnsi="Book Antiqua" w:cs="Times New Roman"/>
          <w:b/>
          <w:sz w:val="19"/>
          <w:szCs w:val="19"/>
          <w:highlight w:val="yellow"/>
          <w:lang w:eastAsia="pt-BR"/>
        </w:rPr>
        <w:t>em face da gravidade dos casos a atender</w:t>
      </w:r>
      <w:r w:rsidRPr="00C410FB">
        <w:rPr>
          <w:rFonts w:ascii="Book Antiqua" w:eastAsia="Times New Roman" w:hAnsi="Book Antiqua" w:cs="Times New Roman"/>
          <w:sz w:val="19"/>
          <w:szCs w:val="19"/>
          <w:lang w:eastAsia="pt-BR"/>
        </w:rPr>
        <w:t>.</w:t>
      </w:r>
      <w:r w:rsidR="00264716">
        <w:rPr>
          <w:rFonts w:ascii="Book Antiqua" w:eastAsia="Times New Roman" w:hAnsi="Book Antiqua" w:cs="Times New Roman"/>
          <w:sz w:val="19"/>
          <w:szCs w:val="19"/>
          <w:lang w:eastAsia="pt-BR"/>
        </w:rPr>
        <w:t xml:space="preserve"> </w:t>
      </w:r>
      <w:r w:rsidR="00264716" w:rsidRPr="00440CA8">
        <w:rPr>
          <w:rFonts w:ascii="Book Antiqua" w:eastAsia="Times New Roman" w:hAnsi="Book Antiqua" w:cs="Times New Roman"/>
          <w:b/>
          <w:bCs/>
          <w:color w:val="FF0000"/>
          <w:sz w:val="19"/>
          <w:szCs w:val="19"/>
          <w:u w:val="single"/>
          <w:lang w:eastAsia="pt-BR"/>
        </w:rPr>
        <w:t>(</w:t>
      </w:r>
      <w:r w:rsidR="00264716">
        <w:rPr>
          <w:rFonts w:ascii="Book Antiqua" w:eastAsia="Times New Roman" w:hAnsi="Book Antiqua" w:cs="Times New Roman"/>
          <w:b/>
          <w:bCs/>
          <w:color w:val="FF0000"/>
          <w:sz w:val="19"/>
          <w:szCs w:val="19"/>
          <w:u w:val="single"/>
          <w:lang w:eastAsia="pt-BR"/>
        </w:rPr>
        <w:t>MPPB-2010</w:t>
      </w:r>
      <w:r w:rsidR="00264716" w:rsidRPr="00440CA8">
        <w:rPr>
          <w:rFonts w:ascii="Book Antiqua" w:eastAsia="Times New Roman" w:hAnsi="Book Antiqua" w:cs="Times New Roman"/>
          <w:b/>
          <w:bCs/>
          <w:color w:val="FF0000"/>
          <w:sz w:val="19"/>
          <w:szCs w:val="19"/>
          <w:u w:val="single"/>
          <w:lang w:eastAsia="pt-BR"/>
        </w:rPr>
        <w:t>)</w:t>
      </w:r>
      <w:r w:rsidR="00623683">
        <w:rPr>
          <w:rFonts w:ascii="Book Antiqua" w:eastAsia="Times New Roman" w:hAnsi="Book Antiqua" w:cs="Times New Roman"/>
          <w:b/>
          <w:bCs/>
          <w:color w:val="FF0000"/>
          <w:sz w:val="19"/>
          <w:szCs w:val="19"/>
          <w:lang w:eastAsia="pt-BR"/>
        </w:rPr>
        <w:t xml:space="preserve"> </w:t>
      </w:r>
      <w:bookmarkStart w:id="1" w:name="_Hlk79236072"/>
      <w:r w:rsidR="00623683">
        <w:rPr>
          <w:rFonts w:ascii="Book Antiqua" w:eastAsia="Times New Roman" w:hAnsi="Book Antiqua" w:cs="Times New Roman"/>
          <w:b/>
          <w:bCs/>
          <w:color w:val="FF0000"/>
          <w:sz w:val="19"/>
          <w:szCs w:val="19"/>
          <w:u w:val="single"/>
          <w:lang w:eastAsia="pt-BR"/>
        </w:rPr>
        <w:t>(DPETO-2013)</w:t>
      </w:r>
      <w:bookmarkEnd w:id="1"/>
      <w:r w:rsidR="0020061E" w:rsidRPr="00C410FB">
        <w:rPr>
          <w:rFonts w:ascii="Book Antiqua" w:eastAsia="Times New Roman" w:hAnsi="Book Antiqua" w:cs="Times New Roman"/>
          <w:sz w:val="19"/>
          <w:szCs w:val="19"/>
          <w:lang w:eastAsia="pt-BR"/>
        </w:rPr>
        <w:t xml:space="preserve"> </w:t>
      </w:r>
      <w:r w:rsidR="0020061E" w:rsidRPr="00C410FB">
        <w:rPr>
          <w:rFonts w:ascii="Book Antiqua" w:eastAsia="Times New Roman" w:hAnsi="Book Antiqua" w:cs="Times New Roman"/>
          <w:b/>
          <w:color w:val="FF0000"/>
          <w:sz w:val="19"/>
          <w:szCs w:val="19"/>
          <w:u w:val="single"/>
          <w:lang w:eastAsia="pt-BR"/>
        </w:rPr>
        <w:t>(MPSC-2014</w:t>
      </w:r>
      <w:r w:rsidR="0068586D" w:rsidRPr="00C410FB">
        <w:rPr>
          <w:rFonts w:ascii="Book Antiqua" w:eastAsia="Times New Roman" w:hAnsi="Book Antiqua" w:cs="Times New Roman"/>
          <w:b/>
          <w:color w:val="FF0000"/>
          <w:sz w:val="19"/>
          <w:szCs w:val="19"/>
          <w:u w:val="single"/>
          <w:lang w:eastAsia="pt-BR"/>
        </w:rPr>
        <w:t>/2016</w:t>
      </w:r>
      <w:r w:rsidR="0020061E" w:rsidRPr="00C410FB">
        <w:rPr>
          <w:rFonts w:ascii="Book Antiqua" w:eastAsia="Times New Roman" w:hAnsi="Book Antiqua" w:cs="Times New Roman"/>
          <w:b/>
          <w:color w:val="FF0000"/>
          <w:sz w:val="19"/>
          <w:szCs w:val="19"/>
          <w:u w:val="single"/>
          <w:lang w:eastAsia="pt-BR"/>
        </w:rPr>
        <w:t>)</w:t>
      </w:r>
      <w:bookmarkStart w:id="2" w:name="_Hlk13652660"/>
    </w:p>
    <w:tbl>
      <w:tblPr>
        <w:tblStyle w:val="Tabelacomgrade"/>
        <w:tblW w:w="0" w:type="auto"/>
        <w:shd w:val="clear" w:color="auto" w:fill="CCFFFF"/>
        <w:tblLook w:val="04A0" w:firstRow="1" w:lastRow="0" w:firstColumn="1" w:lastColumn="0" w:noHBand="0" w:noVBand="1"/>
      </w:tblPr>
      <w:tblGrid>
        <w:gridCol w:w="8494"/>
      </w:tblGrid>
      <w:tr w:rsidR="0068586D" w:rsidRPr="00C410FB" w14:paraId="2E9E6248" w14:textId="77777777" w:rsidTr="0068586D">
        <w:tc>
          <w:tcPr>
            <w:tcW w:w="8494" w:type="dxa"/>
            <w:shd w:val="clear" w:color="auto" w:fill="CCFFFF"/>
          </w:tcPr>
          <w:p w14:paraId="6D1A8CF4" w14:textId="77777777" w:rsidR="0068586D" w:rsidRPr="00C410FB" w:rsidRDefault="0068586D" w:rsidP="0068586D">
            <w:pPr>
              <w:spacing w:before="100" w:beforeAutospacing="1" w:after="100" w:afterAutospacing="1"/>
              <w:jc w:val="both"/>
              <w:rPr>
                <w:rFonts w:ascii="Book Antiqua" w:eastAsia="Times New Roman" w:hAnsi="Book Antiqua" w:cs="Times New Roman"/>
                <w:sz w:val="19"/>
                <w:szCs w:val="19"/>
                <w:lang w:eastAsia="pt-BR"/>
              </w:rPr>
            </w:pPr>
            <w:r w:rsidRPr="00C410FB">
              <w:rPr>
                <w:rFonts w:ascii="Book Antiqua" w:eastAsia="Times New Roman" w:hAnsi="Book Antiqua" w:cs="Times New Roman"/>
                <w:b/>
                <w:bCs/>
                <w:i/>
                <w:iCs/>
                <w:color w:val="FF0000"/>
                <w:sz w:val="19"/>
                <w:szCs w:val="19"/>
                <w:lang w:eastAsia="pt-BR"/>
              </w:rPr>
              <w:lastRenderedPageBreak/>
              <w:t>##</w:t>
            </w:r>
            <w:r w:rsidRPr="00C410FB">
              <w:rPr>
                <w:rFonts w:ascii="Book Antiqua" w:eastAsia="Times New Roman" w:hAnsi="Book Antiqua" w:cs="Times New Roman"/>
                <w:b/>
                <w:bCs/>
                <w:i/>
                <w:iCs/>
                <w:color w:val="FF0000"/>
                <w:sz w:val="19"/>
                <w:szCs w:val="19"/>
                <w:highlight w:val="green"/>
                <w:lang w:eastAsia="pt-BR"/>
              </w:rPr>
              <w:t>Atenção</w:t>
            </w:r>
            <w:r w:rsidRPr="00C410FB">
              <w:rPr>
                <w:rFonts w:ascii="Book Antiqua" w:eastAsia="Times New Roman" w:hAnsi="Book Antiqua" w:cs="Times New Roman"/>
                <w:b/>
                <w:bCs/>
                <w:i/>
                <w:iCs/>
                <w:sz w:val="19"/>
                <w:szCs w:val="19"/>
                <w:lang w:eastAsia="pt-BR"/>
              </w:rPr>
              <w:t xml:space="preserve">: </w:t>
            </w:r>
            <w:r w:rsidRPr="00C410FB">
              <w:rPr>
                <w:rFonts w:ascii="Book Antiqua" w:eastAsia="Times New Roman" w:hAnsi="Book Antiqua" w:cs="Times New Roman"/>
                <w:sz w:val="19"/>
                <w:szCs w:val="19"/>
                <w:lang w:eastAsia="pt-BR"/>
              </w:rPr>
              <w:t xml:space="preserve">No mesmo sentido a Lei 13.146/15 (Estatuto da Pessoa com Deficiência): </w:t>
            </w:r>
            <w:r w:rsidRPr="00C410FB">
              <w:rPr>
                <w:rFonts w:ascii="Book Antiqua" w:eastAsia="Times New Roman" w:hAnsi="Book Antiqua" w:cs="Times New Roman"/>
                <w:i/>
                <w:iCs/>
                <w:sz w:val="19"/>
                <w:szCs w:val="19"/>
                <w:lang w:eastAsia="pt-BR"/>
              </w:rPr>
              <w:t xml:space="preserve">“Art. 9º. (...) § 2o  Nos serviços de emergência públicos e privados, a prioridade conferida por esta Lei </w:t>
            </w:r>
            <w:r w:rsidRPr="00C410FB">
              <w:rPr>
                <w:rFonts w:ascii="Book Antiqua" w:eastAsia="Times New Roman" w:hAnsi="Book Antiqua" w:cs="Times New Roman"/>
                <w:b/>
                <w:bCs/>
                <w:i/>
                <w:iCs/>
                <w:sz w:val="19"/>
                <w:szCs w:val="19"/>
                <w:highlight w:val="green"/>
                <w:lang w:eastAsia="pt-BR"/>
              </w:rPr>
              <w:t>é condicionada</w:t>
            </w:r>
            <w:r w:rsidRPr="00C410FB">
              <w:rPr>
                <w:rFonts w:ascii="Book Antiqua" w:eastAsia="Times New Roman" w:hAnsi="Book Antiqua" w:cs="Times New Roman"/>
                <w:i/>
                <w:iCs/>
                <w:sz w:val="19"/>
                <w:szCs w:val="19"/>
                <w:lang w:eastAsia="pt-BR"/>
              </w:rPr>
              <w:t xml:space="preserve"> aos </w:t>
            </w:r>
            <w:r w:rsidRPr="00C410FB">
              <w:rPr>
                <w:rFonts w:ascii="Book Antiqua" w:eastAsia="Times New Roman" w:hAnsi="Book Antiqua" w:cs="Times New Roman"/>
                <w:b/>
                <w:bCs/>
                <w:i/>
                <w:iCs/>
                <w:sz w:val="19"/>
                <w:szCs w:val="19"/>
                <w:highlight w:val="yellow"/>
                <w:lang w:eastAsia="pt-BR"/>
              </w:rPr>
              <w:t>protocolos de atendimento médico</w:t>
            </w:r>
            <w:r w:rsidRPr="00C410FB">
              <w:rPr>
                <w:rFonts w:ascii="Book Antiqua" w:eastAsia="Times New Roman" w:hAnsi="Book Antiqua" w:cs="Times New Roman"/>
                <w:i/>
                <w:iCs/>
                <w:sz w:val="19"/>
                <w:szCs w:val="19"/>
                <w:lang w:eastAsia="pt-BR"/>
              </w:rPr>
              <w:t>.”</w:t>
            </w:r>
          </w:p>
        </w:tc>
      </w:tr>
    </w:tbl>
    <w:bookmarkEnd w:id="2"/>
    <w:p w14:paraId="0D2D1E8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órgãos, empresas e instituições referidos no caput do art. 5</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devem possuir, pelo menos, um telefone de atendimento adaptado para comunicação com e por pessoas portadoras de deficiência auditiva.</w:t>
      </w:r>
    </w:p>
    <w:p w14:paraId="16F8E7A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7</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O atendimento prioritário no âmbito da administração pública federal direta e indireta, bem como das empresas prestadoras de serviços públicos, obedecerá às disposições deste Decreto, além do que estabelece o </w:t>
      </w:r>
      <w:hyperlink r:id="rId12" w:history="1">
        <w:r w:rsidRPr="00C410FB">
          <w:rPr>
            <w:rFonts w:ascii="Book Antiqua" w:eastAsia="Times New Roman" w:hAnsi="Book Antiqua" w:cs="Times New Roman"/>
            <w:color w:val="0000FF"/>
            <w:sz w:val="19"/>
            <w:szCs w:val="19"/>
            <w:u w:val="single"/>
            <w:lang w:eastAsia="pt-BR"/>
          </w:rPr>
          <w:t>Decreto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3.507, de 13 de junho de 2000.</w:t>
        </w:r>
      </w:hyperlink>
    </w:p>
    <w:p w14:paraId="65DAC30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Cabe aos Estados, Municípios e ao Distrito Federal, no âmbito de suas competências, criar instrumentos para a efetiva implantação e o controle do atendimento prioritário referido neste Decreto.</w:t>
      </w:r>
    </w:p>
    <w:p w14:paraId="1478146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410FB">
        <w:rPr>
          <w:rFonts w:ascii="Book Antiqua" w:eastAsia="Times New Roman" w:hAnsi="Book Antiqua" w:cs="Times New Roman"/>
          <w:sz w:val="19"/>
          <w:szCs w:val="19"/>
          <w:highlight w:val="green"/>
          <w:lang w:eastAsia="pt-BR"/>
        </w:rPr>
        <w:t>CAPÍTULO III</w:t>
      </w:r>
    </w:p>
    <w:p w14:paraId="5DB42DE7"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highlight w:val="green"/>
          <w:lang w:eastAsia="pt-BR"/>
        </w:rPr>
        <w:t>DAS CONDIÇÕES GERAIS DA ACESSIBILIDADE</w:t>
      </w:r>
    </w:p>
    <w:p w14:paraId="6451D95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46C8A">
        <w:rPr>
          <w:rFonts w:ascii="Book Antiqua" w:eastAsia="Times New Roman" w:hAnsi="Book Antiqua" w:cs="Times New Roman"/>
          <w:b/>
          <w:bCs/>
          <w:sz w:val="19"/>
          <w:szCs w:val="19"/>
          <w:highlight w:val="magenta"/>
          <w:lang w:eastAsia="pt-BR"/>
        </w:rPr>
        <w:t>Art. 8</w:t>
      </w:r>
      <w:r w:rsidRPr="00346C8A">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Para os fins de acessibilidade, considera-se:</w:t>
      </w:r>
    </w:p>
    <w:p w14:paraId="330D054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acessibilidade: condição para utilização, com segurança e autonomia, total ou assistida, dos espaços, mobiliários e equipamentos urbanos, das edificações, dos serviços de transporte e dos dispositivos, sistemas e meios de comunicação e informação, por pessoa portadora de deficiência ou com mobilidade reduzida;</w:t>
      </w:r>
    </w:p>
    <w:p w14:paraId="159040A0" w14:textId="25C415AE" w:rsidR="006F65D0" w:rsidRPr="00346C8A"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C410FB">
        <w:rPr>
          <w:rFonts w:ascii="Book Antiqua" w:eastAsia="Times New Roman" w:hAnsi="Book Antiqua" w:cs="Times New Roman"/>
          <w:sz w:val="19"/>
          <w:szCs w:val="19"/>
          <w:lang w:eastAsia="pt-BR"/>
        </w:rPr>
        <w:t>II - </w:t>
      </w:r>
      <w:r w:rsidRPr="00623683">
        <w:rPr>
          <w:rFonts w:ascii="Book Antiqua" w:eastAsia="Times New Roman" w:hAnsi="Book Antiqua" w:cs="Times New Roman"/>
          <w:b/>
          <w:bCs/>
          <w:caps/>
          <w:sz w:val="19"/>
          <w:szCs w:val="19"/>
          <w:shd w:val="clear" w:color="auto" w:fill="F7CAAC" w:themeFill="accent2" w:themeFillTint="66"/>
          <w:lang w:eastAsia="pt-BR"/>
        </w:rPr>
        <w:t>barreiras</w:t>
      </w:r>
      <w:r w:rsidRPr="00C410FB">
        <w:rPr>
          <w:rFonts w:ascii="Book Antiqua" w:eastAsia="Times New Roman" w:hAnsi="Book Antiqua" w:cs="Times New Roman"/>
          <w:sz w:val="19"/>
          <w:szCs w:val="19"/>
          <w:lang w:eastAsia="pt-BR"/>
        </w:rPr>
        <w:t>: qualquer entrave ou obstáculo que limite ou impeça o acesso, a liberdade de movimento, a circulação com segurança e a possibilidade de as pessoas se comunicarem ou terem acesso à informação, classificadas em:</w:t>
      </w:r>
      <w:r w:rsidR="00346C8A">
        <w:rPr>
          <w:rFonts w:ascii="Book Antiqua" w:eastAsia="Times New Roman" w:hAnsi="Book Antiqua" w:cs="Times New Roman"/>
          <w:sz w:val="19"/>
          <w:szCs w:val="19"/>
          <w:lang w:eastAsia="pt-BR"/>
        </w:rPr>
        <w:t xml:space="preserve"> </w:t>
      </w:r>
      <w:bookmarkStart w:id="3" w:name="_Hlk72772436"/>
      <w:r w:rsidR="00346C8A" w:rsidRPr="00346C8A">
        <w:rPr>
          <w:rFonts w:ascii="Book Antiqua" w:eastAsia="Times New Roman" w:hAnsi="Book Antiqua" w:cs="Times New Roman"/>
          <w:b/>
          <w:bCs/>
          <w:color w:val="FF0000"/>
          <w:sz w:val="19"/>
          <w:szCs w:val="19"/>
          <w:u w:val="single"/>
          <w:lang w:eastAsia="pt-BR"/>
        </w:rPr>
        <w:t>(MPRO-2013)</w:t>
      </w:r>
      <w:bookmarkEnd w:id="3"/>
    </w:p>
    <w:p w14:paraId="5A0BE6B5" w14:textId="0276FAFA"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 </w:t>
      </w:r>
      <w:r w:rsidRPr="00623683">
        <w:rPr>
          <w:rFonts w:ascii="Book Antiqua" w:eastAsia="Times New Roman" w:hAnsi="Book Antiqua" w:cs="Times New Roman"/>
          <w:b/>
          <w:bCs/>
          <w:caps/>
          <w:sz w:val="19"/>
          <w:szCs w:val="19"/>
          <w:shd w:val="clear" w:color="auto" w:fill="F7CAAC" w:themeFill="accent2" w:themeFillTint="66"/>
          <w:lang w:eastAsia="pt-BR"/>
        </w:rPr>
        <w:t>barreiras urbanísticas</w:t>
      </w:r>
      <w:r w:rsidRPr="00C410FB">
        <w:rPr>
          <w:rFonts w:ascii="Book Antiqua" w:eastAsia="Times New Roman" w:hAnsi="Book Antiqua" w:cs="Times New Roman"/>
          <w:sz w:val="19"/>
          <w:szCs w:val="19"/>
          <w:lang w:eastAsia="pt-BR"/>
        </w:rPr>
        <w:t>: as existentes nas vias públicas e nos espaços de uso público;</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159E8A85" w14:textId="294701A1"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b) </w:t>
      </w:r>
      <w:r w:rsidRPr="00623683">
        <w:rPr>
          <w:rFonts w:ascii="Book Antiqua" w:eastAsia="Times New Roman" w:hAnsi="Book Antiqua" w:cs="Times New Roman"/>
          <w:b/>
          <w:bCs/>
          <w:caps/>
          <w:sz w:val="19"/>
          <w:szCs w:val="19"/>
          <w:shd w:val="clear" w:color="auto" w:fill="F7CAAC" w:themeFill="accent2" w:themeFillTint="66"/>
          <w:lang w:eastAsia="pt-BR"/>
        </w:rPr>
        <w:t>barreiras nas edificações</w:t>
      </w:r>
      <w:r w:rsidRPr="00C410FB">
        <w:rPr>
          <w:rFonts w:ascii="Book Antiqua" w:eastAsia="Times New Roman" w:hAnsi="Book Antiqua" w:cs="Times New Roman"/>
          <w:sz w:val="19"/>
          <w:szCs w:val="19"/>
          <w:lang w:eastAsia="pt-BR"/>
        </w:rPr>
        <w:t>: as existentes no entorno e interior das edificações de uso público e coletivo e no entorno e nas áreas internas de uso comum nas edificações de uso privado multifamiliar;</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7E34BED8" w14:textId="53AE79CB"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 barreiras nos transportes: as existentes nos serviços de transportes; e</w:t>
      </w:r>
      <w:r w:rsidR="00346C8A">
        <w:rPr>
          <w:rFonts w:ascii="Book Antiqua" w:eastAsia="Times New Roman" w:hAnsi="Book Antiqua" w:cs="Times New Roman"/>
          <w:sz w:val="19"/>
          <w:szCs w:val="19"/>
          <w:lang w:eastAsia="pt-BR"/>
        </w:rPr>
        <w:t xml:space="preserve"> </w:t>
      </w:r>
    </w:p>
    <w:p w14:paraId="488A5CF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 barreiras nas comunicações e informações: qualquer entrave ou obstáculo que dificulte ou impossibilite a expressão ou o recebimento de mensagens por intermédio dos dispositivos, meios ou sistemas de comunicação, sejam ou não de massa, bem como aqueles que dificultem ou impossibilitem o acesso à informação;</w:t>
      </w:r>
    </w:p>
    <w:p w14:paraId="7F1CD979" w14:textId="0674B676"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w:t>
      </w:r>
      <w:r w:rsidRPr="00623683">
        <w:rPr>
          <w:rFonts w:ascii="Book Antiqua" w:eastAsia="Times New Roman" w:hAnsi="Book Antiqua" w:cs="Times New Roman"/>
          <w:b/>
          <w:bCs/>
          <w:caps/>
          <w:sz w:val="19"/>
          <w:szCs w:val="19"/>
          <w:shd w:val="clear" w:color="auto" w:fill="F7CAAC" w:themeFill="accent2" w:themeFillTint="66"/>
          <w:lang w:eastAsia="pt-BR"/>
        </w:rPr>
        <w:t>elemento da urbanização</w:t>
      </w:r>
      <w:r w:rsidRPr="00C410FB">
        <w:rPr>
          <w:rFonts w:ascii="Book Antiqua" w:eastAsia="Times New Roman" w:hAnsi="Book Antiqua" w:cs="Times New Roman"/>
          <w:sz w:val="19"/>
          <w:szCs w:val="19"/>
          <w:lang w:eastAsia="pt-BR"/>
        </w:rPr>
        <w:t>: qualquer componente das obras de urbanização, tais como os referentes à pavimentação, saneamento, distribuição de energia elétrica, iluminação pública, abastecimento e distribuição de água, paisagismo e os que materializam as indicações do planejamento urbanístico;</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10CFF930" w14:textId="0CCA8BE1" w:rsidR="006F65D0" w:rsidRPr="00623683"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w:t>
      </w:r>
      <w:r w:rsidRPr="00623683">
        <w:rPr>
          <w:rFonts w:ascii="Book Antiqua" w:eastAsia="Times New Roman" w:hAnsi="Book Antiqua" w:cs="Times New Roman"/>
          <w:b/>
          <w:bCs/>
          <w:caps/>
          <w:sz w:val="19"/>
          <w:szCs w:val="19"/>
          <w:shd w:val="clear" w:color="auto" w:fill="F7CAAC" w:themeFill="accent2" w:themeFillTint="66"/>
          <w:lang w:eastAsia="pt-BR"/>
        </w:rPr>
        <w:t>mobiliário urbano</w:t>
      </w:r>
      <w:r w:rsidRPr="00C410FB">
        <w:rPr>
          <w:rFonts w:ascii="Book Antiqua" w:eastAsia="Times New Roman" w:hAnsi="Book Antiqua" w:cs="Times New Roman"/>
          <w:sz w:val="19"/>
          <w:szCs w:val="19"/>
          <w:lang w:eastAsia="pt-BR"/>
        </w:rPr>
        <w:t xml:space="preserve">: o conjunto de objetos existentes nas vias e espaços públicos, superpostos ou adicionados aos elementos da urbanização ou da edificação, de forma que sua modificação ou traslado não provoque alterações substanciais nestes elementos, </w:t>
      </w:r>
      <w:r w:rsidRPr="00623683">
        <w:rPr>
          <w:rFonts w:ascii="Book Antiqua" w:eastAsia="Times New Roman" w:hAnsi="Book Antiqua" w:cs="Times New Roman"/>
          <w:b/>
          <w:bCs/>
          <w:sz w:val="19"/>
          <w:szCs w:val="19"/>
          <w:highlight w:val="cyan"/>
          <w:lang w:eastAsia="pt-BR"/>
        </w:rPr>
        <w:t>tais como</w:t>
      </w:r>
      <w:r w:rsidRPr="00C410FB">
        <w:rPr>
          <w:rFonts w:ascii="Book Antiqua" w:eastAsia="Times New Roman" w:hAnsi="Book Antiqua" w:cs="Times New Roman"/>
          <w:sz w:val="19"/>
          <w:szCs w:val="19"/>
          <w:lang w:eastAsia="pt-BR"/>
        </w:rPr>
        <w:t xml:space="preserve"> semáforos, postes de sinalização e similares, telefones e cabines telefônicas, </w:t>
      </w:r>
      <w:r w:rsidRPr="00623683">
        <w:rPr>
          <w:rFonts w:ascii="Book Antiqua" w:eastAsia="Times New Roman" w:hAnsi="Book Antiqua" w:cs="Times New Roman"/>
          <w:b/>
          <w:bCs/>
          <w:sz w:val="19"/>
          <w:szCs w:val="19"/>
          <w:highlight w:val="yellow"/>
          <w:lang w:eastAsia="pt-BR"/>
        </w:rPr>
        <w:t>fontes públicas</w:t>
      </w:r>
      <w:r w:rsidRPr="00C410FB">
        <w:rPr>
          <w:rFonts w:ascii="Book Antiqua" w:eastAsia="Times New Roman" w:hAnsi="Book Antiqua" w:cs="Times New Roman"/>
          <w:sz w:val="19"/>
          <w:szCs w:val="19"/>
          <w:lang w:eastAsia="pt-BR"/>
        </w:rPr>
        <w:t>, lixeiras, toldos, marquises, quiosques e quaisquer outros de natureza análoga;</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r w:rsidR="00623683">
        <w:rPr>
          <w:rFonts w:ascii="Book Antiqua" w:eastAsia="Times New Roman" w:hAnsi="Book Antiqua" w:cs="Times New Roman"/>
          <w:b/>
          <w:bCs/>
          <w:color w:val="FF0000"/>
          <w:sz w:val="19"/>
          <w:szCs w:val="19"/>
          <w:lang w:eastAsia="pt-BR"/>
        </w:rPr>
        <w:t xml:space="preserve"> </w:t>
      </w:r>
      <w:r w:rsidR="00623683">
        <w:rPr>
          <w:rFonts w:ascii="Book Antiqua" w:eastAsia="Times New Roman" w:hAnsi="Book Antiqua" w:cs="Times New Roman"/>
          <w:b/>
          <w:bCs/>
          <w:color w:val="FF0000"/>
          <w:sz w:val="19"/>
          <w:szCs w:val="19"/>
          <w:u w:val="single"/>
          <w:lang w:eastAsia="pt-BR"/>
        </w:rPr>
        <w:t>(DPETO-2013)</w:t>
      </w:r>
    </w:p>
    <w:p w14:paraId="15974E3A" w14:textId="7DA7E206"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V - </w:t>
      </w:r>
      <w:r w:rsidRPr="00623683">
        <w:rPr>
          <w:rFonts w:ascii="Book Antiqua" w:eastAsia="Times New Roman" w:hAnsi="Book Antiqua" w:cs="Times New Roman"/>
          <w:b/>
          <w:bCs/>
          <w:caps/>
          <w:sz w:val="19"/>
          <w:szCs w:val="19"/>
          <w:shd w:val="clear" w:color="auto" w:fill="F7CAAC" w:themeFill="accent2" w:themeFillTint="66"/>
          <w:lang w:eastAsia="pt-BR"/>
        </w:rPr>
        <w:t>ajuda técnica</w:t>
      </w:r>
      <w:r w:rsidRPr="00C410FB">
        <w:rPr>
          <w:rFonts w:ascii="Book Antiqua" w:eastAsia="Times New Roman" w:hAnsi="Book Antiqua" w:cs="Times New Roman"/>
          <w:sz w:val="19"/>
          <w:szCs w:val="19"/>
          <w:lang w:eastAsia="pt-BR"/>
        </w:rPr>
        <w:t>: os produtos, instrumentos, equipamentos ou tecnologia adaptados ou especialmente projetados para melhorar a funcionalidade da pessoa portadora de deficiência ou com mobilidade reduzida, favorecendo a autonomia pessoal, total ou assistida;</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68A0CBDA" w14:textId="39BF8CDC"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 - </w:t>
      </w:r>
      <w:r w:rsidRPr="00623683">
        <w:rPr>
          <w:rFonts w:ascii="Book Antiqua" w:eastAsia="Times New Roman" w:hAnsi="Book Antiqua" w:cs="Times New Roman"/>
          <w:b/>
          <w:bCs/>
          <w:caps/>
          <w:sz w:val="19"/>
          <w:szCs w:val="19"/>
          <w:shd w:val="clear" w:color="auto" w:fill="F7CAAC" w:themeFill="accent2" w:themeFillTint="66"/>
          <w:lang w:eastAsia="pt-BR"/>
        </w:rPr>
        <w:t>edificações de uso público</w:t>
      </w:r>
      <w:r w:rsidRPr="00C410FB">
        <w:rPr>
          <w:rFonts w:ascii="Book Antiqua" w:eastAsia="Times New Roman" w:hAnsi="Book Antiqua" w:cs="Times New Roman"/>
          <w:sz w:val="19"/>
          <w:szCs w:val="19"/>
          <w:lang w:eastAsia="pt-BR"/>
        </w:rPr>
        <w:t>: aquelas administradas por entidades da administração pública, direta e indireta, ou por empresas prestadoras de serviços públicos e destinadas ao público em geral;</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7BB960A7" w14:textId="7F257188"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VII - </w:t>
      </w:r>
      <w:r w:rsidRPr="00623683">
        <w:rPr>
          <w:rFonts w:ascii="Book Antiqua" w:eastAsia="Times New Roman" w:hAnsi="Book Antiqua" w:cs="Times New Roman"/>
          <w:b/>
          <w:bCs/>
          <w:caps/>
          <w:sz w:val="19"/>
          <w:szCs w:val="19"/>
          <w:shd w:val="clear" w:color="auto" w:fill="F7CAAC" w:themeFill="accent2" w:themeFillTint="66"/>
          <w:lang w:eastAsia="pt-BR"/>
        </w:rPr>
        <w:t>edificações de uso coletivo</w:t>
      </w:r>
      <w:r w:rsidRPr="00C410FB">
        <w:rPr>
          <w:rFonts w:ascii="Book Antiqua" w:eastAsia="Times New Roman" w:hAnsi="Book Antiqua" w:cs="Times New Roman"/>
          <w:sz w:val="19"/>
          <w:szCs w:val="19"/>
          <w:lang w:eastAsia="pt-BR"/>
        </w:rPr>
        <w:t>: aquelas destinadas às atividades de natureza comercial, hoteleira, cultural, esportiva, financeira, turística, recreativa, social, religiosa, educacional, industrial e de saúde, inclusive as edificações de prestação de serviços de atividades da mesma natureza;</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11BDED8B" w14:textId="32077FB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VIII - </w:t>
      </w:r>
      <w:r w:rsidRPr="00623683">
        <w:rPr>
          <w:rFonts w:ascii="Book Antiqua" w:eastAsia="Times New Roman" w:hAnsi="Book Antiqua" w:cs="Times New Roman"/>
          <w:b/>
          <w:bCs/>
          <w:caps/>
          <w:sz w:val="19"/>
          <w:szCs w:val="19"/>
          <w:shd w:val="clear" w:color="auto" w:fill="F7CAAC" w:themeFill="accent2" w:themeFillTint="66"/>
          <w:lang w:eastAsia="pt-BR"/>
        </w:rPr>
        <w:t>edificações de uso privado</w:t>
      </w:r>
      <w:r w:rsidRPr="00C410FB">
        <w:rPr>
          <w:rFonts w:ascii="Book Antiqua" w:eastAsia="Times New Roman" w:hAnsi="Book Antiqua" w:cs="Times New Roman"/>
          <w:sz w:val="19"/>
          <w:szCs w:val="19"/>
          <w:lang w:eastAsia="pt-BR"/>
        </w:rPr>
        <w:t>: aquelas destinadas à habitação, que podem ser classificadas como unifamiliar ou multifamiliar; e</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3E4E9F2D" w14:textId="32D08498"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IX - </w:t>
      </w:r>
      <w:r w:rsidRPr="00623683">
        <w:rPr>
          <w:rFonts w:ascii="Book Antiqua" w:eastAsia="Times New Roman" w:hAnsi="Book Antiqua" w:cs="Times New Roman"/>
          <w:b/>
          <w:bCs/>
          <w:caps/>
          <w:sz w:val="19"/>
          <w:szCs w:val="19"/>
          <w:shd w:val="clear" w:color="auto" w:fill="F7CAAC" w:themeFill="accent2" w:themeFillTint="66"/>
          <w:lang w:eastAsia="pt-BR"/>
        </w:rPr>
        <w:t>desenho universal</w:t>
      </w:r>
      <w:r w:rsidRPr="00C410FB">
        <w:rPr>
          <w:rFonts w:ascii="Book Antiqua" w:eastAsia="Times New Roman" w:hAnsi="Book Antiqua" w:cs="Times New Roman"/>
          <w:sz w:val="19"/>
          <w:szCs w:val="19"/>
          <w:lang w:eastAsia="pt-BR"/>
        </w:rPr>
        <w:t>: concepção de espaços, artefatos e produtos que visam atender simultaneamente todas as pessoas, com diferentes características antropométricas e sensoriais, de forma autônoma, segura e confortável, constituindo-se nos elementos ou soluções que compõem a acessibilidade.</w:t>
      </w:r>
      <w:r w:rsidR="00346C8A">
        <w:rPr>
          <w:rFonts w:ascii="Book Antiqua" w:eastAsia="Times New Roman" w:hAnsi="Book Antiqua" w:cs="Times New Roman"/>
          <w:sz w:val="19"/>
          <w:szCs w:val="19"/>
          <w:lang w:eastAsia="pt-BR"/>
        </w:rPr>
        <w:t xml:space="preserve"> </w:t>
      </w:r>
      <w:r w:rsidR="00346C8A" w:rsidRPr="00346C8A">
        <w:rPr>
          <w:rFonts w:ascii="Book Antiqua" w:eastAsia="Times New Roman" w:hAnsi="Book Antiqua" w:cs="Times New Roman"/>
          <w:b/>
          <w:bCs/>
          <w:color w:val="FF0000"/>
          <w:sz w:val="19"/>
          <w:szCs w:val="19"/>
          <w:u w:val="single"/>
          <w:lang w:eastAsia="pt-BR"/>
        </w:rPr>
        <w:t>(MPRO-2013)</w:t>
      </w:r>
    </w:p>
    <w:p w14:paraId="693D453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9</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formulação, implementação e manutenção das ações de acessibilidade atenderão às seguintes premissas básicas:</w:t>
      </w:r>
    </w:p>
    <w:p w14:paraId="6E95D80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 priorização das necessidades, a programação em cronograma e a reserva de recursos para a implantação das ações; e</w:t>
      </w:r>
    </w:p>
    <w:p w14:paraId="058C639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o planejamento, de forma continuada e articulada, entre os setores envolvidos.</w:t>
      </w:r>
    </w:p>
    <w:p w14:paraId="75D5B820"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410FB">
        <w:rPr>
          <w:rFonts w:ascii="Book Antiqua" w:eastAsia="Times New Roman" w:hAnsi="Book Antiqua" w:cs="Times New Roman"/>
          <w:sz w:val="19"/>
          <w:szCs w:val="19"/>
          <w:highlight w:val="green"/>
          <w:lang w:eastAsia="pt-BR"/>
        </w:rPr>
        <w:t>CAPÍTULO IV</w:t>
      </w:r>
    </w:p>
    <w:p w14:paraId="230591C6"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410FB">
        <w:rPr>
          <w:rFonts w:ascii="Book Antiqua" w:eastAsia="Times New Roman" w:hAnsi="Book Antiqua" w:cs="Times New Roman"/>
          <w:sz w:val="19"/>
          <w:szCs w:val="19"/>
          <w:highlight w:val="green"/>
          <w:lang w:eastAsia="pt-BR"/>
        </w:rPr>
        <w:t>DA IMPLEMENTAÇÃO DA ACESSIBILIDADE ARQUITETÔNICA E URBANÍSTICA</w:t>
      </w:r>
    </w:p>
    <w:p w14:paraId="27B60D02"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410FB">
        <w:rPr>
          <w:rFonts w:ascii="Book Antiqua" w:eastAsia="Times New Roman" w:hAnsi="Book Antiqua" w:cs="Times New Roman"/>
          <w:sz w:val="19"/>
          <w:szCs w:val="19"/>
          <w:highlight w:val="green"/>
          <w:lang w:eastAsia="pt-BR"/>
        </w:rPr>
        <w:t>Seção I</w:t>
      </w:r>
    </w:p>
    <w:p w14:paraId="0E1DC26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highlight w:val="green"/>
          <w:lang w:eastAsia="pt-BR"/>
        </w:rPr>
        <w:t>Das Condições Gerais</w:t>
      </w:r>
    </w:p>
    <w:p w14:paraId="26B861A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10.  A concepção e a implantação dos projetos arquitetônicos e urbanísticos devem atender aos princípios do desenho universal, tendo como referências básicas as normas técnicas de acessibilidade da ABNT, a legislação específica e as regras contidas neste Decreto.</w:t>
      </w:r>
    </w:p>
    <w:p w14:paraId="0A873B4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Caberá ao Poder Público promover a inclusão de conteúdos temáticos referentes ao desenho universal nas diretrizes curriculares da educação profissional e tecnológica e do ensino superior dos cursos de Engenharia, Arquitetura e correlatos.</w:t>
      </w:r>
    </w:p>
    <w:p w14:paraId="00F9028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programas e as linhas de pesquisa a serem desenvolvidos com o apoio de organismos públicos de auxílio à pesquisa e de agências de fomento deverão incluir temas voltados para o desenho universal.</w:t>
      </w:r>
    </w:p>
    <w:p w14:paraId="6BE3E889" w14:textId="19E0AE84" w:rsidR="006F65D0" w:rsidRPr="003E460B"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3E460B">
        <w:rPr>
          <w:rFonts w:ascii="Book Antiqua" w:eastAsia="Times New Roman" w:hAnsi="Book Antiqua" w:cs="Times New Roman"/>
          <w:b/>
          <w:bCs/>
          <w:sz w:val="19"/>
          <w:szCs w:val="19"/>
          <w:highlight w:val="magenta"/>
          <w:lang w:eastAsia="pt-BR"/>
        </w:rPr>
        <w:t>Art. 11</w:t>
      </w:r>
      <w:r w:rsidRPr="00C410FB">
        <w:rPr>
          <w:rFonts w:ascii="Book Antiqua" w:eastAsia="Times New Roman" w:hAnsi="Book Antiqua" w:cs="Times New Roman"/>
          <w:sz w:val="19"/>
          <w:szCs w:val="19"/>
          <w:lang w:eastAsia="pt-BR"/>
        </w:rPr>
        <w:t>.  A construção, reforma ou ampliação de edificações de uso público ou coletivo, ou a mudança de destinação para estes tipos de edificação, deverão ser executadas de modo que sejam ou se tornem acessíveis à pessoa portadora de deficiência ou com mobilidade reduzida.</w:t>
      </w:r>
      <w:r w:rsidR="003E460B">
        <w:rPr>
          <w:rFonts w:ascii="Book Antiqua" w:eastAsia="Times New Roman" w:hAnsi="Book Antiqua" w:cs="Times New Roman"/>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p>
    <w:p w14:paraId="215CBFA4" w14:textId="0B5EA52B"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E460B">
        <w:rPr>
          <w:rFonts w:ascii="Book Antiqua" w:eastAsia="Times New Roman" w:hAnsi="Book Antiqua" w:cs="Times New Roman"/>
          <w:b/>
          <w:bCs/>
          <w:sz w:val="19"/>
          <w:szCs w:val="19"/>
          <w:highlight w:val="magenta"/>
          <w:lang w:eastAsia="pt-BR"/>
        </w:rPr>
        <w:t>§ 1</w:t>
      </w:r>
      <w:r w:rsidRPr="003E460B">
        <w:rPr>
          <w:rFonts w:ascii="Book Antiqua" w:eastAsia="Times New Roman" w:hAnsi="Book Antiqua" w:cs="Times New Roman"/>
          <w:b/>
          <w:bCs/>
          <w:sz w:val="19"/>
          <w:szCs w:val="19"/>
          <w:highlight w:val="magenta"/>
          <w:u w:val="single"/>
          <w:vertAlign w:val="superscript"/>
          <w:lang w:eastAsia="pt-BR"/>
        </w:rPr>
        <w:t>o</w:t>
      </w:r>
      <w:r w:rsidRPr="003E460B">
        <w:rPr>
          <w:rFonts w:ascii="Book Antiqua" w:eastAsia="Times New Roman" w:hAnsi="Book Antiqua" w:cs="Times New Roman"/>
          <w:b/>
          <w:bCs/>
          <w:sz w:val="19"/>
          <w:szCs w:val="19"/>
          <w:lang w:eastAsia="pt-BR"/>
        </w:rPr>
        <w:t> </w:t>
      </w:r>
      <w:r w:rsidRPr="00C410FB">
        <w:rPr>
          <w:rFonts w:ascii="Book Antiqua" w:eastAsia="Times New Roman" w:hAnsi="Book Antiqua" w:cs="Times New Roman"/>
          <w:sz w:val="19"/>
          <w:szCs w:val="19"/>
          <w:lang w:eastAsia="pt-BR"/>
        </w:rPr>
        <w:t> As entidades de fiscalização profissional das atividades de Engenharia, Arquitetura e correlatas, ao anotarem a responsabilidade técnica dos projetos, exigirão a responsabilidade profissional declarada do atendimento às regras de acessibilidade previstas nas normas técnicas de acessibilidade da ABNT, na legislação específica e neste Decreto.</w:t>
      </w:r>
      <w:r w:rsidR="003E460B">
        <w:rPr>
          <w:rFonts w:ascii="Book Antiqua" w:eastAsia="Times New Roman" w:hAnsi="Book Antiqua" w:cs="Times New Roman"/>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p>
    <w:p w14:paraId="7E30BCEF" w14:textId="2F675CFB"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E460B">
        <w:rPr>
          <w:rFonts w:ascii="Book Antiqua" w:eastAsia="Times New Roman" w:hAnsi="Book Antiqua" w:cs="Times New Roman"/>
          <w:b/>
          <w:bCs/>
          <w:sz w:val="19"/>
          <w:szCs w:val="19"/>
          <w:highlight w:val="magenta"/>
          <w:lang w:eastAsia="pt-BR"/>
        </w:rPr>
        <w:lastRenderedPageBreak/>
        <w:t>§ 2</w:t>
      </w:r>
      <w:r w:rsidRPr="003E460B">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Para a aprovação ou licenciamento ou emissão de certificado de conclusão de projeto arquitetônico ou urbanístico deverá ser atestado o atendimento às regras de acessibilidade previstas nas normas técnicas de acessibilidade da ABNT, na legislação específica e neste Decreto.</w:t>
      </w:r>
      <w:r w:rsidR="003E460B">
        <w:rPr>
          <w:rFonts w:ascii="Book Antiqua" w:eastAsia="Times New Roman" w:hAnsi="Book Antiqua" w:cs="Times New Roman"/>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p>
    <w:p w14:paraId="2ECD0C2B" w14:textId="2400BBC9" w:rsidR="006F65D0" w:rsidRPr="003E460B" w:rsidRDefault="006F65D0" w:rsidP="006F65D0">
      <w:pPr>
        <w:spacing w:before="100" w:beforeAutospacing="1" w:after="100" w:afterAutospacing="1" w:line="240" w:lineRule="auto"/>
        <w:ind w:firstLine="567"/>
        <w:jc w:val="both"/>
        <w:rPr>
          <w:rFonts w:ascii="Book Antiqua" w:eastAsia="Times New Roman" w:hAnsi="Book Antiqua" w:cs="Times New Roman"/>
          <w:color w:val="0000FF"/>
          <w:sz w:val="19"/>
          <w:szCs w:val="19"/>
          <w:lang w:eastAsia="pt-BR"/>
        </w:rPr>
      </w:pPr>
      <w:r w:rsidRPr="003E460B">
        <w:rPr>
          <w:rFonts w:ascii="Book Antiqua" w:eastAsia="Times New Roman" w:hAnsi="Book Antiqua" w:cs="Times New Roman"/>
          <w:b/>
          <w:bCs/>
          <w:sz w:val="19"/>
          <w:szCs w:val="19"/>
          <w:highlight w:val="magenta"/>
          <w:lang w:eastAsia="pt-BR"/>
        </w:rPr>
        <w:t>§ 3</w:t>
      </w:r>
      <w:r w:rsidRPr="003E460B">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O Poder Público, após certificar a acessibilidade de edificação ou serviço, determinará a colocação, em espaços ou locais de ampla visibilidade, do "Símbolo Internacional de Acesso", na forma prevista nas normas técnicas de acessibilidade da ABNT e na </w:t>
      </w:r>
      <w:hyperlink r:id="rId13"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7.405, de 12 de novembro de 1985.</w:t>
        </w:r>
      </w:hyperlink>
      <w:r w:rsidR="003E460B">
        <w:rPr>
          <w:rFonts w:ascii="Book Antiqua" w:eastAsia="Times New Roman" w:hAnsi="Book Antiqua" w:cs="Times New Roman"/>
          <w:color w:val="0000FF"/>
          <w:sz w:val="19"/>
          <w:szCs w:val="19"/>
          <w:lang w:eastAsia="pt-BR"/>
        </w:rPr>
        <w:t xml:space="preserve"> </w:t>
      </w:r>
      <w:r w:rsidR="003E460B" w:rsidRPr="003E460B">
        <w:rPr>
          <w:rFonts w:ascii="Book Antiqua" w:eastAsia="Times New Roman" w:hAnsi="Book Antiqua" w:cs="Times New Roman"/>
          <w:b/>
          <w:bCs/>
          <w:color w:val="FF0000"/>
          <w:sz w:val="19"/>
          <w:szCs w:val="19"/>
          <w:u w:val="single"/>
          <w:lang w:eastAsia="pt-BR"/>
        </w:rPr>
        <w:t>(MPMG-2010)</w:t>
      </w:r>
    </w:p>
    <w:tbl>
      <w:tblPr>
        <w:tblStyle w:val="Tabelacomgrade"/>
        <w:tblW w:w="0" w:type="auto"/>
        <w:shd w:val="clear" w:color="auto" w:fill="CCFFFF"/>
        <w:tblLook w:val="04A0" w:firstRow="1" w:lastRow="0" w:firstColumn="1" w:lastColumn="0" w:noHBand="0" w:noVBand="1"/>
      </w:tblPr>
      <w:tblGrid>
        <w:gridCol w:w="8494"/>
      </w:tblGrid>
      <w:tr w:rsidR="007915E9" w:rsidRPr="00C410FB" w14:paraId="62AA30B6" w14:textId="77777777" w:rsidTr="007915E9">
        <w:tc>
          <w:tcPr>
            <w:tcW w:w="8494" w:type="dxa"/>
            <w:shd w:val="clear" w:color="auto" w:fill="CCFFFF"/>
          </w:tcPr>
          <w:p w14:paraId="0B58A477" w14:textId="77777777" w:rsidR="007915E9" w:rsidRPr="00C410FB" w:rsidRDefault="007915E9" w:rsidP="00C76F43">
            <w:pPr>
              <w:spacing w:before="100" w:beforeAutospacing="1" w:after="100" w:afterAutospacing="1"/>
              <w:jc w:val="both"/>
              <w:rPr>
                <w:rFonts w:ascii="Book Antiqua" w:eastAsia="Times New Roman" w:hAnsi="Book Antiqua" w:cs="Times New Roman"/>
                <w:b/>
                <w:sz w:val="19"/>
                <w:szCs w:val="19"/>
                <w:lang w:eastAsia="pt-BR"/>
              </w:rPr>
            </w:pPr>
            <w:r w:rsidRPr="00C410FB">
              <w:rPr>
                <w:rFonts w:ascii="Book Antiqua" w:eastAsia="Times New Roman" w:hAnsi="Book Antiqua" w:cs="Times New Roman"/>
                <w:b/>
                <w:sz w:val="19"/>
                <w:szCs w:val="19"/>
                <w:lang w:eastAsia="pt-BR"/>
              </w:rPr>
              <w:t>(</w:t>
            </w:r>
            <w:r w:rsidRPr="00C410FB">
              <w:rPr>
                <w:rFonts w:ascii="Book Antiqua" w:eastAsia="Times New Roman" w:hAnsi="Book Antiqua" w:cs="Times New Roman"/>
                <w:b/>
                <w:sz w:val="19"/>
                <w:szCs w:val="19"/>
                <w:highlight w:val="yellow"/>
                <w:lang w:eastAsia="pt-BR"/>
              </w:rPr>
              <w:t>MPSC</w:t>
            </w:r>
            <w:r w:rsidR="00C76F43" w:rsidRPr="00C410FB">
              <w:rPr>
                <w:rFonts w:ascii="Book Antiqua" w:eastAsia="Times New Roman" w:hAnsi="Book Antiqua" w:cs="Times New Roman"/>
                <w:b/>
                <w:sz w:val="19"/>
                <w:szCs w:val="19"/>
                <w:highlight w:val="yellow"/>
                <w:lang w:eastAsia="pt-BR"/>
              </w:rPr>
              <w:t>-</w:t>
            </w:r>
            <w:r w:rsidRPr="00C410FB">
              <w:rPr>
                <w:rFonts w:ascii="Book Antiqua" w:eastAsia="Times New Roman" w:hAnsi="Book Antiqua" w:cs="Times New Roman"/>
                <w:b/>
                <w:sz w:val="19"/>
                <w:szCs w:val="19"/>
                <w:highlight w:val="yellow"/>
                <w:lang w:eastAsia="pt-BR"/>
              </w:rPr>
              <w:t>2014</w:t>
            </w:r>
            <w:r w:rsidRPr="00C410FB">
              <w:rPr>
                <w:rFonts w:ascii="Book Antiqua" w:eastAsia="Times New Roman" w:hAnsi="Book Antiqua" w:cs="Times New Roman"/>
                <w:b/>
                <w:sz w:val="19"/>
                <w:szCs w:val="19"/>
                <w:lang w:eastAsia="pt-BR"/>
              </w:rPr>
              <w:t xml:space="preserve">): </w:t>
            </w:r>
            <w:r w:rsidRPr="00C410FB">
              <w:rPr>
                <w:rFonts w:ascii="Book Antiqua" w:eastAsia="Times New Roman" w:hAnsi="Book Antiqua" w:cs="Times New Roman"/>
                <w:sz w:val="19"/>
                <w:szCs w:val="19"/>
                <w:lang w:eastAsia="pt-BR"/>
              </w:rPr>
              <w:t xml:space="preserve">Nos termos do Decreto 5296/04, que regulamenta a Lei 10048/00, na promoção da acessibilidade serão observadas as regras gerais previstas no referido Decreto, complementadas pelas normas técnicas de acessibilidade da Associação Brasileira de Normas Técnicas – ABNT e pelas disposições contidas nas legislações dos Estados, Municípios e Distrito Federal, cumprindo destacar que as entidades de fiscalização profissional das atividades de Engenharia, Arquitetura e correlatas, ao anotarem a responsabilidade técnica dos projetos, exigirão a responsabilidade profissional declarada do atendimento a referidas regras de acessibilidade e legislação específica. </w:t>
            </w:r>
            <w:r w:rsidRPr="00C410FB">
              <w:rPr>
                <w:rFonts w:ascii="Book Antiqua" w:eastAsia="Times New Roman" w:hAnsi="Book Antiqua" w:cs="Times New Roman"/>
                <w:b/>
                <w:sz w:val="19"/>
                <w:szCs w:val="19"/>
                <w:lang w:eastAsia="pt-BR"/>
              </w:rPr>
              <w:t>BL: art. 11, §§ 1º, 2º e 3º do Dec. 5296/04.</w:t>
            </w:r>
          </w:p>
        </w:tc>
      </w:tr>
    </w:tbl>
    <w:p w14:paraId="361B9AE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12.  Em qualquer intervenção nas vias e logradouros públicos, o Poder Público e as empresas concessionárias responsáveis pela execução das obras e dos serviços garantirão o livre trânsito e a circulação de forma segura das pessoas em geral, especialmente das pessoas portadoras de deficiência ou com mobilidade reduzida, durante e após a sua execução, de acordo com o previsto em normas técnicas de acessibilidade da ABNT, na legislação específica e neste Decreto.</w:t>
      </w:r>
    </w:p>
    <w:p w14:paraId="5C1228C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Art. 13. Orientam-se, no que couber, pelas regras previstas nas normas técnicas brasileiras de acessibilidade, na legislação específica, observado o disposto na </w:t>
      </w:r>
      <w:hyperlink r:id="rId14"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10.257, de 10 de julho de 2001</w:t>
        </w:r>
      </w:hyperlink>
      <w:r w:rsidRPr="00C410FB">
        <w:rPr>
          <w:rFonts w:ascii="Book Antiqua" w:eastAsia="Times New Roman" w:hAnsi="Book Antiqua" w:cs="Times New Roman"/>
          <w:sz w:val="19"/>
          <w:szCs w:val="19"/>
          <w:lang w:eastAsia="pt-BR"/>
        </w:rPr>
        <w:t>, e neste Decreto:</w:t>
      </w:r>
    </w:p>
    <w:p w14:paraId="3FB3D94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os Planos Diretores Municipais e Planos Diretores de Transporte e Trânsito elaborados ou atualizados a partir da publicação deste Decreto;</w:t>
      </w:r>
    </w:p>
    <w:p w14:paraId="71A330F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o Código de Obras, Código de Postura, a Lei de Uso e Ocupação do Solo e a Lei do Sistema Viário;</w:t>
      </w:r>
    </w:p>
    <w:p w14:paraId="1C9B3C9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os estudos prévios de impacto de vizinhança;</w:t>
      </w:r>
    </w:p>
    <w:p w14:paraId="0A704F3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as atividades de fiscalização e a imposição de sanções, incluindo a vigilância sanitária e ambiental; e</w:t>
      </w:r>
    </w:p>
    <w:p w14:paraId="119C9D9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 - a previsão orçamentária e os mecanismos tributários e financeiros utilizados em caráter compensatório ou de incentivo.</w:t>
      </w:r>
    </w:p>
    <w:p w14:paraId="4056A02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Para concessão de alvará de funcionamento ou sua renovação para qualquer atividade, devem ser observadas e certificadas as regras de acessibilidade previstas neste Decreto e nas normas técnicas de acessibilidade da ABNT.</w:t>
      </w:r>
    </w:p>
    <w:p w14:paraId="564B643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Para emissão de carta de "habite-se" ou habilitação equivalente e para sua renovação, quando esta tiver sido emitida anteriormente às exigências de acessibilidade contidas na legislação específica, devem ser observadas e certificadas as regras de acessibilidade previstas neste Decreto e nas normas técnicas de acessibilidade da ABNT.</w:t>
      </w:r>
    </w:p>
    <w:p w14:paraId="254F8C16"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II</w:t>
      </w:r>
    </w:p>
    <w:p w14:paraId="77BDEB20"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Das Condições Específicas</w:t>
      </w:r>
    </w:p>
    <w:p w14:paraId="4BF2213C" w14:textId="5B58A595"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C13D7">
        <w:rPr>
          <w:rFonts w:ascii="Book Antiqua" w:eastAsia="Times New Roman" w:hAnsi="Book Antiqua" w:cs="Times New Roman"/>
          <w:b/>
          <w:bCs/>
          <w:sz w:val="19"/>
          <w:szCs w:val="19"/>
          <w:highlight w:val="magenta"/>
          <w:lang w:eastAsia="pt-BR"/>
        </w:rPr>
        <w:lastRenderedPageBreak/>
        <w:t>Art. 14</w:t>
      </w:r>
      <w:r w:rsidRPr="00C410FB">
        <w:rPr>
          <w:rFonts w:ascii="Book Antiqua" w:eastAsia="Times New Roman" w:hAnsi="Book Antiqua" w:cs="Times New Roman"/>
          <w:sz w:val="19"/>
          <w:szCs w:val="19"/>
          <w:lang w:eastAsia="pt-BR"/>
        </w:rPr>
        <w:t>.  Na promoção da acessibilidade, serão observadas as regras gerais previstas neste Decreto, complementadas pelas normas técnicas de acessibilidade da ABNT e pelas disposições contidas na legislação dos Estados, Municípios e do Distrito Federal.</w:t>
      </w:r>
      <w:r w:rsidR="00DC13D7">
        <w:rPr>
          <w:rFonts w:ascii="Book Antiqua" w:eastAsia="Times New Roman" w:hAnsi="Book Antiqua" w:cs="Times New Roman"/>
          <w:sz w:val="19"/>
          <w:szCs w:val="19"/>
          <w:lang w:eastAsia="pt-BR"/>
        </w:rPr>
        <w:t xml:space="preserve"> </w:t>
      </w:r>
      <w:r w:rsidR="00DC13D7" w:rsidRPr="00440CA8">
        <w:rPr>
          <w:rFonts w:ascii="Book Antiqua" w:eastAsia="Times New Roman" w:hAnsi="Book Antiqua" w:cs="Times New Roman"/>
          <w:b/>
          <w:bCs/>
          <w:color w:val="FF0000"/>
          <w:sz w:val="19"/>
          <w:szCs w:val="19"/>
          <w:u w:val="single"/>
          <w:lang w:eastAsia="pt-BR"/>
        </w:rPr>
        <w:t>(</w:t>
      </w:r>
      <w:r w:rsidR="00DC13D7">
        <w:rPr>
          <w:rFonts w:ascii="Book Antiqua" w:eastAsia="Times New Roman" w:hAnsi="Book Antiqua" w:cs="Times New Roman"/>
          <w:b/>
          <w:bCs/>
          <w:color w:val="FF0000"/>
          <w:sz w:val="19"/>
          <w:szCs w:val="19"/>
          <w:u w:val="single"/>
          <w:lang w:eastAsia="pt-BR"/>
        </w:rPr>
        <w:t>MPPB-2010</w:t>
      </w:r>
      <w:r w:rsidR="00DC13D7" w:rsidRPr="00440CA8">
        <w:rPr>
          <w:rFonts w:ascii="Book Antiqua" w:eastAsia="Times New Roman" w:hAnsi="Book Antiqua" w:cs="Times New Roman"/>
          <w:b/>
          <w:bCs/>
          <w:color w:val="FF0000"/>
          <w:sz w:val="19"/>
          <w:szCs w:val="19"/>
          <w:u w:val="single"/>
          <w:lang w:eastAsia="pt-BR"/>
        </w:rPr>
        <w:t>)</w:t>
      </w:r>
    </w:p>
    <w:p w14:paraId="22F1E951" w14:textId="65EE790F"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C13D7">
        <w:rPr>
          <w:rFonts w:ascii="Book Antiqua" w:eastAsia="Times New Roman" w:hAnsi="Book Antiqua" w:cs="Times New Roman"/>
          <w:b/>
          <w:bCs/>
          <w:sz w:val="19"/>
          <w:szCs w:val="19"/>
          <w:highlight w:val="magenta"/>
          <w:lang w:eastAsia="pt-BR"/>
        </w:rPr>
        <w:t>Art. 15</w:t>
      </w:r>
      <w:r w:rsidRPr="00C410FB">
        <w:rPr>
          <w:rFonts w:ascii="Book Antiqua" w:eastAsia="Times New Roman" w:hAnsi="Book Antiqua" w:cs="Times New Roman"/>
          <w:sz w:val="19"/>
          <w:szCs w:val="19"/>
          <w:lang w:eastAsia="pt-BR"/>
        </w:rPr>
        <w:t>.  No planejamento e na urbanização das vias, praças, dos logradouros, parques e demais espaços de uso público, deverão ser cumpridas as exigências dispostas nas normas técnicas de acessibilidade da ABNT.</w:t>
      </w:r>
      <w:r w:rsidR="00DC13D7">
        <w:rPr>
          <w:rFonts w:ascii="Book Antiqua" w:eastAsia="Times New Roman" w:hAnsi="Book Antiqua" w:cs="Times New Roman"/>
          <w:sz w:val="19"/>
          <w:szCs w:val="19"/>
          <w:lang w:eastAsia="pt-BR"/>
        </w:rPr>
        <w:t xml:space="preserve"> </w:t>
      </w:r>
      <w:r w:rsidR="00DC13D7" w:rsidRPr="00440CA8">
        <w:rPr>
          <w:rFonts w:ascii="Book Antiqua" w:eastAsia="Times New Roman" w:hAnsi="Book Antiqua" w:cs="Times New Roman"/>
          <w:b/>
          <w:bCs/>
          <w:color w:val="FF0000"/>
          <w:sz w:val="19"/>
          <w:szCs w:val="19"/>
          <w:u w:val="single"/>
          <w:lang w:eastAsia="pt-BR"/>
        </w:rPr>
        <w:t>(</w:t>
      </w:r>
      <w:r w:rsidR="00DC13D7">
        <w:rPr>
          <w:rFonts w:ascii="Book Antiqua" w:eastAsia="Times New Roman" w:hAnsi="Book Antiqua" w:cs="Times New Roman"/>
          <w:b/>
          <w:bCs/>
          <w:color w:val="FF0000"/>
          <w:sz w:val="19"/>
          <w:szCs w:val="19"/>
          <w:u w:val="single"/>
          <w:lang w:eastAsia="pt-BR"/>
        </w:rPr>
        <w:t>MPPB-2010</w:t>
      </w:r>
      <w:r w:rsidR="00DC13D7" w:rsidRPr="00440CA8">
        <w:rPr>
          <w:rFonts w:ascii="Book Antiqua" w:eastAsia="Times New Roman" w:hAnsi="Book Antiqua" w:cs="Times New Roman"/>
          <w:b/>
          <w:bCs/>
          <w:color w:val="FF0000"/>
          <w:sz w:val="19"/>
          <w:szCs w:val="19"/>
          <w:u w:val="single"/>
          <w:lang w:eastAsia="pt-BR"/>
        </w:rPr>
        <w:t>)</w:t>
      </w:r>
    </w:p>
    <w:p w14:paraId="35909F3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Incluem-se na condição estabelecida no caput:</w:t>
      </w:r>
    </w:p>
    <w:p w14:paraId="083801A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I - a construção de calçadas para circulação de pedestres ou a adaptação de situações consolidadas;</w:t>
      </w:r>
    </w:p>
    <w:p w14:paraId="67A532B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o rebaixamento de calçadas com rampa acessível ou elevação da via para travessia de pedestre em nível; e</w:t>
      </w:r>
    </w:p>
    <w:p w14:paraId="4798AE9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a instalação de piso tátil direcional e de alerta.</w:t>
      </w:r>
    </w:p>
    <w:p w14:paraId="476FA616" w14:textId="1CEE333E"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C13D7">
        <w:rPr>
          <w:rFonts w:ascii="Book Antiqua" w:eastAsia="Times New Roman" w:hAnsi="Book Antiqua" w:cs="Times New Roman"/>
          <w:b/>
          <w:bCs/>
          <w:sz w:val="19"/>
          <w:szCs w:val="19"/>
          <w:highlight w:val="magenta"/>
          <w:lang w:eastAsia="pt-BR"/>
        </w:rPr>
        <w:t>§ 2</w:t>
      </w:r>
      <w:r w:rsidRPr="00DC13D7">
        <w:rPr>
          <w:rFonts w:ascii="Book Antiqua" w:eastAsia="Times New Roman" w:hAnsi="Book Antiqua" w:cs="Times New Roman"/>
          <w:b/>
          <w:bCs/>
          <w:sz w:val="19"/>
          <w:szCs w:val="19"/>
          <w:highlight w:val="magenta"/>
          <w:u w:val="single"/>
          <w:vertAlign w:val="superscript"/>
          <w:lang w:eastAsia="pt-BR"/>
        </w:rPr>
        <w:t>o</w:t>
      </w:r>
      <w:r w:rsidRPr="00C410FB">
        <w:rPr>
          <w:rFonts w:ascii="Book Antiqua" w:eastAsia="Times New Roman" w:hAnsi="Book Antiqua" w:cs="Times New Roman"/>
          <w:sz w:val="19"/>
          <w:szCs w:val="19"/>
          <w:lang w:eastAsia="pt-BR"/>
        </w:rPr>
        <w:t xml:space="preserve">  Nos casos de adaptação de bens culturais imóveis e de intervenção para regularização urbanística em áreas de assentamentos subnormais, </w:t>
      </w:r>
      <w:r w:rsidRPr="00DC13D7">
        <w:rPr>
          <w:rFonts w:ascii="Book Antiqua" w:eastAsia="Times New Roman" w:hAnsi="Book Antiqua" w:cs="Times New Roman"/>
          <w:b/>
          <w:bCs/>
          <w:caps/>
          <w:sz w:val="19"/>
          <w:szCs w:val="19"/>
          <w:highlight w:val="green"/>
          <w:lang w:eastAsia="pt-BR"/>
        </w:rPr>
        <w:t>será admitida</w:t>
      </w:r>
      <w:r w:rsidRPr="00C410FB">
        <w:rPr>
          <w:rFonts w:ascii="Book Antiqua" w:eastAsia="Times New Roman" w:hAnsi="Book Antiqua" w:cs="Times New Roman"/>
          <w:sz w:val="19"/>
          <w:szCs w:val="19"/>
          <w:lang w:eastAsia="pt-BR"/>
        </w:rPr>
        <w:t xml:space="preserve">, </w:t>
      </w:r>
      <w:r w:rsidRPr="00DC13D7">
        <w:rPr>
          <w:rFonts w:ascii="Book Antiqua" w:eastAsia="Times New Roman" w:hAnsi="Book Antiqua" w:cs="Times New Roman"/>
          <w:b/>
          <w:bCs/>
          <w:sz w:val="19"/>
          <w:szCs w:val="19"/>
          <w:highlight w:val="cyan"/>
          <w:lang w:eastAsia="pt-BR"/>
        </w:rPr>
        <w:t>em caráter excepcional</w:t>
      </w:r>
      <w:r w:rsidRPr="00C410FB">
        <w:rPr>
          <w:rFonts w:ascii="Book Antiqua" w:eastAsia="Times New Roman" w:hAnsi="Book Antiqua" w:cs="Times New Roman"/>
          <w:sz w:val="19"/>
          <w:szCs w:val="19"/>
          <w:lang w:eastAsia="pt-BR"/>
        </w:rPr>
        <w:t>, faixa de largura menor que o estabelecido nas normas técnicas citadas no caput, desde que haja justificativa baseada em estudo técnico e que o acesso seja viabilizado de outra forma, garantida a melhor técnica possível.</w:t>
      </w:r>
      <w:r w:rsidR="00DC13D7">
        <w:rPr>
          <w:rFonts w:ascii="Book Antiqua" w:eastAsia="Times New Roman" w:hAnsi="Book Antiqua" w:cs="Times New Roman"/>
          <w:sz w:val="19"/>
          <w:szCs w:val="19"/>
          <w:lang w:eastAsia="pt-BR"/>
        </w:rPr>
        <w:t xml:space="preserve"> </w:t>
      </w:r>
      <w:r w:rsidR="00DC13D7" w:rsidRPr="00440CA8">
        <w:rPr>
          <w:rFonts w:ascii="Book Antiqua" w:eastAsia="Times New Roman" w:hAnsi="Book Antiqua" w:cs="Times New Roman"/>
          <w:b/>
          <w:bCs/>
          <w:color w:val="FF0000"/>
          <w:sz w:val="19"/>
          <w:szCs w:val="19"/>
          <w:u w:val="single"/>
          <w:lang w:eastAsia="pt-BR"/>
        </w:rPr>
        <w:t>(</w:t>
      </w:r>
      <w:r w:rsidR="00DC13D7">
        <w:rPr>
          <w:rFonts w:ascii="Book Antiqua" w:eastAsia="Times New Roman" w:hAnsi="Book Antiqua" w:cs="Times New Roman"/>
          <w:b/>
          <w:bCs/>
          <w:color w:val="FF0000"/>
          <w:sz w:val="19"/>
          <w:szCs w:val="19"/>
          <w:u w:val="single"/>
          <w:lang w:eastAsia="pt-BR"/>
        </w:rPr>
        <w:t>MPPB-2010</w:t>
      </w:r>
      <w:r w:rsidR="00DC13D7" w:rsidRPr="00440CA8">
        <w:rPr>
          <w:rFonts w:ascii="Book Antiqua" w:eastAsia="Times New Roman" w:hAnsi="Book Antiqua" w:cs="Times New Roman"/>
          <w:b/>
          <w:bCs/>
          <w:color w:val="FF0000"/>
          <w:sz w:val="19"/>
          <w:szCs w:val="19"/>
          <w:u w:val="single"/>
          <w:lang w:eastAsia="pt-BR"/>
        </w:rPr>
        <w:t>)</w:t>
      </w:r>
    </w:p>
    <w:p w14:paraId="214366C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16.  As características do desenho e a instalação do mobiliário urbano devem garantir a aproximação segura e o uso por pessoa portadora de deficiência visual, mental ou auditiva, a aproximação e o alcance visual e manual para as pessoas portadoras de deficiência física, em especial aquelas em cadeira de rodas, e a circulação livre de barreiras, atendendo às condições estabelecidas nas normas técnicas de acessibilidade da ABNT.</w:t>
      </w:r>
    </w:p>
    <w:p w14:paraId="31CB5A8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Incluem-se nas condições estabelecida no caput:</w:t>
      </w:r>
    </w:p>
    <w:p w14:paraId="615DC72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as marquises, os toldos, elementos de sinalização, luminosos e outros elementos que tenham sua projeção sobre a faixa de circulação de pedestres;</w:t>
      </w:r>
    </w:p>
    <w:p w14:paraId="65AD637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II - as cabines telefônicas e os terminais de </w:t>
      </w:r>
      <w:proofErr w:type="spellStart"/>
      <w:r w:rsidRPr="00C410FB">
        <w:rPr>
          <w:rFonts w:ascii="Book Antiqua" w:eastAsia="Times New Roman" w:hAnsi="Book Antiqua" w:cs="Times New Roman"/>
          <w:sz w:val="19"/>
          <w:szCs w:val="19"/>
          <w:lang w:eastAsia="pt-BR"/>
        </w:rPr>
        <w:t>auto-atendimento</w:t>
      </w:r>
      <w:proofErr w:type="spellEnd"/>
      <w:r w:rsidRPr="00C410FB">
        <w:rPr>
          <w:rFonts w:ascii="Book Antiqua" w:eastAsia="Times New Roman" w:hAnsi="Book Antiqua" w:cs="Times New Roman"/>
          <w:sz w:val="19"/>
          <w:szCs w:val="19"/>
          <w:lang w:eastAsia="pt-BR"/>
        </w:rPr>
        <w:t xml:space="preserve"> de produtos e serviços;</w:t>
      </w:r>
    </w:p>
    <w:p w14:paraId="47CE306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os telefones públicos sem cabine;</w:t>
      </w:r>
    </w:p>
    <w:p w14:paraId="4C23237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a instalação das aberturas, das botoeiras, dos comandos e outros sistemas de acionamento do mobiliário urbano;</w:t>
      </w:r>
    </w:p>
    <w:p w14:paraId="7B14CD2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 - os demais elementos do mobiliário urbano;</w:t>
      </w:r>
    </w:p>
    <w:p w14:paraId="680FE04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 - o uso do solo urbano para posteamento; e</w:t>
      </w:r>
    </w:p>
    <w:p w14:paraId="441B24B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VII - as espécies vegetais que tenham sua projeção sobre a faixa de circulação de pedestres.</w:t>
      </w:r>
    </w:p>
    <w:p w14:paraId="605C20B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concessionária do Serviço Telefônico Fixo Comutado - STFC, na modalidade Local, deverá assegurar que, no mínimo, dois por cento do total de Telefones de Uso Público - </w:t>
      </w:r>
      <w:proofErr w:type="spellStart"/>
      <w:r w:rsidRPr="00C410FB">
        <w:rPr>
          <w:rFonts w:ascii="Book Antiqua" w:eastAsia="Times New Roman" w:hAnsi="Book Antiqua" w:cs="Times New Roman"/>
          <w:sz w:val="19"/>
          <w:szCs w:val="19"/>
          <w:lang w:eastAsia="pt-BR"/>
        </w:rPr>
        <w:t>TUPs</w:t>
      </w:r>
      <w:proofErr w:type="spellEnd"/>
      <w:r w:rsidRPr="00C410FB">
        <w:rPr>
          <w:rFonts w:ascii="Book Antiqua" w:eastAsia="Times New Roman" w:hAnsi="Book Antiqua" w:cs="Times New Roman"/>
          <w:sz w:val="19"/>
          <w:szCs w:val="19"/>
          <w:lang w:eastAsia="pt-BR"/>
        </w:rPr>
        <w:t xml:space="preserve">, sem cabine, com capacidade para originar e receber chamadas locais e de longa distância nacional, bem como, pelo menos, dois por cento do total de </w:t>
      </w:r>
      <w:proofErr w:type="spellStart"/>
      <w:r w:rsidRPr="00C410FB">
        <w:rPr>
          <w:rFonts w:ascii="Book Antiqua" w:eastAsia="Times New Roman" w:hAnsi="Book Antiqua" w:cs="Times New Roman"/>
          <w:sz w:val="19"/>
          <w:szCs w:val="19"/>
          <w:lang w:eastAsia="pt-BR"/>
        </w:rPr>
        <w:t>TUPs</w:t>
      </w:r>
      <w:proofErr w:type="spellEnd"/>
      <w:r w:rsidRPr="00C410FB">
        <w:rPr>
          <w:rFonts w:ascii="Book Antiqua" w:eastAsia="Times New Roman" w:hAnsi="Book Antiqua" w:cs="Times New Roman"/>
          <w:sz w:val="19"/>
          <w:szCs w:val="19"/>
          <w:lang w:eastAsia="pt-BR"/>
        </w:rPr>
        <w:t>, com capacidade para originar e receber chamadas de longa distância, nacional e internacional, estejam adaptados para o uso de pessoas portadoras de deficiência auditiva e para usuários de cadeiras de rodas, ou conforme estabelecer os Planos Gerais de Metas de Universalização.</w:t>
      </w:r>
    </w:p>
    <w:p w14:paraId="495F50E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As botoeiras e demais sistemas de acionamento dos terminais de </w:t>
      </w:r>
      <w:proofErr w:type="spellStart"/>
      <w:r w:rsidRPr="00C410FB">
        <w:rPr>
          <w:rFonts w:ascii="Book Antiqua" w:eastAsia="Times New Roman" w:hAnsi="Book Antiqua" w:cs="Times New Roman"/>
          <w:sz w:val="19"/>
          <w:szCs w:val="19"/>
          <w:lang w:eastAsia="pt-BR"/>
        </w:rPr>
        <w:t>auto-atendimento</w:t>
      </w:r>
      <w:proofErr w:type="spellEnd"/>
      <w:r w:rsidRPr="00C410FB">
        <w:rPr>
          <w:rFonts w:ascii="Book Antiqua" w:eastAsia="Times New Roman" w:hAnsi="Book Antiqua" w:cs="Times New Roman"/>
          <w:sz w:val="19"/>
          <w:szCs w:val="19"/>
          <w:lang w:eastAsia="pt-BR"/>
        </w:rPr>
        <w:t xml:space="preserve"> de produtos e serviços e outros equipamentos em que haja interação com o público devem estar localizados em altura que possibilite o manuseio por pessoas em cadeira de rodas e possuir mecanismos para utilização autônoma por pessoas portadoras de deficiência visual e auditiva, conforme padrões estabelecidos nas normas técnicas de acessibilidade da ABNT.</w:t>
      </w:r>
    </w:p>
    <w:p w14:paraId="68AFEB5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17.  Os semáforos para pedestres instalados nas vias públicas deverão estar equipados com mecanismo que sirva de guia ou orientação para a travessia de pessoa portadora de deficiência visual ou com mobilidade reduzida em todos os locais onde a intensidade do fluxo de veículos, de pessoas ou a periculosidade na via assim determinarem, bem como mediante solicitação dos interessados.</w:t>
      </w:r>
    </w:p>
    <w:p w14:paraId="3FE42346" w14:textId="24457CF6"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D671F">
        <w:rPr>
          <w:rFonts w:ascii="Book Antiqua" w:eastAsia="Times New Roman" w:hAnsi="Book Antiqua" w:cs="Times New Roman"/>
          <w:b/>
          <w:bCs/>
          <w:sz w:val="19"/>
          <w:szCs w:val="19"/>
          <w:highlight w:val="magenta"/>
          <w:lang w:eastAsia="pt-BR"/>
        </w:rPr>
        <w:t>Art. 18</w:t>
      </w:r>
      <w:r w:rsidRPr="00C410FB">
        <w:rPr>
          <w:rFonts w:ascii="Book Antiqua" w:eastAsia="Times New Roman" w:hAnsi="Book Antiqua" w:cs="Times New Roman"/>
          <w:sz w:val="19"/>
          <w:szCs w:val="19"/>
          <w:lang w:eastAsia="pt-BR"/>
        </w:rPr>
        <w:t>.  A construção de edificações de uso privado multifamiliar e a construção, ampliação ou reforma de edificações de uso coletivo devem atender aos preceitos da acessibilidade na interligação de todas as partes de uso comum ou abertas ao público, conforme os padrões das normas técnicas de acessibilidade da ABNT.</w:t>
      </w:r>
      <w:r w:rsidR="003D671F">
        <w:rPr>
          <w:rFonts w:ascii="Book Antiqua" w:eastAsia="Times New Roman" w:hAnsi="Book Antiqua" w:cs="Times New Roman"/>
          <w:sz w:val="19"/>
          <w:szCs w:val="19"/>
          <w:lang w:eastAsia="pt-BR"/>
        </w:rPr>
        <w:t xml:space="preserve"> </w:t>
      </w:r>
      <w:r w:rsidR="003D671F" w:rsidRPr="0027257E">
        <w:rPr>
          <w:rFonts w:ascii="Book Antiqua" w:eastAsia="Times New Roman" w:hAnsi="Book Antiqua" w:cs="Arial"/>
          <w:b/>
          <w:bCs/>
          <w:color w:val="FF0000"/>
          <w:sz w:val="19"/>
          <w:szCs w:val="19"/>
          <w:u w:val="single"/>
          <w:lang w:eastAsia="pt-BR"/>
        </w:rPr>
        <w:t>(MPPR-2014)</w:t>
      </w:r>
    </w:p>
    <w:p w14:paraId="2E2A16E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Também estão sujeitos ao disposto no caput os acessos, piscinas, andares de recreação, salão de festas e reuniões, saunas e banheiros, quadras esportivas, portarias, estacionamentos e garagens, entre outras partes das áreas internas ou externas de uso comum das edificações de uso privado multifamiliar e das de uso coletivo.</w:t>
      </w:r>
    </w:p>
    <w:p w14:paraId="1FBCCFD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19.  A construção, ampliação ou reforma de edificações de uso público deve garantir, pelo menos, um dos acessos ao seu interior, com comunicação com todas as suas dependências e serviços, livre de barreiras e de obstáculos que impeçam ou dificultem a sua acessibilidade.</w:t>
      </w:r>
    </w:p>
    <w:p w14:paraId="297F437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No caso das edificações de uso público já existentes, terão elas prazo de trinta meses a contar da data de publicação deste Decreto para garantir acessibilidade às pessoas portadoras de deficiência ou com mobilidade reduzida.</w:t>
      </w:r>
    </w:p>
    <w:p w14:paraId="124C724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Sempre que houver viabilidade arquitetônica, o Poder Público buscará garantir dotação orçamentária para ampliar o número de acessos nas edificações de uso público a serem construídas, ampliadas ou reformadas.</w:t>
      </w:r>
    </w:p>
    <w:p w14:paraId="19C8777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20.  Na ampliação ou reforma das edificações de uso púbico ou de uso coletivo, os desníveis das áreas de circulação internas ou externas serão transpostos por meio de rampa ou equipamento eletromecânico de deslocamento vertical, quando não for possível outro acesso mais cômodo para pessoa portadora de deficiência ou com mobilidade reduzida, conforme estabelecido nas normas técnicas de acessibilidade da ABNT.</w:t>
      </w:r>
    </w:p>
    <w:p w14:paraId="3A9BE52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21.  Os balcões de atendimento e as bilheterias em edificação de uso público ou de uso coletivo devem dispor de, pelo menos, uma parte da superfície acessível para atendimento às pessoas portadoras de deficiência ou com mobilidade reduzida, conforme os padrões das normas técnicas de acessibilidade da ABNT.</w:t>
      </w:r>
    </w:p>
    <w:p w14:paraId="09B1CEC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No caso do exercício do direito de voto, as urnas das seções eleitorais devem ser adequadas ao uso com autonomia pelas pessoas portadoras de deficiência ou com mobilidade reduzida e estarem instaladas em local de votação plenamente acessível e com estacionamento próximo.</w:t>
      </w:r>
    </w:p>
    <w:p w14:paraId="0555523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22.  A construção, ampliação ou reforma de edificações de uso público ou de uso coletivo devem dispor de sanitários acessíveis destinados ao uso por pessoa portadora de deficiência ou com mobilidade reduzida.</w:t>
      </w:r>
    </w:p>
    <w:p w14:paraId="3540309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Nas edificações de uso público a serem construídas, os sanitários destinados ao uso por pessoa portadora de deficiência ou com mobilidade reduzida serão distribuídos na razão de, no mínimo, uma cabine para cada sexo em cada pavimento da edificação, com entrada independente dos sanitários coletivos, obedecendo às normas técnicas de acessibilidade da ABNT.</w:t>
      </w:r>
    </w:p>
    <w:p w14:paraId="7A941F0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Nas edificações de uso público já existentes, terão elas prazo de trinta meses a contar da data de publicação deste Decreto para garantir pelo menos um banheiro acessível por pavimento, com entrada independente, distribuindo-se seus equipamentos e acessórios de modo que possam ser utilizados por pessoa portadora de deficiência ou com mobilidade reduzida.</w:t>
      </w:r>
    </w:p>
    <w:p w14:paraId="1F779FD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Nas edificações de uso coletivo a serem construídas, ampliadas ou reformadas, onde devem existir banheiros de uso público, os sanitários destinados ao uso por pessoa portadora de deficiência deverão ter entrada independente dos demais e obedecer às normas técnicas de acessibilidade da ABNT.</w:t>
      </w:r>
    </w:p>
    <w:p w14:paraId="4B3BF9C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Nas edificações de uso coletivo já existentes, onde haja banheiros destinados ao uso público, os sanitários preparados para o uso por pessoa portadora de deficiência ou com mobilidade reduzida deverão estar localizados nos pavimentos acessíveis, ter entrada independente dos demais sanitários, se houver, e obedecer as normas técnicas de acessibilidade da ABNT.</w:t>
      </w:r>
    </w:p>
    <w:p w14:paraId="56EB59F5" w14:textId="0603EC0C" w:rsidR="00537CF7" w:rsidRPr="00C410FB" w:rsidRDefault="00537CF7" w:rsidP="00537CF7">
      <w:pPr>
        <w:pStyle w:val="NormalWeb"/>
        <w:ind w:firstLine="525"/>
        <w:jc w:val="both"/>
        <w:rPr>
          <w:rFonts w:ascii="Book Antiqua" w:hAnsi="Book Antiqua" w:cs="Arial"/>
          <w:color w:val="000000"/>
          <w:sz w:val="19"/>
          <w:szCs w:val="19"/>
        </w:rPr>
      </w:pPr>
      <w:bookmarkStart w:id="4" w:name="art23"/>
      <w:bookmarkEnd w:id="4"/>
      <w:r w:rsidRPr="0014144A">
        <w:rPr>
          <w:rFonts w:ascii="Book Antiqua" w:hAnsi="Book Antiqua" w:cs="Arial"/>
          <w:b/>
          <w:bCs/>
          <w:color w:val="000000"/>
          <w:sz w:val="19"/>
          <w:szCs w:val="19"/>
          <w:highlight w:val="magenta"/>
        </w:rPr>
        <w:t>Art. 23</w:t>
      </w:r>
      <w:r w:rsidRPr="00C410FB">
        <w:rPr>
          <w:rFonts w:ascii="Book Antiqua" w:hAnsi="Book Antiqua" w:cs="Arial"/>
          <w:color w:val="000000"/>
          <w:sz w:val="19"/>
          <w:szCs w:val="19"/>
        </w:rPr>
        <w:t>.  Nos teatros, cinemas, auditórios, estádios, ginásios de esporte, locais de espetáculos e de conferências e similares, serão reservados espaços livres para pessoas em cadeira de rodas e assentos para pessoas com deficiência ou com mobilidade reduzida, de acordo com a capacidade de lotação da edificação, conforme o disposto no</w:t>
      </w:r>
      <w:hyperlink r:id="rId15" w:anchor="art44§1" w:history="1">
        <w:r w:rsidRPr="00C410FB">
          <w:rPr>
            <w:rStyle w:val="Hyperlink"/>
            <w:rFonts w:ascii="Book Antiqua" w:hAnsi="Book Antiqua" w:cs="Arial"/>
            <w:sz w:val="19"/>
            <w:szCs w:val="19"/>
          </w:rPr>
          <w:t xml:space="preserve"> art. 44 § 1º, da Lei 13.446, de 2015</w:t>
        </w:r>
      </w:hyperlink>
      <w:r w:rsidRPr="00C410FB">
        <w:rPr>
          <w:rFonts w:ascii="Book Antiqua" w:hAnsi="Book Antiqua" w:cs="Arial"/>
          <w:color w:val="000000"/>
          <w:sz w:val="19"/>
          <w:szCs w:val="19"/>
        </w:rPr>
        <w:t>.</w:t>
      </w:r>
      <w:r w:rsidR="0014144A">
        <w:rPr>
          <w:rFonts w:ascii="Book Antiqua" w:hAnsi="Book Antiqua" w:cs="Arial"/>
          <w:color w:val="000000"/>
          <w:sz w:val="19"/>
          <w:szCs w:val="19"/>
        </w:rPr>
        <w:t xml:space="preserve"> </w:t>
      </w:r>
      <w:hyperlink r:id="rId16" w:anchor="art1" w:history="1">
        <w:r w:rsidRPr="00C410FB">
          <w:rPr>
            <w:rStyle w:val="Hyperlink"/>
            <w:rFonts w:ascii="Book Antiqua" w:hAnsi="Book Antiqua" w:cs="Arial"/>
            <w:sz w:val="19"/>
            <w:szCs w:val="19"/>
          </w:rPr>
          <w:t>(Redação dada pelo Decreto nº 9.404, de 2018)</w:t>
        </w:r>
      </w:hyperlink>
    </w:p>
    <w:p w14:paraId="1DE6EB17" w14:textId="77777777" w:rsidR="00537CF7" w:rsidRPr="00C410FB" w:rsidRDefault="00537CF7" w:rsidP="00537CF7">
      <w:pPr>
        <w:pStyle w:val="NormalWeb"/>
        <w:ind w:firstLine="525"/>
        <w:jc w:val="both"/>
        <w:rPr>
          <w:rFonts w:ascii="Book Antiqua" w:hAnsi="Book Antiqua" w:cs="Arial"/>
          <w:color w:val="000000"/>
          <w:sz w:val="19"/>
          <w:szCs w:val="19"/>
        </w:rPr>
      </w:pPr>
      <w:r w:rsidRPr="0014144A">
        <w:rPr>
          <w:rFonts w:ascii="Book Antiqua" w:hAnsi="Book Antiqua" w:cs="Arial"/>
          <w:b/>
          <w:bCs/>
          <w:color w:val="000000"/>
          <w:sz w:val="19"/>
          <w:szCs w:val="19"/>
          <w:highlight w:val="magenta"/>
        </w:rPr>
        <w:t>§ 1º</w:t>
      </w:r>
      <w:r w:rsidRPr="00C410FB">
        <w:rPr>
          <w:rFonts w:ascii="Book Antiqua" w:hAnsi="Book Antiqua" w:cs="Arial"/>
          <w:color w:val="000000"/>
          <w:sz w:val="19"/>
          <w:szCs w:val="19"/>
        </w:rPr>
        <w:t xml:space="preserve">  Os espaços e os assentos a que se refere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a serem instalados e sinalizados conforme os requisitos estabelecidos nas normas técnicas de acessibilidade da Associação Brasileira de Normas Técnicas - ABNT, devem:                          </w:t>
      </w:r>
      <w:hyperlink r:id="rId17" w:anchor="art1" w:history="1">
        <w:r w:rsidRPr="00C410FB">
          <w:rPr>
            <w:rStyle w:val="Hyperlink"/>
            <w:rFonts w:ascii="Book Antiqua" w:hAnsi="Book Antiqua" w:cs="Arial"/>
            <w:sz w:val="19"/>
            <w:szCs w:val="19"/>
          </w:rPr>
          <w:t>(Redação dada pelo Decreto nº 9.404, de 2018)</w:t>
        </w:r>
      </w:hyperlink>
    </w:p>
    <w:p w14:paraId="3ED59817" w14:textId="470BC464"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I - ser disponibilizados, no caso de edificações com capacidade de lotação de até mil lugares, na proporção de:                      </w:t>
      </w:r>
      <w:hyperlink r:id="rId18"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23386FD1" w14:textId="5BB92E20"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a) dois por cento de espaços para pessoas em cadeira de rodas, com a garantia de, no mínimo, um espaço; e                      </w:t>
      </w:r>
      <w:hyperlink r:id="rId19"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47266703" w14:textId="40A6868F"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b) dois por cento de assentos para pessoas com deficiência ou com mobilidade reduzida, com a garantia de, no mínimo, um assento; ou   </w:t>
      </w:r>
      <w:hyperlink r:id="rId20"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274ABFE0" w14:textId="3940CA4A"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II - ser disponibilizados, no caso de edificações com capacidade de lotação acima de mil lugares, na proporção de:                       </w:t>
      </w:r>
      <w:hyperlink r:id="rId21"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79AFA96C" w14:textId="11601FFF"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a) vinte espaços para pessoas em cadeira de rodas mais um por cento do que exceder mil lugares; e </w:t>
      </w:r>
      <w:hyperlink r:id="rId22"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63038526" w14:textId="3803AEF3" w:rsidR="00537CF7" w:rsidRPr="0014144A"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b) vinte assentos para pessoas com deficiência ou com mobilidade reduzida mais um por cento do que exceder mil lugares.    </w:t>
      </w:r>
      <w:hyperlink r:id="rId23" w:anchor="art1" w:history="1">
        <w:r w:rsidRPr="00C410FB">
          <w:rPr>
            <w:rStyle w:val="Hyperlink"/>
            <w:rFonts w:ascii="Book Antiqua" w:hAnsi="Book Antiqua" w:cs="Arial"/>
            <w:sz w:val="19"/>
            <w:szCs w:val="19"/>
          </w:rPr>
          <w:t>(Incluído pelo Decreto nº 9.404, de 2018)</w:t>
        </w:r>
      </w:hyperlink>
      <w:r w:rsidR="0014144A">
        <w:rPr>
          <w:rStyle w:val="Hyperlink"/>
          <w:rFonts w:ascii="Book Antiqua" w:hAnsi="Book Antiqua" w:cs="Arial"/>
          <w:sz w:val="19"/>
          <w:szCs w:val="19"/>
          <w:u w:val="none"/>
        </w:rPr>
        <w:t xml:space="preserve"> </w:t>
      </w:r>
      <w:r w:rsidR="0014144A" w:rsidRPr="003629F3">
        <w:rPr>
          <w:rFonts w:ascii="Book Antiqua" w:hAnsi="Book Antiqua"/>
          <w:b/>
          <w:bCs/>
          <w:color w:val="FF0000"/>
          <w:sz w:val="19"/>
          <w:szCs w:val="19"/>
          <w:u w:val="single"/>
        </w:rPr>
        <w:t>(MPGO-2019)</w:t>
      </w:r>
    </w:p>
    <w:p w14:paraId="1917F8D2"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2º  Cinquenta por cento dos assentos reservados para pessoas com deficiência ou com mobilidade reduzida devem ter características dimensionais e estruturais para o uso por pessoa obesa, conforme norma técnica de acessibilidade da ABNT, com a garantia de, no mínimo, um assento.                     </w:t>
      </w:r>
      <w:hyperlink r:id="rId24" w:anchor="art1" w:history="1">
        <w:r w:rsidRPr="00C410FB">
          <w:rPr>
            <w:rStyle w:val="Hyperlink"/>
            <w:rFonts w:ascii="Book Antiqua" w:hAnsi="Book Antiqua" w:cs="Arial"/>
            <w:sz w:val="19"/>
            <w:szCs w:val="19"/>
          </w:rPr>
          <w:t>(Redação dada pelo Decreto nº 9.404, de 2018)</w:t>
        </w:r>
      </w:hyperlink>
    </w:p>
    <w:p w14:paraId="47B146FD"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3º  Os espaços e os assentos a que se refere este artigo deverão situar-se em locais que garantam a acomodação de um acompanhante ao lado da pessoa com deficiência ou com mobilidade reduzida, resguardado o direito de se acomodar proximamente a grupo familiar e comunitário.                    </w:t>
      </w:r>
      <w:hyperlink r:id="rId25" w:anchor="art1" w:history="1">
        <w:r w:rsidRPr="00C410FB">
          <w:rPr>
            <w:rStyle w:val="Hyperlink"/>
            <w:rFonts w:ascii="Book Antiqua" w:hAnsi="Book Antiqua" w:cs="Arial"/>
            <w:sz w:val="19"/>
            <w:szCs w:val="19"/>
          </w:rPr>
          <w:t>(Redação dada pelo Decreto nº 9.404, de 2018)</w:t>
        </w:r>
      </w:hyperlink>
    </w:p>
    <w:p w14:paraId="76FD2250"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4º  Nos locais referidos no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haverá, obrigatoriamente, rotas de fuga e saídas de emergência acessíveis, conforme padrões das normas técnicas de acessibilidade da ABNT, a fim de permitir a saída segura de pessoas com deficiência ou com mobilidade reduzida, em caso de emergência.                      </w:t>
      </w:r>
      <w:hyperlink r:id="rId26" w:anchor="art1" w:history="1">
        <w:r w:rsidRPr="00C410FB">
          <w:rPr>
            <w:rStyle w:val="Hyperlink"/>
            <w:rFonts w:ascii="Book Antiqua" w:hAnsi="Book Antiqua" w:cs="Arial"/>
            <w:sz w:val="19"/>
            <w:szCs w:val="19"/>
          </w:rPr>
          <w:t>(Redação dada pelo Decreto nº 9.404, de 2018)</w:t>
        </w:r>
      </w:hyperlink>
    </w:p>
    <w:p w14:paraId="681A3F10"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lastRenderedPageBreak/>
        <w:t xml:space="preserve">§ 5º  As áreas de acesso aos artistas, tais como coxias e camarins, também devem ser acessíveis a pessoas com deficiência ou com mobilidade reduzida.                        </w:t>
      </w:r>
      <w:hyperlink r:id="rId27" w:anchor="art1" w:history="1">
        <w:r w:rsidRPr="00C410FB">
          <w:rPr>
            <w:rStyle w:val="Hyperlink"/>
            <w:rFonts w:ascii="Book Antiqua" w:hAnsi="Book Antiqua" w:cs="Arial"/>
            <w:sz w:val="19"/>
            <w:szCs w:val="19"/>
          </w:rPr>
          <w:t>(Redação dada pelo Decreto nº 9.404, de 2018)</w:t>
        </w:r>
      </w:hyperlink>
    </w:p>
    <w:p w14:paraId="51F22725"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6º  Para obtenção do financiamento de que trata o inciso III do </w:t>
      </w:r>
      <w:r w:rsidRPr="00C410FB">
        <w:rPr>
          <w:rFonts w:ascii="Book Antiqua" w:hAnsi="Book Antiqua" w:cs="Arial"/>
          <w:b/>
          <w:bCs/>
          <w:color w:val="000000"/>
          <w:sz w:val="19"/>
          <w:szCs w:val="19"/>
        </w:rPr>
        <w:t xml:space="preserve">caput </w:t>
      </w:r>
      <w:r w:rsidRPr="00C410FB">
        <w:rPr>
          <w:rFonts w:ascii="Book Antiqua" w:hAnsi="Book Antiqua" w:cs="Arial"/>
          <w:color w:val="000000"/>
          <w:sz w:val="19"/>
          <w:szCs w:val="19"/>
        </w:rPr>
        <w:t xml:space="preserve">do art. 2º, as salas de espetáculo deverão dispor de meios eletrônicos que permitam a transmissão de </w:t>
      </w:r>
      <w:proofErr w:type="spellStart"/>
      <w:r w:rsidRPr="00C410FB">
        <w:rPr>
          <w:rFonts w:ascii="Book Antiqua" w:hAnsi="Book Antiqua" w:cs="Arial"/>
          <w:color w:val="000000"/>
          <w:sz w:val="19"/>
          <w:szCs w:val="19"/>
        </w:rPr>
        <w:t>subtitulação</w:t>
      </w:r>
      <w:proofErr w:type="spellEnd"/>
      <w:r w:rsidRPr="00C410FB">
        <w:rPr>
          <w:rFonts w:ascii="Book Antiqua" w:hAnsi="Book Antiqua" w:cs="Arial"/>
          <w:color w:val="000000"/>
          <w:sz w:val="19"/>
          <w:szCs w:val="19"/>
        </w:rPr>
        <w:t xml:space="preserve"> por meio de legenda oculta e de audiodescrição, além de disposições especiais para a presença física de intérprete de Libras e de guias-intérpretes, com a projeção em tela da imagem do intérprete sempre que a distância não permitir sua visualização direta.       </w:t>
      </w:r>
      <w:hyperlink r:id="rId28" w:anchor="art1" w:history="1">
        <w:r w:rsidRPr="00C410FB">
          <w:rPr>
            <w:rStyle w:val="Hyperlink"/>
            <w:rFonts w:ascii="Book Antiqua" w:hAnsi="Book Antiqua" w:cs="Arial"/>
            <w:sz w:val="19"/>
            <w:szCs w:val="19"/>
          </w:rPr>
          <w:t>(Redação dada pelo Decreto nº 9.404, de 2018)</w:t>
        </w:r>
      </w:hyperlink>
    </w:p>
    <w:p w14:paraId="51D4AA94" w14:textId="77777777" w:rsidR="00537CF7" w:rsidRPr="00C410FB" w:rsidRDefault="00537CF7" w:rsidP="00537CF7">
      <w:pPr>
        <w:pStyle w:val="NormalWeb"/>
        <w:ind w:firstLine="567"/>
        <w:jc w:val="both"/>
        <w:rPr>
          <w:rFonts w:ascii="Book Antiqua" w:hAnsi="Book Antiqua" w:cs="Arial"/>
          <w:color w:val="000000"/>
          <w:sz w:val="19"/>
          <w:szCs w:val="19"/>
        </w:rPr>
      </w:pPr>
      <w:r w:rsidRPr="00C410FB">
        <w:rPr>
          <w:rFonts w:ascii="Book Antiqua" w:hAnsi="Book Antiqua" w:cs="Arial"/>
          <w:color w:val="000000"/>
          <w:sz w:val="19"/>
          <w:szCs w:val="19"/>
        </w:rPr>
        <w:t>§ 7</w:t>
      </w:r>
      <w:r w:rsidRPr="00C410FB">
        <w:rPr>
          <w:rFonts w:ascii="Book Antiqua" w:hAnsi="Book Antiqua" w:cs="Arial"/>
          <w:color w:val="000000"/>
          <w:sz w:val="19"/>
          <w:szCs w:val="19"/>
          <w:u w:val="single"/>
          <w:vertAlign w:val="superscript"/>
        </w:rPr>
        <w:t>o</w:t>
      </w:r>
      <w:r w:rsidRPr="00C410FB">
        <w:rPr>
          <w:rFonts w:ascii="Book Antiqua" w:hAnsi="Book Antiqua" w:cs="Arial"/>
          <w:color w:val="000000"/>
          <w:sz w:val="19"/>
          <w:szCs w:val="19"/>
        </w:rPr>
        <w:t>  O sistema de sonorização assistida a que se refere o § 6</w:t>
      </w:r>
      <w:r w:rsidRPr="00C410FB">
        <w:rPr>
          <w:rFonts w:ascii="Book Antiqua" w:hAnsi="Book Antiqua" w:cs="Arial"/>
          <w:color w:val="000000"/>
          <w:sz w:val="19"/>
          <w:szCs w:val="19"/>
          <w:u w:val="single"/>
          <w:vertAlign w:val="superscript"/>
        </w:rPr>
        <w:t>o</w:t>
      </w:r>
      <w:r w:rsidRPr="00C410FB">
        <w:rPr>
          <w:rFonts w:ascii="Book Antiqua" w:hAnsi="Book Antiqua" w:cs="Arial"/>
          <w:color w:val="000000"/>
          <w:sz w:val="19"/>
          <w:szCs w:val="19"/>
        </w:rPr>
        <w:t xml:space="preserve"> será sinalizado por meio do pictograma aprovado pela </w:t>
      </w:r>
      <w:hyperlink r:id="rId29" w:history="1">
        <w:r w:rsidRPr="00C410FB">
          <w:rPr>
            <w:rStyle w:val="Hyperlink"/>
            <w:rFonts w:ascii="Book Antiqua" w:hAnsi="Book Antiqua" w:cs="Arial"/>
            <w:sz w:val="19"/>
            <w:szCs w:val="19"/>
          </w:rPr>
          <w:t>Lei n</w:t>
        </w:r>
        <w:r w:rsidRPr="00C410FB">
          <w:rPr>
            <w:rStyle w:val="Hyperlink"/>
            <w:rFonts w:ascii="Book Antiqua" w:hAnsi="Book Antiqua" w:cs="Arial"/>
            <w:sz w:val="19"/>
            <w:szCs w:val="19"/>
            <w:vertAlign w:val="superscript"/>
          </w:rPr>
          <w:t>o</w:t>
        </w:r>
        <w:r w:rsidRPr="00C410FB">
          <w:rPr>
            <w:rStyle w:val="Hyperlink"/>
            <w:rFonts w:ascii="Book Antiqua" w:hAnsi="Book Antiqua" w:cs="Arial"/>
            <w:sz w:val="19"/>
            <w:szCs w:val="19"/>
          </w:rPr>
          <w:t xml:space="preserve"> 8.160, de 8 de janeiro de 1991.</w:t>
        </w:r>
      </w:hyperlink>
    </w:p>
    <w:p w14:paraId="66A0DE6F" w14:textId="77777777" w:rsidR="00537CF7" w:rsidRPr="00C410FB" w:rsidRDefault="00537CF7" w:rsidP="00537CF7">
      <w:pPr>
        <w:pStyle w:val="NormalWeb"/>
        <w:ind w:firstLine="567"/>
        <w:jc w:val="both"/>
        <w:rPr>
          <w:rFonts w:ascii="Book Antiqua" w:hAnsi="Book Antiqua" w:cs="Arial"/>
          <w:color w:val="000000"/>
          <w:sz w:val="19"/>
          <w:szCs w:val="19"/>
        </w:rPr>
      </w:pPr>
      <w:r w:rsidRPr="00C410FB">
        <w:rPr>
          <w:rFonts w:ascii="Book Antiqua" w:hAnsi="Book Antiqua" w:cs="Arial"/>
          <w:color w:val="000000"/>
          <w:sz w:val="19"/>
          <w:szCs w:val="19"/>
        </w:rPr>
        <w:t>§ 8</w:t>
      </w:r>
      <w:r w:rsidRPr="00C410FB">
        <w:rPr>
          <w:rFonts w:ascii="Book Antiqua" w:hAnsi="Book Antiqua" w:cs="Arial"/>
          <w:color w:val="000000"/>
          <w:sz w:val="19"/>
          <w:szCs w:val="19"/>
          <w:u w:val="single"/>
          <w:vertAlign w:val="superscript"/>
        </w:rPr>
        <w:t>o</w:t>
      </w:r>
      <w:r w:rsidRPr="00C410FB">
        <w:rPr>
          <w:rFonts w:ascii="Book Antiqua" w:hAnsi="Book Antiqua" w:cs="Arial"/>
          <w:color w:val="000000"/>
          <w:sz w:val="19"/>
          <w:szCs w:val="19"/>
        </w:rPr>
        <w:t>  As edificações de uso público e de uso coletivo referidas no caput, já existentes, têm, respectivamente, prazo de trinta e quarenta e oito meses, a contar da data de publicação deste Decreto, para garantir a acessibilidade de que trata o caput e os §§ 1</w:t>
      </w:r>
      <w:r w:rsidRPr="00C410FB">
        <w:rPr>
          <w:rFonts w:ascii="Book Antiqua" w:hAnsi="Book Antiqua" w:cs="Arial"/>
          <w:color w:val="000000"/>
          <w:sz w:val="19"/>
          <w:szCs w:val="19"/>
          <w:u w:val="single"/>
          <w:vertAlign w:val="superscript"/>
        </w:rPr>
        <w:t>o</w:t>
      </w:r>
      <w:r w:rsidRPr="00C410FB">
        <w:rPr>
          <w:rFonts w:ascii="Book Antiqua" w:hAnsi="Book Antiqua" w:cs="Arial"/>
          <w:color w:val="000000"/>
          <w:sz w:val="19"/>
          <w:szCs w:val="19"/>
        </w:rPr>
        <w:t xml:space="preserve"> a 5</w:t>
      </w:r>
      <w:r w:rsidRPr="00C410FB">
        <w:rPr>
          <w:rFonts w:ascii="Book Antiqua" w:hAnsi="Book Antiqua" w:cs="Arial"/>
          <w:color w:val="000000"/>
          <w:sz w:val="19"/>
          <w:szCs w:val="19"/>
          <w:u w:val="single"/>
          <w:vertAlign w:val="superscript"/>
        </w:rPr>
        <w:t>o</w:t>
      </w:r>
      <w:r w:rsidRPr="00C410FB">
        <w:rPr>
          <w:rFonts w:ascii="Book Antiqua" w:hAnsi="Book Antiqua" w:cs="Arial"/>
          <w:color w:val="000000"/>
          <w:sz w:val="19"/>
          <w:szCs w:val="19"/>
        </w:rPr>
        <w:t>.</w:t>
      </w:r>
    </w:p>
    <w:p w14:paraId="44822D07" w14:textId="77777777" w:rsidR="00537CF7" w:rsidRPr="00C410FB" w:rsidRDefault="00537CF7" w:rsidP="00537CF7">
      <w:pPr>
        <w:pStyle w:val="NormalWeb"/>
        <w:ind w:firstLine="525"/>
        <w:jc w:val="both"/>
        <w:rPr>
          <w:rFonts w:ascii="Book Antiqua" w:hAnsi="Book Antiqua" w:cs="Arial"/>
          <w:color w:val="000000"/>
          <w:sz w:val="19"/>
          <w:szCs w:val="19"/>
        </w:rPr>
      </w:pPr>
      <w:bookmarkStart w:id="5" w:name="art23§9"/>
      <w:bookmarkEnd w:id="5"/>
      <w:r w:rsidRPr="00C410FB">
        <w:rPr>
          <w:rFonts w:ascii="Book Antiqua" w:hAnsi="Book Antiqua" w:cs="Arial"/>
          <w:color w:val="000000"/>
          <w:sz w:val="19"/>
          <w:szCs w:val="19"/>
        </w:rPr>
        <w:t xml:space="preserve">§ 9º  Na hipótese de a aplicação do percentual previsto nos § 1º e § 2º resultar em número fracionado, será utilizado o primeiro número inteiro superior.                       </w:t>
      </w:r>
      <w:hyperlink r:id="rId30" w:anchor="art1" w:history="1">
        <w:r w:rsidRPr="00C410FB">
          <w:rPr>
            <w:rStyle w:val="Hyperlink"/>
            <w:rFonts w:ascii="Book Antiqua" w:hAnsi="Book Antiqua" w:cs="Arial"/>
            <w:sz w:val="19"/>
            <w:szCs w:val="19"/>
          </w:rPr>
          <w:t>(Incluído pelo Decreto nº 9.404, de 2018)</w:t>
        </w:r>
      </w:hyperlink>
    </w:p>
    <w:p w14:paraId="5106442D"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10.  As adaptações necessárias à oferta de assentos com características dimensionais e estruturais para o uso por pessoa obesa de que trata o § 2º serão implementadas no prazo de doze meses, contado da data de publicação deste Decreto.                        </w:t>
      </w:r>
      <w:hyperlink r:id="rId31" w:anchor="art1" w:history="1">
        <w:r w:rsidRPr="00C410FB">
          <w:rPr>
            <w:rStyle w:val="Hyperlink"/>
            <w:rFonts w:ascii="Book Antiqua" w:hAnsi="Book Antiqua" w:cs="Arial"/>
            <w:sz w:val="19"/>
            <w:szCs w:val="19"/>
          </w:rPr>
          <w:t>(Incluído pelo Decreto nº 9.404, de 2018)</w:t>
        </w:r>
      </w:hyperlink>
    </w:p>
    <w:p w14:paraId="78725BFE"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11.  O direito à meia entrada para pessoas com deficiência não está restrito aos espaços e aos assentos reservados de que trata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e está sujeito ao limite estabelecido no </w:t>
      </w:r>
      <w:hyperlink r:id="rId32" w:anchor="art1§10" w:history="1">
        <w:r w:rsidRPr="00C410FB">
          <w:rPr>
            <w:rStyle w:val="Hyperlink"/>
            <w:rFonts w:ascii="Book Antiqua" w:hAnsi="Book Antiqua" w:cs="Arial"/>
            <w:sz w:val="19"/>
            <w:szCs w:val="19"/>
          </w:rPr>
          <w:t>§ 10 do art. 1º da Lei nº 12.933, de 26 de dezembro de 2013</w:t>
        </w:r>
      </w:hyperlink>
      <w:r w:rsidRPr="00C410FB">
        <w:rPr>
          <w:rFonts w:ascii="Book Antiqua" w:hAnsi="Book Antiqua" w:cs="Arial"/>
          <w:color w:val="000000"/>
          <w:sz w:val="19"/>
          <w:szCs w:val="19"/>
        </w:rPr>
        <w:t xml:space="preserve">.                          </w:t>
      </w:r>
      <w:hyperlink r:id="rId33" w:anchor="art1" w:history="1">
        <w:r w:rsidRPr="00C410FB">
          <w:rPr>
            <w:rStyle w:val="Hyperlink"/>
            <w:rFonts w:ascii="Book Antiqua" w:hAnsi="Book Antiqua" w:cs="Arial"/>
            <w:sz w:val="19"/>
            <w:szCs w:val="19"/>
          </w:rPr>
          <w:t>(Incluído pelo Decreto nº 9.404, de 2018)</w:t>
        </w:r>
      </w:hyperlink>
    </w:p>
    <w:p w14:paraId="564023D2" w14:textId="77777777" w:rsidR="00537CF7" w:rsidRPr="00C410FB" w:rsidRDefault="00537CF7" w:rsidP="00537CF7">
      <w:pPr>
        <w:pStyle w:val="NormalWeb"/>
        <w:spacing w:before="0" w:beforeAutospacing="0" w:after="120" w:afterAutospacing="0"/>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12.  Os espaços e os assentos a que se refere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deverão garantir às pessoas com deficiência auditiva boa visualização da interpretação em Libras e da legendagem descritiva, sempre que estas forem oferecidas.                    </w:t>
      </w:r>
      <w:hyperlink r:id="rId34" w:anchor="art1" w:history="1">
        <w:r w:rsidRPr="00C410FB">
          <w:rPr>
            <w:rStyle w:val="Hyperlink"/>
            <w:rFonts w:ascii="Book Antiqua" w:hAnsi="Book Antiqua" w:cs="Arial"/>
            <w:sz w:val="19"/>
            <w:szCs w:val="19"/>
          </w:rPr>
          <w:t>(Incluído pelo Decreto nº 9.404, de 2018)</w:t>
        </w:r>
      </w:hyperlink>
    </w:p>
    <w:p w14:paraId="75AB1590" w14:textId="77777777" w:rsidR="00537CF7" w:rsidRPr="00C410FB" w:rsidRDefault="00537CF7" w:rsidP="00537CF7">
      <w:pPr>
        <w:pStyle w:val="NormalWeb"/>
        <w:ind w:firstLine="525"/>
        <w:jc w:val="both"/>
        <w:rPr>
          <w:rFonts w:ascii="Book Antiqua" w:hAnsi="Book Antiqua" w:cs="Arial"/>
          <w:color w:val="000000"/>
          <w:sz w:val="19"/>
          <w:szCs w:val="19"/>
        </w:rPr>
      </w:pPr>
      <w:bookmarkStart w:id="6" w:name="art23a"/>
      <w:bookmarkEnd w:id="6"/>
      <w:r w:rsidRPr="00C410FB">
        <w:rPr>
          <w:rFonts w:ascii="Book Antiqua" w:hAnsi="Book Antiqua" w:cs="Arial"/>
          <w:color w:val="000000"/>
          <w:sz w:val="19"/>
          <w:szCs w:val="19"/>
        </w:rPr>
        <w:t xml:space="preserve">Art. 23-A.  Na hipótese de não haver procura comprovada pelos espaços livres para pessoas em cadeira de rodas e assentos reservados para pessoas com deficiência ou com mobilidade reduzida, esses podem, excepcionalmente, ser ocupados por pessoas sem deficiência ou que não tenham mobilidade reduzida.                       </w:t>
      </w:r>
      <w:hyperlink r:id="rId35" w:anchor="art1" w:history="1">
        <w:r w:rsidRPr="00C410FB">
          <w:rPr>
            <w:rStyle w:val="Hyperlink"/>
            <w:rFonts w:ascii="Book Antiqua" w:hAnsi="Book Antiqua" w:cs="Arial"/>
            <w:sz w:val="19"/>
            <w:szCs w:val="19"/>
          </w:rPr>
          <w:t>(Incluído pelo Decreto nº 9.404, de 2018)</w:t>
        </w:r>
      </w:hyperlink>
    </w:p>
    <w:p w14:paraId="3F673331"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1º  A reserva de assentos de que trata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será garantida a partir do início das vendas até vinte e quatro horas antes de cada evento, com disponibilidade em todos os pontos de venda de ingresso, sejam eles físicos ou virtuais.                         </w:t>
      </w:r>
      <w:hyperlink r:id="rId36" w:anchor="art1" w:history="1">
        <w:r w:rsidRPr="00C410FB">
          <w:rPr>
            <w:rStyle w:val="Hyperlink"/>
            <w:rFonts w:ascii="Book Antiqua" w:hAnsi="Book Antiqua" w:cs="Arial"/>
            <w:sz w:val="19"/>
            <w:szCs w:val="19"/>
          </w:rPr>
          <w:t>(Incluído pelo Decreto nº 9.404, de 2018)</w:t>
        </w:r>
      </w:hyperlink>
    </w:p>
    <w:p w14:paraId="7523BEA2"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2º  No caso de eventos realizados em estabelecimentos com capacidade superior a dez mil pessoas, a reserva de assentos de que trata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será garantida a partir do início das vendas até setenta e duas horas antes de cada evento, com disponibilidade em todos os pontos de venda de ingresso, sejam eles físicos ou virtuais.                        </w:t>
      </w:r>
      <w:hyperlink r:id="rId37" w:anchor="art1" w:history="1">
        <w:r w:rsidRPr="00C410FB">
          <w:rPr>
            <w:rStyle w:val="Hyperlink"/>
            <w:rFonts w:ascii="Book Antiqua" w:hAnsi="Book Antiqua" w:cs="Arial"/>
            <w:sz w:val="19"/>
            <w:szCs w:val="19"/>
          </w:rPr>
          <w:t>(Incluído pelo Decreto nº 9.404, de 2018)</w:t>
        </w:r>
      </w:hyperlink>
    </w:p>
    <w:p w14:paraId="775532E7"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3º  Os espaços e os assentos de que trata o </w:t>
      </w:r>
      <w:r w:rsidRPr="00C410FB">
        <w:rPr>
          <w:rFonts w:ascii="Book Antiqua" w:hAnsi="Book Antiqua" w:cs="Arial"/>
          <w:b/>
          <w:bCs/>
          <w:color w:val="000000"/>
          <w:sz w:val="19"/>
          <w:szCs w:val="19"/>
        </w:rPr>
        <w:t>caput</w:t>
      </w:r>
      <w:r w:rsidRPr="00C410FB">
        <w:rPr>
          <w:rFonts w:ascii="Book Antiqua" w:hAnsi="Book Antiqua" w:cs="Arial"/>
          <w:color w:val="000000"/>
          <w:sz w:val="19"/>
          <w:szCs w:val="19"/>
        </w:rPr>
        <w:t xml:space="preserve">, em cada setor, somente serão disponibilizados às pessoas sem deficiência ou sem mobilidade reduzida depois de esgotados os demais assentos daquele setor e somente quando os prazos estabelecidos nos § 1º e § 2º se encerrarem.                       </w:t>
      </w:r>
      <w:hyperlink r:id="rId38" w:anchor="art1" w:history="1">
        <w:r w:rsidRPr="00C410FB">
          <w:rPr>
            <w:rStyle w:val="Hyperlink"/>
            <w:rFonts w:ascii="Book Antiqua" w:hAnsi="Book Antiqua" w:cs="Arial"/>
            <w:sz w:val="19"/>
            <w:szCs w:val="19"/>
          </w:rPr>
          <w:t>(Incluído pelo Decreto nº 9.404, de 2018)</w:t>
        </w:r>
      </w:hyperlink>
    </w:p>
    <w:p w14:paraId="1A8EB10C"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 4º  Nos cinemas, a reserva de assentos de que trata o </w:t>
      </w:r>
      <w:r w:rsidRPr="00C410FB">
        <w:rPr>
          <w:rFonts w:ascii="Book Antiqua" w:hAnsi="Book Antiqua" w:cs="Arial"/>
          <w:b/>
          <w:bCs/>
          <w:color w:val="000000"/>
          <w:sz w:val="19"/>
          <w:szCs w:val="19"/>
        </w:rPr>
        <w:t>capu</w:t>
      </w:r>
      <w:r w:rsidRPr="00C410FB">
        <w:rPr>
          <w:rFonts w:ascii="Book Antiqua" w:hAnsi="Book Antiqua" w:cs="Arial"/>
          <w:color w:val="000000"/>
          <w:sz w:val="19"/>
          <w:szCs w:val="19"/>
        </w:rPr>
        <w:t xml:space="preserve">t será garantida a partir do início das vendas até meia hora antes de cada sessão, com disponibilidade em todos os pontos de venda de ingresso, sejam eles físicos ou virtuais.                      </w:t>
      </w:r>
      <w:hyperlink r:id="rId39" w:anchor="art1" w:history="1">
        <w:r w:rsidRPr="00C410FB">
          <w:rPr>
            <w:rStyle w:val="Hyperlink"/>
            <w:rFonts w:ascii="Book Antiqua" w:hAnsi="Book Antiqua" w:cs="Arial"/>
            <w:sz w:val="19"/>
            <w:szCs w:val="19"/>
          </w:rPr>
          <w:t>(Incluído pelo Decreto nº 9.404, de 2018)</w:t>
        </w:r>
      </w:hyperlink>
    </w:p>
    <w:p w14:paraId="6F2AC6D7" w14:textId="77777777" w:rsidR="00537CF7" w:rsidRPr="00C410FB" w:rsidRDefault="00537CF7" w:rsidP="00537CF7">
      <w:pPr>
        <w:pStyle w:val="NormalWeb"/>
        <w:ind w:firstLine="525"/>
        <w:jc w:val="both"/>
        <w:rPr>
          <w:rFonts w:ascii="Book Antiqua" w:hAnsi="Book Antiqua" w:cs="Arial"/>
          <w:color w:val="000000"/>
          <w:sz w:val="19"/>
          <w:szCs w:val="19"/>
        </w:rPr>
      </w:pPr>
      <w:bookmarkStart w:id="7" w:name="art23b"/>
      <w:bookmarkEnd w:id="7"/>
      <w:r w:rsidRPr="00C410FB">
        <w:rPr>
          <w:rFonts w:ascii="Book Antiqua" w:hAnsi="Book Antiqua" w:cs="Arial"/>
          <w:color w:val="000000"/>
          <w:sz w:val="19"/>
          <w:szCs w:val="19"/>
        </w:rPr>
        <w:lastRenderedPageBreak/>
        <w:t xml:space="preserve">Art. 23-B.  Os espaços livres para pessoas em cadeira de rodas e assentos reservados para pessoas com deficiência ou com mobilidade reduzida serão identificados no mapa de assentos localizados nos pontos de venda de ingresso e de divulgação do evento, sejam eles físicos ou virtuais.                         </w:t>
      </w:r>
      <w:hyperlink r:id="rId40" w:anchor="art1" w:history="1">
        <w:r w:rsidRPr="00C410FB">
          <w:rPr>
            <w:rStyle w:val="Hyperlink"/>
            <w:rFonts w:ascii="Book Antiqua" w:hAnsi="Book Antiqua" w:cs="Arial"/>
            <w:sz w:val="19"/>
            <w:szCs w:val="19"/>
          </w:rPr>
          <w:t>(Incluído pelo Decreto nº 9.404, de 2018)</w:t>
        </w:r>
      </w:hyperlink>
    </w:p>
    <w:p w14:paraId="571B09C2"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Parágrafo único.  Os pontos físicos e os sítios eletrônicos de venda de ingressos e de divulgação do evento deverão:                        </w:t>
      </w:r>
      <w:hyperlink r:id="rId41" w:anchor="art1" w:history="1">
        <w:r w:rsidRPr="00C410FB">
          <w:rPr>
            <w:rStyle w:val="Hyperlink"/>
            <w:rFonts w:ascii="Book Antiqua" w:hAnsi="Book Antiqua" w:cs="Arial"/>
            <w:sz w:val="19"/>
            <w:szCs w:val="19"/>
          </w:rPr>
          <w:t>(Incluído pelo Decreto nº 9.404, de 2018)</w:t>
        </w:r>
      </w:hyperlink>
    </w:p>
    <w:p w14:paraId="435247CB"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I - ser acessíveis a pessoas com deficiência e com mobilidade reduzida; e                        </w:t>
      </w:r>
      <w:hyperlink r:id="rId42" w:anchor="art1" w:history="1">
        <w:r w:rsidRPr="00C410FB">
          <w:rPr>
            <w:rStyle w:val="Hyperlink"/>
            <w:rFonts w:ascii="Book Antiqua" w:hAnsi="Book Antiqua" w:cs="Arial"/>
            <w:sz w:val="19"/>
            <w:szCs w:val="19"/>
          </w:rPr>
          <w:t>(Incluído pelo Decreto nº 9.404, de 2018)</w:t>
        </w:r>
      </w:hyperlink>
    </w:p>
    <w:p w14:paraId="46991B4D" w14:textId="77777777" w:rsidR="00537CF7" w:rsidRPr="00C410FB" w:rsidRDefault="00537CF7" w:rsidP="00537CF7">
      <w:pPr>
        <w:pStyle w:val="NormalWeb"/>
        <w:ind w:firstLine="525"/>
        <w:jc w:val="both"/>
        <w:rPr>
          <w:rFonts w:ascii="Book Antiqua" w:hAnsi="Book Antiqua" w:cs="Arial"/>
          <w:color w:val="000000"/>
          <w:sz w:val="19"/>
          <w:szCs w:val="19"/>
        </w:rPr>
      </w:pPr>
      <w:r w:rsidRPr="00C410FB">
        <w:rPr>
          <w:rFonts w:ascii="Book Antiqua" w:hAnsi="Book Antiqua" w:cs="Arial"/>
          <w:color w:val="000000"/>
          <w:sz w:val="19"/>
          <w:szCs w:val="19"/>
        </w:rPr>
        <w:t xml:space="preserve">II - conter informações sobre os recursos de acessibilidade disponíveis nos eventos.                           </w:t>
      </w:r>
      <w:hyperlink r:id="rId43" w:anchor="art1" w:history="1">
        <w:r w:rsidRPr="00C410FB">
          <w:rPr>
            <w:rStyle w:val="Hyperlink"/>
            <w:rFonts w:ascii="Book Antiqua" w:hAnsi="Book Antiqua" w:cs="Arial"/>
            <w:sz w:val="19"/>
            <w:szCs w:val="19"/>
          </w:rPr>
          <w:t>(Incluído pelo Decreto nº 9.404, de 2018)</w:t>
        </w:r>
      </w:hyperlink>
    </w:p>
    <w:p w14:paraId="7AB929A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24.  Os estabelecimentos de ensino de qualquer nível, etapa ou modalidade, públicos ou privados, proporcionarão condições de acesso e utilização de todos os seus ambientes ou compartimentos para pessoas portadoras de deficiência ou com mobilidade reduzida, inclusive salas de aula, bibliotecas, auditórios, ginásios e instalações desportivas, laboratórios, áreas de lazer e sanitários.</w:t>
      </w:r>
    </w:p>
    <w:p w14:paraId="2C80770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Para a concessão de autorização de funcionamento, de abertura ou renovação de curso pelo Poder Público, o estabelecimento de ensino deverá comprovar que:</w:t>
      </w:r>
    </w:p>
    <w:p w14:paraId="57628B8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está cumprindo as regras de acessibilidade arquitetônica, urbanística e na comunicação e informação previstas nas normas técnicas de acessibilidade da ABNT, na legislação específica ou neste Decreto;</w:t>
      </w:r>
    </w:p>
    <w:p w14:paraId="7A8F80E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coloca à disposição de professores, alunos, servidores e empregados portadores de deficiência ou com mobilidade reduzida ajudas técnicas que permitam o acesso às atividades escolares e administrativas em igualdade de condições com as demais pessoas; e</w:t>
      </w:r>
    </w:p>
    <w:p w14:paraId="6E51D77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seu ordenamento interno contém normas sobre o tratamento a ser dispensado a professores, alunos, servidores e empregados portadores de deficiência, com o objetivo de coibir e reprimir qualquer tipo de discriminação, bem como as respectivas sanções pelo descumprimento dessas normas.</w:t>
      </w:r>
    </w:p>
    <w:p w14:paraId="54C4DD0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edificações de uso público e de uso coletivo referidas no caput, já existentes, têm, respectivamente, prazo de trinta e quarenta e oito meses, a contar da data de publicação deste Decreto, para garantir a acessibilidade de que trata este artigo.</w:t>
      </w:r>
    </w:p>
    <w:p w14:paraId="1F614BAA" w14:textId="079196AD"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47FB">
        <w:rPr>
          <w:rFonts w:ascii="Book Antiqua" w:eastAsia="Times New Roman" w:hAnsi="Book Antiqua" w:cs="Times New Roman"/>
          <w:b/>
          <w:bCs/>
          <w:sz w:val="19"/>
          <w:szCs w:val="19"/>
          <w:highlight w:val="magenta"/>
          <w:lang w:eastAsia="pt-BR"/>
        </w:rPr>
        <w:t>Art. 25</w:t>
      </w:r>
      <w:r w:rsidRPr="00C410FB">
        <w:rPr>
          <w:rFonts w:ascii="Book Antiqua" w:eastAsia="Times New Roman" w:hAnsi="Book Antiqua" w:cs="Times New Roman"/>
          <w:sz w:val="19"/>
          <w:szCs w:val="19"/>
          <w:lang w:eastAsia="pt-BR"/>
        </w:rPr>
        <w:t xml:space="preserve">.  Nos estacionamentos externos ou internos das edificações de uso público ou de uso coletivo, ou naqueles localizados nas vias públicas, serão reservados, pelo menos, </w:t>
      </w:r>
      <w:r w:rsidRPr="001A47FB">
        <w:rPr>
          <w:rFonts w:ascii="Book Antiqua" w:eastAsia="Times New Roman" w:hAnsi="Book Antiqua" w:cs="Times New Roman"/>
          <w:b/>
          <w:bCs/>
          <w:sz w:val="19"/>
          <w:szCs w:val="19"/>
          <w:highlight w:val="cyan"/>
          <w:lang w:eastAsia="pt-BR"/>
        </w:rPr>
        <w:t>dois por cento</w:t>
      </w:r>
      <w:r w:rsidRPr="00C410FB">
        <w:rPr>
          <w:rFonts w:ascii="Book Antiqua" w:eastAsia="Times New Roman" w:hAnsi="Book Antiqua" w:cs="Times New Roman"/>
          <w:sz w:val="19"/>
          <w:szCs w:val="19"/>
          <w:lang w:eastAsia="pt-BR"/>
        </w:rPr>
        <w:t xml:space="preserve"> do total de vagas para veículos que transportem pessoa portadora de deficiência física ou visual definidas neste Decreto, sendo assegurada, no mínimo, uma vaga, em locais próximos à entrada principal ou ao elevador, de fácil acesso à circulação de pedestres, com especificações técnicas de desenho e traçado conforme o estabelecido nas normas técnicas de acessibilidade da ABNT.</w:t>
      </w:r>
      <w:r w:rsidR="001A47FB">
        <w:rPr>
          <w:rFonts w:ascii="Book Antiqua" w:eastAsia="Times New Roman" w:hAnsi="Book Antiqua" w:cs="Times New Roman"/>
          <w:sz w:val="19"/>
          <w:szCs w:val="19"/>
          <w:lang w:eastAsia="pt-BR"/>
        </w:rPr>
        <w:t xml:space="preserve"> </w:t>
      </w:r>
      <w:r w:rsidR="001A47FB" w:rsidRPr="001A47FB">
        <w:rPr>
          <w:rFonts w:ascii="Book Antiqua" w:eastAsia="Times New Roman" w:hAnsi="Book Antiqua" w:cs="Times New Roman"/>
          <w:b/>
          <w:bCs/>
          <w:color w:val="FF0000"/>
          <w:sz w:val="19"/>
          <w:szCs w:val="19"/>
          <w:u w:val="single"/>
          <w:lang w:eastAsia="pt-BR"/>
        </w:rPr>
        <w:t>(DPETO-2013)</w:t>
      </w:r>
    </w:p>
    <w:p w14:paraId="72A0699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Os veículos estacionados nas vagas reservadas deverão portar identificação a ser colocada em local de ampla visibilidade, confeccionado e fornecido pelos órgãos de trânsito, que disciplinarão sobre suas características e condições de uso, observando o disposto na </w:t>
      </w:r>
      <w:hyperlink r:id="rId44"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7.405, de 1985</w:t>
        </w:r>
      </w:hyperlink>
      <w:r w:rsidRPr="00C410FB">
        <w:rPr>
          <w:rFonts w:ascii="Book Antiqua" w:eastAsia="Times New Roman" w:hAnsi="Book Antiqua" w:cs="Times New Roman"/>
          <w:sz w:val="19"/>
          <w:szCs w:val="19"/>
          <w:lang w:eastAsia="pt-BR"/>
        </w:rPr>
        <w:t>.</w:t>
      </w:r>
    </w:p>
    <w:p w14:paraId="0F00700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casos de inobservância do disposto no §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estarão sujeitos às sanções estabelecidas pelos órgãos competentes.</w:t>
      </w:r>
    </w:p>
    <w:p w14:paraId="1ED559E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Aplica-se o disposto no caput aos estacionamentos localizados em áreas públicas e de uso coletivo.</w:t>
      </w:r>
    </w:p>
    <w:p w14:paraId="79E6218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 utilização das vagas reservadas por veículos que não estejam transportando as pessoas citadas no caput constitui infração ao </w:t>
      </w:r>
      <w:hyperlink r:id="rId45" w:anchor="art181xvii" w:history="1">
        <w:r w:rsidRPr="00C410FB">
          <w:rPr>
            <w:rFonts w:ascii="Book Antiqua" w:eastAsia="Times New Roman" w:hAnsi="Book Antiqua" w:cs="Times New Roman"/>
            <w:color w:val="0000FF"/>
            <w:sz w:val="19"/>
            <w:szCs w:val="19"/>
            <w:u w:val="single"/>
            <w:lang w:eastAsia="pt-BR"/>
          </w:rPr>
          <w:t>art. 181, inciso XVII,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9.503, de 23 de setembro de 1997.</w:t>
        </w:r>
      </w:hyperlink>
    </w:p>
    <w:p w14:paraId="0CA1C7A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26.  Nas edificações de uso público ou de uso coletivo, é obrigatória a existência de sinalização visual e tátil para orientação de pessoas portadoras de deficiência auditiva e visual, em conformidade com as normas técnicas de acessibilidade da ABNT.</w:t>
      </w:r>
    </w:p>
    <w:p w14:paraId="3575631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27.  A instalação de novos elevadores ou sua adaptação em edificações de uso público ou de uso coletivo, bem assim a instalação em edificação de uso privado multifamiliar a ser construída, na qual haja obrigatoriedade da presença de elevadores, deve atender aos padrões das normas técnicas de acessibilidade da ABNT.</w:t>
      </w:r>
    </w:p>
    <w:p w14:paraId="7367CBF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No caso da instalação de elevadores novos ou da troca dos já existentes, qualquer que seja o número de elevadores da edificação de uso público ou de uso coletivo, pelo menos um deles terá cabine que permita acesso e movimentação cômoda de pessoa portadora de deficiência ou com mobilidade reduzida, de acordo com o que especifica as normas técnicas de acessibilidade da ABNT.</w:t>
      </w:r>
    </w:p>
    <w:p w14:paraId="70079AD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Junto às botoeiras externas do elevador, deverá estar sinalizado em braile em qual andar da edificação a pessoa se encontra.</w:t>
      </w:r>
    </w:p>
    <w:p w14:paraId="6ECB1BA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edifícios a serem construídos com mais de um pavimento além do pavimento de acesso, à exceção das habitações unifamiliares e daquelas que estejam obrigadas à instalação de elevadores por legislação municipal, deverão dispor de especificações técnicas e de projeto que facilitem a instalação de equipamento eletromecânico de deslocamento vertical para uso das pessoas portadoras de deficiência ou com mobilidade reduzida.</w:t>
      </w:r>
    </w:p>
    <w:p w14:paraId="00F13D9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As especificações técnicas a que se refere o §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devem atender:</w:t>
      </w:r>
    </w:p>
    <w:p w14:paraId="41D3EAC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 indicação em planta aprovada pelo poder municipal do local reservado para a instalação do equipamento eletromecânico, devidamente assinada pelo autor do projeto;</w:t>
      </w:r>
    </w:p>
    <w:p w14:paraId="79E2748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a indicação da opção pelo tipo de equipamento (elevador, esteira, plataforma ou similar);</w:t>
      </w:r>
    </w:p>
    <w:p w14:paraId="7F9CAEE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a indicação das dimensões internas e demais aspectos da cabine do equipamento a ser instalado; e</w:t>
      </w:r>
    </w:p>
    <w:p w14:paraId="38F0160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demais especificações em nota na própria planta, tais como a existência e as medidas de botoeira, espelho, informação de voz, bem como a garantia de responsabilidade técnica de que a estrutura da edificação suporta a implantação do equipamento escolhido.</w:t>
      </w:r>
    </w:p>
    <w:p w14:paraId="6D894F6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III</w:t>
      </w:r>
    </w:p>
    <w:p w14:paraId="47B8D660"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na Habitação de Interesse Social</w:t>
      </w:r>
    </w:p>
    <w:p w14:paraId="1904E95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28.  Na habitação de interesse social, deverão ser promovidas as seguintes ações para assegurar as condições de acessibilidade dos empreendimentos:</w:t>
      </w:r>
    </w:p>
    <w:p w14:paraId="6C782E2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definição de projetos e adoção de tipologias construtivas livres de barreiras arquitetônicas e urbanísticas;</w:t>
      </w:r>
    </w:p>
    <w:p w14:paraId="598F8AE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no caso de edificação multifamiliar, execução das unidades habitacionais acessíveis no piso térreo e acessíveis ou adaptáveis quando nos demais pisos;</w:t>
      </w:r>
    </w:p>
    <w:p w14:paraId="72D16A3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execução das partes de uso comum, quando se tratar de edificação multifamiliar, conforme as normas técnicas de acessibilidade da ABNT; e</w:t>
      </w:r>
    </w:p>
    <w:p w14:paraId="66E4515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IV - elaboração de especificações técnicas de projeto que facilite a instalação de elevador adaptado para uso das pessoas portadoras de deficiência ou com mobilidade reduzida.</w:t>
      </w:r>
    </w:p>
    <w:p w14:paraId="60123C0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Os agentes executores dos programas e projetos destinados à habitação de interesse social, financiados com recursos próprios da União ou por ela geridos, devem observar os requisitos estabelecidos neste artigo.</w:t>
      </w:r>
    </w:p>
    <w:p w14:paraId="3695607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29.  Ao Ministério das Cidades, no âmbito da coordenação da política habitacional, compete:</w:t>
      </w:r>
    </w:p>
    <w:p w14:paraId="1BA358A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adotar as providências necessárias para o cumprimento do disposto no art. 28; e</w:t>
      </w:r>
    </w:p>
    <w:p w14:paraId="648BDB5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divulgar junto aos agentes interessados e orientar a clientela alvo da política habitacional sobre as iniciativas que promover em razão das legislações federal, estaduais, distrital e municipais relativas à acessibilidade.</w:t>
      </w:r>
    </w:p>
    <w:p w14:paraId="6469D9E3"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IV</w:t>
      </w:r>
    </w:p>
    <w:p w14:paraId="4BD8D865"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aos Bens Culturais Imóveis</w:t>
      </w:r>
    </w:p>
    <w:p w14:paraId="58F268F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30.  As soluções destinadas à eliminação, redução ou superação de barreiras na promoção da acessibilidade a todos os bens culturais imóveis devem estar de acordo com o que estabelece a Instrução Normativa n</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1 do Instituto do Patrimônio Histórico e Artístico Nacional - IPHAN, de 25 de novembro de 2003.</w:t>
      </w:r>
    </w:p>
    <w:p w14:paraId="66B2AAFE"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V</w:t>
      </w:r>
    </w:p>
    <w:p w14:paraId="6F56C07E"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AOS SERVIÇOS DE TRANSPORTES COLETIVOS</w:t>
      </w:r>
    </w:p>
    <w:p w14:paraId="6E238307"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w:t>
      </w:r>
    </w:p>
    <w:p w14:paraId="63669B0D"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Das Condições Gerais</w:t>
      </w:r>
    </w:p>
    <w:p w14:paraId="7257372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31.  Para os fins de acessibilidade aos serviços de transporte coletivo terrestre, aquaviário e aéreo, considera-se como integrantes desses serviços os veículos, terminais, estações, pontos de parada, vias principais, acessos e operação.</w:t>
      </w:r>
    </w:p>
    <w:p w14:paraId="16EB056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32. Os serviços de transporte coletivo terrestre são:</w:t>
      </w:r>
    </w:p>
    <w:p w14:paraId="513AB8D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transporte rodoviário, classificado em urbano, metropolitano, intermunicipal e interestadual;</w:t>
      </w:r>
    </w:p>
    <w:p w14:paraId="54D24FC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II - transporte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classificado em urbano e metropolitano; e</w:t>
      </w:r>
    </w:p>
    <w:p w14:paraId="234B2AD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transporte ferroviário, classificado em intermunicipal e interestadual.</w:t>
      </w:r>
    </w:p>
    <w:p w14:paraId="15B7074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33.  As instâncias públicas responsáveis pela concessão e permissão dos serviços de transporte coletivo são:</w:t>
      </w:r>
    </w:p>
    <w:p w14:paraId="299FA0E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governo municipal, responsável pelo transporte coletivo municipal;</w:t>
      </w:r>
    </w:p>
    <w:p w14:paraId="6BEBF9B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governo estadual, responsável pelo transporte coletivo metropolitano e intermunicipal;</w:t>
      </w:r>
    </w:p>
    <w:p w14:paraId="56D86FE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governo do Distrito Federal, responsável pelo transporte coletivo do Distrito Federal; e</w:t>
      </w:r>
    </w:p>
    <w:p w14:paraId="484992D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governo federal, responsável pelo transporte coletivo interestadual e internacional.</w:t>
      </w:r>
    </w:p>
    <w:p w14:paraId="4993E6A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Art. 34.  Os sistemas de transporte coletivo são considerados acessíveis quando todos os seus elementos são concebidos, organizados, implantados e adaptados segundo o conceito de desenho universal, garantindo o uso pleno com segurança e autonomia por todas as pessoas.</w:t>
      </w:r>
    </w:p>
    <w:p w14:paraId="4A0366C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Parágrafo único.  A </w:t>
      </w:r>
      <w:proofErr w:type="spellStart"/>
      <w:r w:rsidRPr="00C410FB">
        <w:rPr>
          <w:rFonts w:ascii="Book Antiqua" w:eastAsia="Times New Roman" w:hAnsi="Book Antiqua" w:cs="Times New Roman"/>
          <w:sz w:val="19"/>
          <w:szCs w:val="19"/>
          <w:lang w:eastAsia="pt-BR"/>
        </w:rPr>
        <w:t>infra-estrutura</w:t>
      </w:r>
      <w:proofErr w:type="spellEnd"/>
      <w:r w:rsidRPr="00C410FB">
        <w:rPr>
          <w:rFonts w:ascii="Book Antiqua" w:eastAsia="Times New Roman" w:hAnsi="Book Antiqua" w:cs="Times New Roman"/>
          <w:sz w:val="19"/>
          <w:szCs w:val="19"/>
          <w:lang w:eastAsia="pt-BR"/>
        </w:rPr>
        <w:t xml:space="preserve"> de transporte coletivo a ser implantada a partir da publicação deste Decreto deverá ser acessível e estar disponível para ser operada de forma a garantir o seu uso por pessoas portadoras de deficiência ou com mobilidade reduzida.</w:t>
      </w:r>
    </w:p>
    <w:p w14:paraId="7F8A0A1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35.  Os responsáveis pelos terminais, estações, pontos de parada e os veículos, no âmbito de suas competências, assegurarão espaços para atendimento, assentos preferenciais e meios de acesso devidamente sinalizados para o uso das pessoas portadoras de deficiência ou com mobilidade reduzida.</w:t>
      </w:r>
    </w:p>
    <w:p w14:paraId="6DB34BC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36.  As empresas concessionárias e permissionárias e as instâncias públicas responsáveis pela gestão dos serviços de transportes coletivos, no âmbito de suas competências, deverão garantir a implantação das providências necessárias na operação, nos terminais, nas estações, nos pontos de parada e nas vias de acesso, de forma a assegurar as condições previstas no art. 34 deste Decreto.</w:t>
      </w:r>
    </w:p>
    <w:p w14:paraId="12702A7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Parágrafo único.  As empresas concessionárias e permissionárias e as instâncias públicas responsáveis pela gestão dos serviços de transportes coletivos, no âmbito de suas competências, deverão autorizar a colocação do "Símbolo Internacional de Acesso" após certificar a acessibilidade do sistema de transporte.</w:t>
      </w:r>
    </w:p>
    <w:p w14:paraId="741A61E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37.  Cabe às empresas concessionárias e permissionárias e as instâncias públicas responsáveis pela gestão dos serviços de transportes coletivos assegurar a qualificação dos profissionais que trabalham nesses serviços, para que prestem atendimento prioritário às pessoas portadoras de deficiência ou com mobilidade reduzida.</w:t>
      </w:r>
    </w:p>
    <w:p w14:paraId="332B0E72"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II</w:t>
      </w:r>
    </w:p>
    <w:p w14:paraId="15D60D59"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no Transporte Coletivo Rodoviário</w:t>
      </w:r>
    </w:p>
    <w:p w14:paraId="4FCAD25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38.  No prazo de até vinte e quatro meses a contar da data de edição das normas técnicas referidas no §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todos os modelos e marcas de veículos de transporte coletivo rodoviário para utilização no País serão fabricados acessíveis e estarão disponíveis para integrar a frota operante, de forma a garantir o seu uso por pessoas portadoras de deficiência ou com mobilidade reduzida.</w:t>
      </w:r>
    </w:p>
    <w:p w14:paraId="32F3561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normas técnicas para fabricação dos veículos e dos equipamentos de transporte coletivo rodoviário, de forma a torná-los acessíveis, serão elaboradas pelas instituições e entidades que compõem o Sistema Nacional de Metrologia, Normalização e Qualidade Industrial, e estarão disponíveis no prazo de até doze meses a contar da data da publicação deste Decreto.</w:t>
      </w:r>
    </w:p>
    <w:p w14:paraId="3C3AF3C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substituição da frota operante atual por veículos acessíveis, a ser feita pelas empresas concessionárias e permissionárias de transporte coletivo rodoviário, dar-se-á de forma gradativa, conforme o prazo previsto nos contratos de concessão e permissão deste serviço.</w:t>
      </w:r>
    </w:p>
    <w:p w14:paraId="3CA69B9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 frota de veículos de transporte coletivo rodoviário e a </w:t>
      </w:r>
      <w:proofErr w:type="spellStart"/>
      <w:r w:rsidRPr="00C410FB">
        <w:rPr>
          <w:rFonts w:ascii="Book Antiqua" w:eastAsia="Times New Roman" w:hAnsi="Book Antiqua" w:cs="Times New Roman"/>
          <w:sz w:val="19"/>
          <w:szCs w:val="19"/>
          <w:lang w:eastAsia="pt-BR"/>
        </w:rPr>
        <w:t>infra-estrutura</w:t>
      </w:r>
      <w:proofErr w:type="spellEnd"/>
      <w:r w:rsidRPr="00C410FB">
        <w:rPr>
          <w:rFonts w:ascii="Book Antiqua" w:eastAsia="Times New Roman" w:hAnsi="Book Antiqua" w:cs="Times New Roman"/>
          <w:sz w:val="19"/>
          <w:szCs w:val="19"/>
          <w:lang w:eastAsia="pt-BR"/>
        </w:rPr>
        <w:t xml:space="preserve"> dos serviços deste transporte deverão estar totalmente acessíveis no prazo máximo de cento e vinte meses a contar da data de publicação deste Decreto.</w:t>
      </w:r>
    </w:p>
    <w:p w14:paraId="5EACC81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serviços de transporte coletivo rodoviário urbano devem priorizar o embarque e desembarque dos usuários em nível em, pelo menos, um dos acessos do veículo.</w:t>
      </w:r>
    </w:p>
    <w:p w14:paraId="25846C4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39.  No prazo de até vinte e quatro meses a contar da data de implementação dos programas de avaliação de conformidade descritos no §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empresas concessionárias e permissionárias dos serviços de transporte coletivo rodoviário deverão garantir a acessibilidade da frota de veículos em circulação, inclusive de seus equipamentos.</w:t>
      </w:r>
    </w:p>
    <w:p w14:paraId="643A9E6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normas técnicas para adaptação dos veículos e dos equipamentos de transporte coletivo rodoviário em circulação, de forma a torná-los acessíveis, serão elaboradas pelas instituições e entidades que compõem o Sistema Nacional de Metrologia, Normalização e Qualidade Industrial, e estarão disponíveis no prazo de até doze meses a contar da data da publicação deste Decreto.</w:t>
      </w:r>
    </w:p>
    <w:p w14:paraId="37DCDC7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Caberá ao Instituto Nacional de Metrologia, Normalização e Qualidade Industrial - INMETRO, quando da elaboração das normas técnicas para a adaptação dos veículos, especificar dentre esses veículos que estão em operação quais serão adaptados, em função das restrições previstas no </w:t>
      </w:r>
      <w:hyperlink r:id="rId46" w:anchor="art98" w:history="1">
        <w:r w:rsidRPr="00C410FB">
          <w:rPr>
            <w:rFonts w:ascii="Book Antiqua" w:eastAsia="Times New Roman" w:hAnsi="Book Antiqua" w:cs="Times New Roman"/>
            <w:color w:val="0000FF"/>
            <w:sz w:val="19"/>
            <w:szCs w:val="19"/>
            <w:u w:val="single"/>
            <w:lang w:eastAsia="pt-BR"/>
          </w:rPr>
          <w:t>art. 98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9.503, de 1997.</w:t>
        </w:r>
      </w:hyperlink>
    </w:p>
    <w:p w14:paraId="2F02C0C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adaptações dos veículos em operação nos serviços de transporte coletivo rodoviário, bem como os procedimentos e equipamentos a serem utilizados nestas adaptações, estarão sujeitas a programas de avaliação de conformidade desenvolvidos e implementados pelo Instituto Nacional de Metrologia, Normalização e Qualidade Industrial - INMETRO, a partir de orientações normativas elaboradas no âmbito da ABNT.</w:t>
      </w:r>
    </w:p>
    <w:p w14:paraId="17A9B22A"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III</w:t>
      </w:r>
    </w:p>
    <w:p w14:paraId="6424A702"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no Transporte Coletivo Aquaviário</w:t>
      </w:r>
    </w:p>
    <w:p w14:paraId="6D27E8F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40.  No prazo de até trinta e seis meses a contar da data de edição das normas técnicas referidas no §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todos os modelos e marcas de veículos de transporte coletivo aquaviário serão fabricados acessíveis e estarão disponíveis para integrar a frota operante, de forma a garantir o seu uso por pessoas portadoras de deficiência ou com mobilidade reduzida.</w:t>
      </w:r>
    </w:p>
    <w:p w14:paraId="2F20510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normas técnicas para fabricação dos veículos e dos equipamentos de transporte coletivo aquaviário acessíveis, a serem elaboradas pelas instituições e entidades que compõem o Sistema Nacional de Metrologia, Normalização e Qualidade Industrial, estarão disponíveis no prazo de até vinte e quatro meses a contar da data da publicação deste Decreto.</w:t>
      </w:r>
    </w:p>
    <w:p w14:paraId="05D032C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As adequações na </w:t>
      </w:r>
      <w:proofErr w:type="spellStart"/>
      <w:r w:rsidRPr="00C410FB">
        <w:rPr>
          <w:rFonts w:ascii="Book Antiqua" w:eastAsia="Times New Roman" w:hAnsi="Book Antiqua" w:cs="Times New Roman"/>
          <w:sz w:val="19"/>
          <w:szCs w:val="19"/>
          <w:lang w:eastAsia="pt-BR"/>
        </w:rPr>
        <w:t>infra-estrutura</w:t>
      </w:r>
      <w:proofErr w:type="spellEnd"/>
      <w:r w:rsidRPr="00C410FB">
        <w:rPr>
          <w:rFonts w:ascii="Book Antiqua" w:eastAsia="Times New Roman" w:hAnsi="Book Antiqua" w:cs="Times New Roman"/>
          <w:sz w:val="19"/>
          <w:szCs w:val="19"/>
          <w:lang w:eastAsia="pt-BR"/>
        </w:rPr>
        <w:t xml:space="preserve"> dos serviços desta modalidade de transporte deverão atender a critérios necessários para proporcionar as condições de acessibilidade do sistema de transporte aquaviário.</w:t>
      </w:r>
    </w:p>
    <w:p w14:paraId="1F381A7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Art. 41.  No prazo de até </w:t>
      </w:r>
      <w:proofErr w:type="spellStart"/>
      <w:r w:rsidRPr="00C410FB">
        <w:rPr>
          <w:rFonts w:ascii="Book Antiqua" w:eastAsia="Times New Roman" w:hAnsi="Book Antiqua" w:cs="Times New Roman"/>
          <w:sz w:val="19"/>
          <w:szCs w:val="19"/>
          <w:lang w:eastAsia="pt-BR"/>
        </w:rPr>
        <w:t>cinqüenta</w:t>
      </w:r>
      <w:proofErr w:type="spellEnd"/>
      <w:r w:rsidRPr="00C410FB">
        <w:rPr>
          <w:rFonts w:ascii="Book Antiqua" w:eastAsia="Times New Roman" w:hAnsi="Book Antiqua" w:cs="Times New Roman"/>
          <w:sz w:val="19"/>
          <w:szCs w:val="19"/>
          <w:lang w:eastAsia="pt-BR"/>
        </w:rPr>
        <w:t xml:space="preserve"> e quatro meses a contar da data de implementação dos programas de avaliação de conformidade descritos no §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empresas concessionárias e permissionárias dos serviços de transporte coletivo aquaviário, deverão garantir a acessibilidade da frota de veículos em circulação, inclusive de seus equipamentos.</w:t>
      </w:r>
    </w:p>
    <w:p w14:paraId="465B0BF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normas técnicas para adaptação dos veículos e dos equipamentos de transporte coletivo aquaviário em circulação, de forma a torná-los acessíveis, serão elaboradas pelas instituições e entidades que compõem o Sistema Nacional de Metrologia, Normalização e Qualidade Industrial, e estarão disponíveis no prazo de até trinta e seis meses a contar da data da publicação deste Decreto.</w:t>
      </w:r>
    </w:p>
    <w:p w14:paraId="2DE79F7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As adaptações dos veículos em operação nos serviços de transporte coletivo aquaviário, bem como os procedimentos e equipamentos a serem utilizados nestas adaptações, estarão sujeitas a programas de avaliação de conformidade desenvolvidos e implementados pelo INMETRO, a partir de orientações normativas elaboradas no âmbito da ABNT.</w:t>
      </w:r>
    </w:p>
    <w:p w14:paraId="29DD2E56"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IV</w:t>
      </w:r>
    </w:p>
    <w:p w14:paraId="25476320"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Da Acessibilidade no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w:t>
      </w:r>
    </w:p>
    <w:p w14:paraId="3EB279D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Art. 42.  A frota de veículos de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 assim como a </w:t>
      </w:r>
      <w:proofErr w:type="spellStart"/>
      <w:r w:rsidRPr="00C410FB">
        <w:rPr>
          <w:rFonts w:ascii="Book Antiqua" w:eastAsia="Times New Roman" w:hAnsi="Book Antiqua" w:cs="Times New Roman"/>
          <w:sz w:val="19"/>
          <w:szCs w:val="19"/>
          <w:lang w:eastAsia="pt-BR"/>
        </w:rPr>
        <w:t>infra-estrutura</w:t>
      </w:r>
      <w:proofErr w:type="spellEnd"/>
      <w:r w:rsidRPr="00C410FB">
        <w:rPr>
          <w:rFonts w:ascii="Book Antiqua" w:eastAsia="Times New Roman" w:hAnsi="Book Antiqua" w:cs="Times New Roman"/>
          <w:sz w:val="19"/>
          <w:szCs w:val="19"/>
          <w:lang w:eastAsia="pt-BR"/>
        </w:rPr>
        <w:t xml:space="preserve"> dos serviços deste transporte deverão estar totalmente acessíveis no prazo máximo de cento e vinte meses a contar da data de publicação deste Decreto.</w:t>
      </w:r>
    </w:p>
    <w:p w14:paraId="5FF94EA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 acessibilidade nos serviços de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 obedecerá ao disposto nas normas técnicas de acessibilidade da ABNT.</w:t>
      </w:r>
    </w:p>
    <w:p w14:paraId="7A4B27D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No prazo de até trinta e seis meses a contar da data da publicação deste Decreto, todos os modelos e marcas de veículos de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 serão fabricados acessíveis e estarão disponíveis para integrar a frota operante, de forma a garantir o seu uso por pessoas portadoras de deficiência ou com mobilidade reduzida.</w:t>
      </w:r>
    </w:p>
    <w:p w14:paraId="3043843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Art. 43.  Os serviços de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 existentes deverão estar totalmente acessíveis no prazo máximo de cento e vinte meses a contar da data de publicação deste Decreto.</w:t>
      </w:r>
    </w:p>
    <w:p w14:paraId="2935408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As empresas concessionárias e permissionárias dos serviços de transporte coletivo </w:t>
      </w:r>
      <w:proofErr w:type="spellStart"/>
      <w:r w:rsidRPr="00C410FB">
        <w:rPr>
          <w:rFonts w:ascii="Book Antiqua" w:eastAsia="Times New Roman" w:hAnsi="Book Antiqua" w:cs="Times New Roman"/>
          <w:sz w:val="19"/>
          <w:szCs w:val="19"/>
          <w:lang w:eastAsia="pt-BR"/>
        </w:rPr>
        <w:t>metroferroviário</w:t>
      </w:r>
      <w:proofErr w:type="spellEnd"/>
      <w:r w:rsidRPr="00C410FB">
        <w:rPr>
          <w:rFonts w:ascii="Book Antiqua" w:eastAsia="Times New Roman" w:hAnsi="Book Antiqua" w:cs="Times New Roman"/>
          <w:sz w:val="19"/>
          <w:szCs w:val="19"/>
          <w:lang w:eastAsia="pt-BR"/>
        </w:rPr>
        <w:t xml:space="preserve"> e ferroviário deverão apresentar plano de adaptação dos sistemas existentes, prevendo ações saneadoras de, no mínimo, oito por cento ao ano, sobre os elementos não acessíveis que compõem o sistema.</w:t>
      </w:r>
    </w:p>
    <w:p w14:paraId="7AF9342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 plano de que trata o §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deve ser apresentado em até seis meses a contar da data de publicação deste Decreto.</w:t>
      </w:r>
    </w:p>
    <w:p w14:paraId="45520C4A"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V</w:t>
      </w:r>
    </w:p>
    <w:p w14:paraId="77AE4A2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 Acessibilidade no Transporte Coletivo Aéreo</w:t>
      </w:r>
    </w:p>
    <w:p w14:paraId="74606B4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44.  No prazo de até trinta e seis meses, a contar da data da publicação deste Decreto, os serviços de transporte coletivo aéreo e os equipamentos de acesso às aeronaves estarão acessíveis e disponíveis para serem operados de forma a garantir o seu uso por pessoas portadoras de deficiência ou com mobilidade reduzida.</w:t>
      </w:r>
    </w:p>
    <w:p w14:paraId="32004ED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A acessibilidade nos serviços de transporte coletivo aéreo obedecerá ao disposto na Norma de Serviço da Instrução da Aviação Civil NOSER/IAC - 2508-0796, de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de novembro de 1995, expedida pelo Departamento de Aviação Civil do Comando da Aeronáutica, e nas normas técnicas de acessibilidade da ABNT.</w:t>
      </w:r>
    </w:p>
    <w:p w14:paraId="50DD9C65"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Seção VI</w:t>
      </w:r>
    </w:p>
    <w:p w14:paraId="60C5A60E"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Das Disposições Finais</w:t>
      </w:r>
    </w:p>
    <w:p w14:paraId="19805F59" w14:textId="316D67E5"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47FB">
        <w:rPr>
          <w:rFonts w:ascii="Book Antiqua" w:eastAsia="Times New Roman" w:hAnsi="Book Antiqua" w:cs="Times New Roman"/>
          <w:b/>
          <w:bCs/>
          <w:sz w:val="19"/>
          <w:szCs w:val="19"/>
          <w:highlight w:val="magenta"/>
          <w:lang w:eastAsia="pt-BR"/>
        </w:rPr>
        <w:t>Art. 45</w:t>
      </w:r>
      <w:r w:rsidRPr="00C410FB">
        <w:rPr>
          <w:rFonts w:ascii="Book Antiqua" w:eastAsia="Times New Roman" w:hAnsi="Book Antiqua" w:cs="Times New Roman"/>
          <w:sz w:val="19"/>
          <w:szCs w:val="19"/>
          <w:lang w:eastAsia="pt-BR"/>
        </w:rPr>
        <w:t>.  </w:t>
      </w:r>
      <w:r w:rsidRPr="001A47FB">
        <w:rPr>
          <w:rFonts w:ascii="Book Antiqua" w:eastAsia="Times New Roman" w:hAnsi="Book Antiqua" w:cs="Times New Roman"/>
          <w:b/>
          <w:bCs/>
          <w:sz w:val="19"/>
          <w:szCs w:val="19"/>
          <w:lang w:eastAsia="pt-BR"/>
        </w:rPr>
        <w:t xml:space="preserve">Caberá ao Poder Executivo, com base em estudos e pesquisas, </w:t>
      </w:r>
      <w:r w:rsidRPr="001A47FB">
        <w:rPr>
          <w:rFonts w:ascii="Book Antiqua" w:eastAsia="Times New Roman" w:hAnsi="Book Antiqua" w:cs="Times New Roman"/>
          <w:b/>
          <w:bCs/>
          <w:caps/>
          <w:sz w:val="19"/>
          <w:szCs w:val="19"/>
          <w:highlight w:val="green"/>
          <w:lang w:eastAsia="pt-BR"/>
        </w:rPr>
        <w:t>verificar</w:t>
      </w:r>
      <w:r w:rsidRPr="001A47FB">
        <w:rPr>
          <w:rFonts w:ascii="Book Antiqua" w:eastAsia="Times New Roman" w:hAnsi="Book Antiqua" w:cs="Times New Roman"/>
          <w:b/>
          <w:bCs/>
          <w:sz w:val="19"/>
          <w:szCs w:val="19"/>
          <w:lang w:eastAsia="pt-BR"/>
        </w:rPr>
        <w:t xml:space="preserve"> a viabilidade de redução ou isenção de tributo</w:t>
      </w:r>
      <w:r w:rsidRPr="00C410FB">
        <w:rPr>
          <w:rFonts w:ascii="Book Antiqua" w:eastAsia="Times New Roman" w:hAnsi="Book Antiqua" w:cs="Times New Roman"/>
          <w:sz w:val="19"/>
          <w:szCs w:val="19"/>
          <w:lang w:eastAsia="pt-BR"/>
        </w:rPr>
        <w:t>:</w:t>
      </w:r>
      <w:r w:rsidR="001A47FB">
        <w:rPr>
          <w:rFonts w:ascii="Book Antiqua" w:eastAsia="Times New Roman" w:hAnsi="Book Antiqua" w:cs="Times New Roman"/>
          <w:sz w:val="19"/>
          <w:szCs w:val="19"/>
          <w:lang w:eastAsia="pt-BR"/>
        </w:rPr>
        <w:t xml:space="preserve"> </w:t>
      </w:r>
      <w:r w:rsidR="001A47FB" w:rsidRPr="001A47FB">
        <w:rPr>
          <w:rFonts w:ascii="Book Antiqua" w:eastAsia="Times New Roman" w:hAnsi="Book Antiqua" w:cs="Times New Roman"/>
          <w:b/>
          <w:bCs/>
          <w:color w:val="FF0000"/>
          <w:sz w:val="19"/>
          <w:szCs w:val="19"/>
          <w:u w:val="single"/>
          <w:lang w:eastAsia="pt-BR"/>
        </w:rPr>
        <w:t>(DPETO-2013)</w:t>
      </w:r>
    </w:p>
    <w:p w14:paraId="6CD6A143" w14:textId="6994964A" w:rsidR="006F65D0" w:rsidRPr="001A47FB"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A47FB">
        <w:rPr>
          <w:rFonts w:ascii="Book Antiqua" w:eastAsia="Times New Roman" w:hAnsi="Book Antiqua" w:cs="Times New Roman"/>
          <w:b/>
          <w:bCs/>
          <w:sz w:val="19"/>
          <w:szCs w:val="19"/>
          <w:lang w:eastAsia="pt-BR"/>
        </w:rPr>
        <w:t>I - para importação de equipamentos que não sejam produzidos no País, necessários no processo de adequação do sistema de transporte coletivo, desde que não existam similares nacionais; e</w:t>
      </w:r>
      <w:r w:rsidR="001A47FB">
        <w:rPr>
          <w:rFonts w:ascii="Book Antiqua" w:eastAsia="Times New Roman" w:hAnsi="Book Antiqua" w:cs="Times New Roman"/>
          <w:b/>
          <w:bCs/>
          <w:sz w:val="19"/>
          <w:szCs w:val="19"/>
          <w:lang w:eastAsia="pt-BR"/>
        </w:rPr>
        <w:t xml:space="preserve"> </w:t>
      </w:r>
      <w:r w:rsidR="001A47FB" w:rsidRPr="001A47FB">
        <w:rPr>
          <w:rFonts w:ascii="Book Antiqua" w:eastAsia="Times New Roman" w:hAnsi="Book Antiqua" w:cs="Times New Roman"/>
          <w:b/>
          <w:bCs/>
          <w:color w:val="FF0000"/>
          <w:sz w:val="19"/>
          <w:szCs w:val="19"/>
          <w:u w:val="single"/>
          <w:lang w:eastAsia="pt-BR"/>
        </w:rPr>
        <w:t>(DPETO-2013)</w:t>
      </w:r>
    </w:p>
    <w:p w14:paraId="00F56F92" w14:textId="07632D06" w:rsidR="006F65D0" w:rsidRPr="001A47FB" w:rsidRDefault="006F65D0" w:rsidP="006F65D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A47FB">
        <w:rPr>
          <w:rFonts w:ascii="Book Antiqua" w:eastAsia="Times New Roman" w:hAnsi="Book Antiqua" w:cs="Times New Roman"/>
          <w:b/>
          <w:bCs/>
          <w:sz w:val="19"/>
          <w:szCs w:val="19"/>
          <w:lang w:eastAsia="pt-BR"/>
        </w:rPr>
        <w:t>II - para fabricação ou aquisição de veículos ou equipamentos destinados aos sistemas de transporte coletivo.</w:t>
      </w:r>
      <w:r w:rsidR="001A47FB">
        <w:rPr>
          <w:rFonts w:ascii="Book Antiqua" w:eastAsia="Times New Roman" w:hAnsi="Book Antiqua" w:cs="Times New Roman"/>
          <w:b/>
          <w:bCs/>
          <w:sz w:val="19"/>
          <w:szCs w:val="19"/>
          <w:lang w:eastAsia="pt-BR"/>
        </w:rPr>
        <w:t xml:space="preserve"> </w:t>
      </w:r>
      <w:r w:rsidR="001A47FB" w:rsidRPr="001A47FB">
        <w:rPr>
          <w:rFonts w:ascii="Book Antiqua" w:eastAsia="Times New Roman" w:hAnsi="Book Antiqua" w:cs="Times New Roman"/>
          <w:b/>
          <w:bCs/>
          <w:color w:val="FF0000"/>
          <w:sz w:val="19"/>
          <w:szCs w:val="19"/>
          <w:u w:val="single"/>
          <w:lang w:eastAsia="pt-BR"/>
        </w:rPr>
        <w:t>(DPETO-2013)</w:t>
      </w:r>
    </w:p>
    <w:p w14:paraId="62C5DAA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Parágrafo único.  Na elaboração dos estudos e pesquisas a que se referem o caput, deve-se observar o disposto no </w:t>
      </w:r>
      <w:hyperlink r:id="rId47" w:anchor="art14" w:history="1">
        <w:r w:rsidRPr="00C410FB">
          <w:rPr>
            <w:rFonts w:ascii="Book Antiqua" w:eastAsia="Times New Roman" w:hAnsi="Book Antiqua" w:cs="Times New Roman"/>
            <w:color w:val="0000FF"/>
            <w:sz w:val="19"/>
            <w:szCs w:val="19"/>
            <w:u w:val="single"/>
            <w:lang w:eastAsia="pt-BR"/>
          </w:rPr>
          <w:t>art. 14 da Lei Complementar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101, de 4 de maio de 2000</w:t>
        </w:r>
      </w:hyperlink>
      <w:r w:rsidRPr="00C410FB">
        <w:rPr>
          <w:rFonts w:ascii="Book Antiqua" w:eastAsia="Times New Roman" w:hAnsi="Book Antiqua" w:cs="Times New Roman"/>
          <w:sz w:val="19"/>
          <w:szCs w:val="19"/>
          <w:lang w:eastAsia="pt-BR"/>
        </w:rPr>
        <w:t>, sinalizando impacto orçamentário e financeiro da medida estudada.</w:t>
      </w:r>
    </w:p>
    <w:p w14:paraId="5B611AD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Art. 46.  A fiscalização e a aplicação de multas aos sistemas de transportes coletivos, segundo disposto no </w:t>
      </w:r>
      <w:hyperlink r:id="rId48" w:anchor="art6ii" w:history="1">
        <w:r w:rsidRPr="00C410FB">
          <w:rPr>
            <w:rFonts w:ascii="Book Antiqua" w:eastAsia="Times New Roman" w:hAnsi="Book Antiqua" w:cs="Times New Roman"/>
            <w:color w:val="0000FF"/>
            <w:sz w:val="19"/>
            <w:szCs w:val="19"/>
            <w:u w:val="single"/>
            <w:lang w:eastAsia="pt-BR"/>
          </w:rPr>
          <w:t>art. 6</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inciso II,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10.048, de 2000</w:t>
        </w:r>
      </w:hyperlink>
      <w:r w:rsidRPr="00C410FB">
        <w:rPr>
          <w:rFonts w:ascii="Book Antiqua" w:eastAsia="Times New Roman" w:hAnsi="Book Antiqua" w:cs="Times New Roman"/>
          <w:sz w:val="19"/>
          <w:szCs w:val="19"/>
          <w:lang w:eastAsia="pt-BR"/>
        </w:rPr>
        <w:t>, cabe à União, aos Estados, Municípios e ao Distrito Federal, de acordo com suas competências.</w:t>
      </w:r>
    </w:p>
    <w:p w14:paraId="3750ADC9"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VI</w:t>
      </w:r>
    </w:p>
    <w:p w14:paraId="2D27CA84"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DO ACESSO À INFORMAÇÃO E À COMUNICAÇÃO</w:t>
      </w:r>
    </w:p>
    <w:p w14:paraId="6A91034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47.  No prazo de até doze meses a contar da data de publicação deste Decreto, será obrigatória a acessibilidade nos portais e sítios eletrônicos da administração pública na rede mundial de computadores (internet), para o uso das pessoas portadoras de deficiência visual, garantindo-lhes o pleno acesso às informações disponíveis.</w:t>
      </w:r>
    </w:p>
    <w:p w14:paraId="5837355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Nos portais e sítios de grande porte, desde que seja demonstrada a inviabilidade técnica de se concluir os procedimentos para alcançar integralmente a acessibilidade, o prazo definido no caput será estendido por igual período.</w:t>
      </w:r>
    </w:p>
    <w:p w14:paraId="5905810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sítios eletrônicos acessíveis às pessoas portadoras de deficiência conterão símbolo que represente a acessibilidade na rede mundial de computadores (internet), a ser adotado nas respectivas páginas de entrada.</w:t>
      </w:r>
    </w:p>
    <w:p w14:paraId="4333B52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telecentros comunitários instalados ou custeados pelos Governos Federal, Estadual, Municipal ou do Distrito Federal devem possuir instalações plenamente acessíveis e, pelo menos, um computador com sistema de som instalado, para uso preferencial por pessoas portadoras de deficiência visual.</w:t>
      </w:r>
    </w:p>
    <w:p w14:paraId="31B930D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48.  Após doze meses da edição deste Decreto, a acessibilidade nos portais e sítios eletrônicos de interesse público na rede mundial de computadores (internet), deverá ser observada para obtenção do financiamento de que trata o inciso III do art.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w:t>
      </w:r>
    </w:p>
    <w:p w14:paraId="2893B79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49.  As empresas prestadoras de serviços de telecomunicações deverão garantir o pleno acesso às pessoas portadoras de deficiência auditiva, por meio das seguintes ações:</w:t>
      </w:r>
    </w:p>
    <w:p w14:paraId="45F715F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no Serviço Telefônico Fixo Comutado - STFC, disponível para uso do público em geral:</w:t>
      </w:r>
    </w:p>
    <w:p w14:paraId="3313679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 instalar, mediante solicitação, em âmbito nacional e em locais públicos, telefones de uso público adaptados para uso por pessoas portadoras de deficiência;</w:t>
      </w:r>
    </w:p>
    <w:p w14:paraId="0A7A268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b) garantir a disponibilidade de instalação de telefones para uso por pessoas portadoras de deficiência auditiva para acessos individuais;</w:t>
      </w:r>
    </w:p>
    <w:p w14:paraId="0B241F7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 garantir a existência de centrais de intermediação de comunicação telefônica a serem utilizadas por pessoas portadoras de deficiência auditiva, que funcionem em tempo integral e atendam a todo o território nacional, inclusive com integração com o mesmo serviço oferecido pelas prestadoras de Serviço Móvel Pessoal; e</w:t>
      </w:r>
    </w:p>
    <w:p w14:paraId="03D81B0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d) garantir que os telefones de uso público contenham dispositivos sonoros para a identificação das unidades existentes e consumidas dos cartões telefônicos, bem como demais informações exibidas no painel destes equipamentos;</w:t>
      </w:r>
    </w:p>
    <w:p w14:paraId="1492C77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no Serviço Móvel Celular ou Serviço Móvel Pessoal:</w:t>
      </w:r>
    </w:p>
    <w:p w14:paraId="5DFB293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 garantir a interoperabilidade nos serviços de telefonia móvel, para possibilitar o envio de mensagens de texto entre celulares de diferentes empresas; e</w:t>
      </w:r>
    </w:p>
    <w:p w14:paraId="076864D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b) garantir a existência de centrais de intermediação de comunicação telefônica a serem utilizadas por pessoas portadoras de deficiência auditiva, que funcionem em tempo integral e atendam a todo o território nacional, inclusive com integração com o mesmo serviço oferecido pelas prestadoras de Serviço Telefônico Fixo Comutado.</w:t>
      </w:r>
    </w:p>
    <w:p w14:paraId="4AF25C3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Além das ações citadas no caput, deve-se considerar o estabelecido nos Planos Gerais de Metas de Universalização aprovados pelos </w:t>
      </w:r>
      <w:hyperlink r:id="rId49" w:history="1">
        <w:r w:rsidRPr="00C410FB">
          <w:rPr>
            <w:rFonts w:ascii="Book Antiqua" w:eastAsia="Times New Roman" w:hAnsi="Book Antiqua" w:cs="Times New Roman"/>
            <w:color w:val="0000FF"/>
            <w:sz w:val="19"/>
            <w:szCs w:val="19"/>
            <w:u w:val="single"/>
            <w:lang w:eastAsia="pt-BR"/>
          </w:rPr>
          <w:t>Decretos n</w:t>
        </w:r>
        <w:r w:rsidRPr="00C410FB">
          <w:rPr>
            <w:rFonts w:ascii="Book Antiqua" w:eastAsia="Times New Roman" w:hAnsi="Book Antiqua" w:cs="Times New Roman"/>
            <w:color w:val="0000FF"/>
            <w:sz w:val="19"/>
            <w:szCs w:val="19"/>
            <w:u w:val="single"/>
            <w:vertAlign w:val="superscript"/>
            <w:lang w:eastAsia="pt-BR"/>
          </w:rPr>
          <w:t>os</w:t>
        </w:r>
        <w:r w:rsidRPr="00C410FB">
          <w:rPr>
            <w:rFonts w:ascii="Book Antiqua" w:eastAsia="Times New Roman" w:hAnsi="Book Antiqua" w:cs="Times New Roman"/>
            <w:color w:val="0000FF"/>
            <w:sz w:val="19"/>
            <w:szCs w:val="19"/>
            <w:u w:val="single"/>
            <w:lang w:eastAsia="pt-BR"/>
          </w:rPr>
          <w:t xml:space="preserve"> 2.592, de 15 de maio de 1998</w:t>
        </w:r>
      </w:hyperlink>
      <w:r w:rsidRPr="00C410FB">
        <w:rPr>
          <w:rFonts w:ascii="Book Antiqua" w:eastAsia="Times New Roman" w:hAnsi="Book Antiqua" w:cs="Times New Roman"/>
          <w:sz w:val="19"/>
          <w:szCs w:val="19"/>
          <w:lang w:eastAsia="pt-BR"/>
        </w:rPr>
        <w:t xml:space="preserve">, e </w:t>
      </w:r>
      <w:hyperlink r:id="rId50" w:history="1">
        <w:r w:rsidRPr="00C410FB">
          <w:rPr>
            <w:rFonts w:ascii="Book Antiqua" w:eastAsia="Times New Roman" w:hAnsi="Book Antiqua" w:cs="Times New Roman"/>
            <w:color w:val="0000FF"/>
            <w:sz w:val="19"/>
            <w:szCs w:val="19"/>
            <w:u w:val="single"/>
            <w:lang w:eastAsia="pt-BR"/>
          </w:rPr>
          <w:t>4.769, de 27 de junho de 2003</w:t>
        </w:r>
      </w:hyperlink>
      <w:r w:rsidRPr="00C410FB">
        <w:rPr>
          <w:rFonts w:ascii="Book Antiqua" w:eastAsia="Times New Roman" w:hAnsi="Book Antiqua" w:cs="Times New Roman"/>
          <w:sz w:val="19"/>
          <w:szCs w:val="19"/>
          <w:lang w:eastAsia="pt-BR"/>
        </w:rPr>
        <w:t xml:space="preserve">, bem como o estabelecido pela </w:t>
      </w:r>
      <w:hyperlink r:id="rId51" w:history="1">
        <w:r w:rsidRPr="00C410FB">
          <w:rPr>
            <w:rFonts w:ascii="Book Antiqua" w:eastAsia="Times New Roman" w:hAnsi="Book Antiqua" w:cs="Times New Roman"/>
            <w:color w:val="0000FF"/>
            <w:sz w:val="19"/>
            <w:szCs w:val="19"/>
            <w:u w:val="single"/>
            <w:lang w:eastAsia="pt-BR"/>
          </w:rPr>
          <w:t>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9.472, de 16 de julho de 1997.</w:t>
        </w:r>
      </w:hyperlink>
    </w:p>
    <w:p w14:paraId="4EC93D7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 termo pessoa portadora de deficiência auditiva e da fala utilizado nos Planos Gerais de Metas de Universalização é entendido neste Decreto como pessoa portadora de deficiência auditiva, no que se refere aos recursos tecnológicos de telefonia.</w:t>
      </w:r>
    </w:p>
    <w:p w14:paraId="1948E07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50.  A Agência Nacional de Telecomunicações - ANATEL regulamentará, no prazo de seis meses a contar da data de publicação deste Decreto, os procedimentos a serem observados para implementação do disposto no art. 49.</w:t>
      </w:r>
    </w:p>
    <w:p w14:paraId="1BD913D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51.  Caberá ao Poder Público incentivar a oferta de aparelhos de telefonia celular que indiquem, de forma sonora, todas as operações e funções neles disponíveis no visor.</w:t>
      </w:r>
    </w:p>
    <w:p w14:paraId="71DA352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52.  Caberá ao Poder Público incentivar a oferta de aparelhos de televisão equipados com recursos tecnológicos que permitam sua utilização de modo a garantir o direito de acesso à informação às pessoas portadoras de deficiência auditiva ou visual.</w:t>
      </w:r>
    </w:p>
    <w:p w14:paraId="5B361F83"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Incluem-se entre os recursos referidos no caput:</w:t>
      </w:r>
    </w:p>
    <w:p w14:paraId="4663D8A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circuito de decodificação de legenda oculta;</w:t>
      </w:r>
    </w:p>
    <w:p w14:paraId="7F7B665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recurso para Programa Secundário de Áudio (SAP); e</w:t>
      </w:r>
    </w:p>
    <w:p w14:paraId="3C130CF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entradas para fones de ouvido com ou sem fio.</w:t>
      </w:r>
    </w:p>
    <w:p w14:paraId="41E58AC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w:t>
      </w:r>
      <w:bookmarkStart w:id="8" w:name="art53"/>
      <w:bookmarkEnd w:id="8"/>
      <w:r w:rsidRPr="00C410FB">
        <w:rPr>
          <w:rFonts w:ascii="Book Antiqua" w:eastAsia="Times New Roman" w:hAnsi="Book Antiqua" w:cs="Times New Roman"/>
          <w:sz w:val="19"/>
          <w:szCs w:val="19"/>
          <w:lang w:eastAsia="pt-BR"/>
        </w:rPr>
        <w:t xml:space="preserve">Art. 53.  Os procedimentos a serem observados para implementação do plano de medidas técnicas previstos no </w:t>
      </w:r>
      <w:hyperlink r:id="rId52" w:anchor="art19" w:history="1">
        <w:r w:rsidRPr="00C410FB">
          <w:rPr>
            <w:rFonts w:ascii="Book Antiqua" w:eastAsia="Times New Roman" w:hAnsi="Book Antiqua" w:cs="Times New Roman"/>
            <w:color w:val="0000FF"/>
            <w:sz w:val="19"/>
            <w:szCs w:val="19"/>
            <w:u w:val="single"/>
            <w:lang w:eastAsia="pt-BR"/>
          </w:rPr>
          <w:t>art. 19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10.098, de 2000.</w:t>
        </w:r>
      </w:hyperlink>
      <w:r w:rsidRPr="00C410FB">
        <w:rPr>
          <w:rFonts w:ascii="Book Antiqua" w:eastAsia="Times New Roman" w:hAnsi="Book Antiqua" w:cs="Times New Roman"/>
          <w:sz w:val="19"/>
          <w:szCs w:val="19"/>
          <w:lang w:eastAsia="pt-BR"/>
        </w:rPr>
        <w:t xml:space="preserve">, serão regulamentados, em norma complementar, pelo Ministério das Comunicações. </w:t>
      </w:r>
      <w:hyperlink r:id="rId53" w:anchor="art1" w:history="1">
        <w:r w:rsidRPr="00C410FB">
          <w:rPr>
            <w:rFonts w:ascii="Book Antiqua" w:eastAsia="Times New Roman" w:hAnsi="Book Antiqua" w:cs="Times New Roman"/>
            <w:color w:val="0000FF"/>
            <w:sz w:val="19"/>
            <w:szCs w:val="19"/>
            <w:u w:val="single"/>
            <w:lang w:eastAsia="pt-BR"/>
          </w:rPr>
          <w:t>(Redação dada pelo Decreto nº 5.645, de 2005)</w:t>
        </w:r>
      </w:hyperlink>
    </w:p>
    <w:p w14:paraId="1E0A5B8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O processo de regulamentação de que trata o caput deverá atender ao disposto no </w:t>
      </w:r>
      <w:hyperlink r:id="rId54" w:anchor="art31" w:history="1">
        <w:r w:rsidRPr="00C410FB">
          <w:rPr>
            <w:rFonts w:ascii="Book Antiqua" w:eastAsia="Times New Roman" w:hAnsi="Book Antiqua" w:cs="Times New Roman"/>
            <w:color w:val="0000FF"/>
            <w:sz w:val="19"/>
            <w:szCs w:val="19"/>
            <w:u w:val="single"/>
            <w:lang w:eastAsia="pt-BR"/>
          </w:rPr>
          <w:t>art. 31 da Lei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9.784, de 29 de janeiro de 1999.</w:t>
        </w:r>
      </w:hyperlink>
    </w:p>
    <w:p w14:paraId="0E65EBF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regulamentação de que trata o caput deverá prever a utilização, entre outros, dos seguintes sistemas de reprodução das mensagens veiculadas para as pessoas portadoras de deficiência auditiva e visual:</w:t>
      </w:r>
    </w:p>
    <w:p w14:paraId="771B073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I - a </w:t>
      </w:r>
      <w:proofErr w:type="spellStart"/>
      <w:r w:rsidRPr="00C410FB">
        <w:rPr>
          <w:rFonts w:ascii="Book Antiqua" w:eastAsia="Times New Roman" w:hAnsi="Book Antiqua" w:cs="Times New Roman"/>
          <w:sz w:val="19"/>
          <w:szCs w:val="19"/>
          <w:lang w:eastAsia="pt-BR"/>
        </w:rPr>
        <w:t>subtitulação</w:t>
      </w:r>
      <w:proofErr w:type="spellEnd"/>
      <w:r w:rsidRPr="00C410FB">
        <w:rPr>
          <w:rFonts w:ascii="Book Antiqua" w:eastAsia="Times New Roman" w:hAnsi="Book Antiqua" w:cs="Times New Roman"/>
          <w:sz w:val="19"/>
          <w:szCs w:val="19"/>
          <w:lang w:eastAsia="pt-BR"/>
        </w:rPr>
        <w:t xml:space="preserve"> por meio de legenda oculta;</w:t>
      </w:r>
    </w:p>
    <w:p w14:paraId="62F200E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a janela com intérprete de LIBRAS; e</w:t>
      </w:r>
    </w:p>
    <w:p w14:paraId="7918C7D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a descrição e narração em voz de cenas e imagens.</w:t>
      </w:r>
    </w:p>
    <w:p w14:paraId="46B6CEC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3§3"/>
      <w:bookmarkEnd w:id="9"/>
      <w:r w:rsidRPr="00C410FB">
        <w:rPr>
          <w:rFonts w:ascii="Book Antiqua" w:eastAsia="Times New Roman" w:hAnsi="Book Antiqua" w:cs="Times New Roman"/>
          <w:sz w:val="19"/>
          <w:szCs w:val="19"/>
          <w:lang w:eastAsia="pt-BR"/>
        </w:rPr>
        <w:t>§ 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Coordenadoria Nacional para Integração da Pessoa Portadora de Deficiência - CORDE da Secretaria Especial dos Direitos Humanos da Presidência da República assistirá o Ministério das Comunicações no procedimento de que trata o §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w:t>
      </w:r>
      <w:hyperlink r:id="rId55" w:anchor="art1" w:history="1">
        <w:r w:rsidRPr="00C410FB">
          <w:rPr>
            <w:rFonts w:ascii="Book Antiqua" w:eastAsia="Times New Roman" w:hAnsi="Book Antiqua" w:cs="Times New Roman"/>
            <w:color w:val="0000FF"/>
            <w:sz w:val="19"/>
            <w:szCs w:val="19"/>
            <w:u w:val="single"/>
            <w:lang w:eastAsia="pt-BR"/>
          </w:rPr>
          <w:t>(Redação dada pelo Decreto nº 5.645, de 2005)</w:t>
        </w:r>
      </w:hyperlink>
    </w:p>
    <w:p w14:paraId="6E28971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54.  </w:t>
      </w:r>
      <w:proofErr w:type="spellStart"/>
      <w:r w:rsidRPr="00C410FB">
        <w:rPr>
          <w:rFonts w:ascii="Book Antiqua" w:eastAsia="Times New Roman" w:hAnsi="Book Antiqua" w:cs="Times New Roman"/>
          <w:sz w:val="19"/>
          <w:szCs w:val="19"/>
          <w:lang w:eastAsia="pt-BR"/>
        </w:rPr>
        <w:t>Autorizatárias</w:t>
      </w:r>
      <w:proofErr w:type="spellEnd"/>
      <w:r w:rsidRPr="00C410FB">
        <w:rPr>
          <w:rFonts w:ascii="Book Antiqua" w:eastAsia="Times New Roman" w:hAnsi="Book Antiqua" w:cs="Times New Roman"/>
          <w:sz w:val="19"/>
          <w:szCs w:val="19"/>
          <w:lang w:eastAsia="pt-BR"/>
        </w:rPr>
        <w:t xml:space="preserve"> e consignatárias do serviço de radiodifusão de sons e imagens operadas pelo Poder Público poderão adotar plano de medidas técnicas próprio, como metas antecipadas e mais amplas do que aquelas as serem definidas no âmbito do procedimento estabelecido no art. 53.</w:t>
      </w:r>
    </w:p>
    <w:p w14:paraId="2638460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55.  Caberá aos órgãos e entidades da administração pública, diretamente ou em parceria com organizações sociais civis de interesse público, sob a orientação do Ministério da Educação e da Secretaria Especial dos Direitos Humanos, por meio da CORDE, promover a capacitação de profissionais em LIBRAS.</w:t>
      </w:r>
    </w:p>
    <w:p w14:paraId="57E39F9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56.  O projeto de desenvolvimento e implementação da televisão digital no País deverá contemplar obrigatoriamente os três tipos de sistema de acesso à informação de que trata o art. 52.</w:t>
      </w:r>
    </w:p>
    <w:p w14:paraId="526F036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Art. 57.  A Secretaria de Comunicação de Governo e Gestão Estratégica da Presidência da República editará, no prazo de doze meses a contar da data da publicação deste Decreto, normas complementares disciplinando a utilização dos sistemas de acesso à informação referidos no §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do art. 53, na publicidade governamental e nos pronunciamentos oficiais transmitidos por meio dos serviços de radiodifusão de sons e imagens.</w:t>
      </w:r>
    </w:p>
    <w:p w14:paraId="07E3720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Sem prejuízo do disposto no caput e observadas as condições técnicas, os pronunciamentos oficiais do Presidente da República serão acompanhados, obrigatoriamente, no prazo de seis meses a partir da publicação deste Decreto, de sistema de acessibilidade mediante janela com intérprete de LIBRAS.</w:t>
      </w:r>
    </w:p>
    <w:p w14:paraId="3B9AFD1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58.  O Poder Público adotará mecanismos de incentivo para tornar disponíveis em meio magnético, em formato de texto, as obras publicadas no País.</w:t>
      </w:r>
    </w:p>
    <w:p w14:paraId="43EC472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partir de seis meses da edição deste Decreto, a indústria de medicamentos deve disponibilizar, mediante solicitação, exemplares das bulas dos medicamentos em meio magnético, braile ou em fonte ampliada.</w:t>
      </w:r>
    </w:p>
    <w:p w14:paraId="5A7371C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A partir de seis meses da edição deste Decreto, os fabricantes de equipamentos eletroeletrônicos e mecânicos de uso doméstico devem disponibilizar, mediante solicitação, exemplares dos manuais de instrução em meio magnético, braile ou em fonte ampliada.</w:t>
      </w:r>
    </w:p>
    <w:p w14:paraId="19E180E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59.  O Poder Público apoiará preferencialmente os congressos, seminários, oficinas e demais eventos científico-culturais que ofereçam, mediante solicitação, apoios humanos às pessoas com deficiência auditiva e visual, tais como tradutores e intérpretes de LIBRAS, ledores, guias-intérpretes, ou tecnologias de informação e comunicação, tais como a transcrição eletrônica simultânea.</w:t>
      </w:r>
    </w:p>
    <w:p w14:paraId="7B1A863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60.  Os programas e as linhas de pesquisa a serem desenvolvidos com o apoio de organismos públicos de auxílio à pesquisa e de agências de financiamento deverão contemplar temas voltados para tecnologia da informação acessível para pessoas portadoras de deficiência.</w:t>
      </w:r>
    </w:p>
    <w:p w14:paraId="439CC31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Será estimulada a criação de linhas de crédito para a indústria que produza componentes e equipamentos relacionados à tecnologia da informação acessível para pessoas portadoras de deficiência.</w:t>
      </w:r>
    </w:p>
    <w:p w14:paraId="6FF4A5E9"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VII</w:t>
      </w:r>
    </w:p>
    <w:p w14:paraId="178DDF12"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DAS AJUDAS TÉCNICAS</w:t>
      </w:r>
    </w:p>
    <w:p w14:paraId="38B3801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61.  Para os fins deste Decreto, consideram-se ajudas técnicas os produtos, instrumentos, equipamentos ou tecnologia adaptados ou especialmente projetados para melhorar a funcionalidade da pessoa portadora de deficiência ou com mobilidade reduzida, favorecendo a autonomia pessoal, total ou assistida.</w:t>
      </w:r>
    </w:p>
    <w:p w14:paraId="5945E84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elementos ou equipamentos definidos como ajudas técnicas serão certificados pelos órgãos competentes, ouvidas as entidades representativas das pessoas portadoras de deficiência.</w:t>
      </w:r>
    </w:p>
    <w:p w14:paraId="69ED5B5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Para os fins deste Decreto, os cães-guia e os cães-guia de acompanhamento são considerados ajudas técnicas.</w:t>
      </w:r>
    </w:p>
    <w:p w14:paraId="51D5E72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62.  Os programas e as linhas de pesquisa a serem desenvolvidos com o apoio de organismos públicos de auxílio à pesquisa e de agências de financiamento deverão contemplar temas voltados para ajudas técnicas, cura, tratamento e prevenção de deficiências ou que contribuam para impedir ou minimizar o seu agravamento.</w:t>
      </w:r>
    </w:p>
    <w:p w14:paraId="1610C49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Parágrafo único.  Será estimulada a criação de linhas de crédito para a indústria que produza componentes e equipamentos de ajudas técnicas.</w:t>
      </w:r>
    </w:p>
    <w:p w14:paraId="1C539CE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63.  O desenvolvimento científico e tecnológico voltado para a produção de ajudas técnicas dar-se-á a partir da instituição de parcerias com universidades e centros de pesquisa para a produção nacional de componentes e equipamentos.</w:t>
      </w:r>
    </w:p>
    <w:p w14:paraId="4EB6B93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Parágrafo único.  Os bancos oficiais, com base em estudos e pesquisas elaborados pelo Poder Público, serão estimulados a conceder financiamento às pessoas portadoras de deficiência para aquisição de ajudas técnicas.</w:t>
      </w:r>
    </w:p>
    <w:p w14:paraId="52EC130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64.  Caberá ao Poder Executivo, com base em estudos e pesquisas, verificar a viabilidade de:</w:t>
      </w:r>
    </w:p>
    <w:p w14:paraId="45A3A9A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redução ou isenção de tributos para a importação de equipamentos de ajudas técnicas que não sejam produzidos no País ou que não possuam similares nacionais;</w:t>
      </w:r>
    </w:p>
    <w:p w14:paraId="32B0FE0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redução ou isenção do imposto sobre produtos industrializados incidente sobre as ajudas técnicas; e</w:t>
      </w:r>
    </w:p>
    <w:p w14:paraId="4B0F3F5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inclusão de todos os equipamentos de ajudas técnicas para pessoas portadoras de deficiência ou com mobilidade reduzida na categoria de equipamentos sujeitos a dedução de imposto de renda.</w:t>
      </w:r>
    </w:p>
    <w:p w14:paraId="22FEE2A6"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Parágrafo único.  Na elaboração dos estudos e pesquisas a que se referem o caput, deve-se observar o disposto no </w:t>
      </w:r>
      <w:hyperlink r:id="rId56" w:anchor="art14" w:history="1">
        <w:r w:rsidRPr="00C410FB">
          <w:rPr>
            <w:rFonts w:ascii="Book Antiqua" w:eastAsia="Times New Roman" w:hAnsi="Book Antiqua" w:cs="Times New Roman"/>
            <w:color w:val="0000FF"/>
            <w:sz w:val="19"/>
            <w:szCs w:val="19"/>
            <w:u w:val="single"/>
            <w:lang w:eastAsia="pt-BR"/>
          </w:rPr>
          <w:t>art. 14 da Lei Complementar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101, de 2000</w:t>
        </w:r>
      </w:hyperlink>
      <w:r w:rsidRPr="00C410FB">
        <w:rPr>
          <w:rFonts w:ascii="Book Antiqua" w:eastAsia="Times New Roman" w:hAnsi="Book Antiqua" w:cs="Times New Roman"/>
          <w:sz w:val="19"/>
          <w:szCs w:val="19"/>
          <w:lang w:eastAsia="pt-BR"/>
        </w:rPr>
        <w:t>, sinalizando impacto orçamentário e financeiro da medida estudada.</w:t>
      </w:r>
    </w:p>
    <w:p w14:paraId="2749CA8E"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65. Caberá ao Poder Público viabilizar as seguintes diretrizes:</w:t>
      </w:r>
    </w:p>
    <w:p w14:paraId="54EC71A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reconhecimento da área de ajudas técnicas como área de conhecimento;</w:t>
      </w:r>
    </w:p>
    <w:p w14:paraId="0DD17CE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promoção da inclusão de conteúdos temáticos referentes a ajudas técnicas na educação profissional, no ensino médio, na graduação e na pós-graduação;</w:t>
      </w:r>
    </w:p>
    <w:p w14:paraId="38B22E5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apoio e divulgação de trabalhos técnicos e científicos referentes a ajudas técnicas;</w:t>
      </w:r>
    </w:p>
    <w:p w14:paraId="26A9B4AD"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estabelecimento de parcerias com escolas e centros de educação profissional, centros de ensino universitários e de pesquisa, no sentido de incrementar a formação de profissionais na área de ajudas técnicas; e</w:t>
      </w:r>
    </w:p>
    <w:p w14:paraId="5785133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xml:space="preserve">V - incentivo à formação e treinamento de </w:t>
      </w:r>
      <w:proofErr w:type="spellStart"/>
      <w:r w:rsidRPr="00C410FB">
        <w:rPr>
          <w:rFonts w:ascii="Book Antiqua" w:eastAsia="Times New Roman" w:hAnsi="Book Antiqua" w:cs="Times New Roman"/>
          <w:sz w:val="19"/>
          <w:szCs w:val="19"/>
          <w:lang w:eastAsia="pt-BR"/>
        </w:rPr>
        <w:t>ortesistas</w:t>
      </w:r>
      <w:proofErr w:type="spellEnd"/>
      <w:r w:rsidRPr="00C410FB">
        <w:rPr>
          <w:rFonts w:ascii="Book Antiqua" w:eastAsia="Times New Roman" w:hAnsi="Book Antiqua" w:cs="Times New Roman"/>
          <w:sz w:val="19"/>
          <w:szCs w:val="19"/>
          <w:lang w:eastAsia="pt-BR"/>
        </w:rPr>
        <w:t xml:space="preserve"> e </w:t>
      </w:r>
      <w:proofErr w:type="spellStart"/>
      <w:r w:rsidRPr="00C410FB">
        <w:rPr>
          <w:rFonts w:ascii="Book Antiqua" w:eastAsia="Times New Roman" w:hAnsi="Book Antiqua" w:cs="Times New Roman"/>
          <w:sz w:val="19"/>
          <w:szCs w:val="19"/>
          <w:lang w:eastAsia="pt-BR"/>
        </w:rPr>
        <w:t>protesistas</w:t>
      </w:r>
      <w:proofErr w:type="spellEnd"/>
      <w:r w:rsidRPr="00C410FB">
        <w:rPr>
          <w:rFonts w:ascii="Book Antiqua" w:eastAsia="Times New Roman" w:hAnsi="Book Antiqua" w:cs="Times New Roman"/>
          <w:sz w:val="19"/>
          <w:szCs w:val="19"/>
          <w:lang w:eastAsia="pt-BR"/>
        </w:rPr>
        <w:t>.</w:t>
      </w:r>
    </w:p>
    <w:p w14:paraId="273FBC17"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66.  A Secretaria Especial dos Direitos Humanos instituirá Comitê de Ajudas Técnicas, constituído por profissionais que atuam nesta área, e que será responsável por:</w:t>
      </w:r>
    </w:p>
    <w:p w14:paraId="531F894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estruturação das diretrizes da área de conhecimento;</w:t>
      </w:r>
    </w:p>
    <w:p w14:paraId="7BE2819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estabelecimento das competências desta área;</w:t>
      </w:r>
    </w:p>
    <w:p w14:paraId="3B91A5E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realização de estudos no intuito de subsidiar a elaboração de normas a respeito de ajudas técnicas;</w:t>
      </w:r>
    </w:p>
    <w:p w14:paraId="5D95EC60"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levantamento dos recursos humanos que atualmente trabalham com o tema; e</w:t>
      </w:r>
    </w:p>
    <w:p w14:paraId="5B9A02D4"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lastRenderedPageBreak/>
        <w:t>V - detecção dos centros regionais de referência em ajudas técnicas, objetivando a formação de rede nacional integrada.</w:t>
      </w:r>
    </w:p>
    <w:p w14:paraId="3E6B64B2"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1</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 Comitê de Ajudas Técnicas será supervisionado pela CORDE e participará do Programa Nacional de Acessibilidade, com vistas a garantir o disposto no art. 62.</w:t>
      </w:r>
    </w:p>
    <w:p w14:paraId="3902C6C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2</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Os serviços a serem prestados pelos membros do Comitê de Ajudas Técnicas são considerados relevantes e não serão remunerados.</w:t>
      </w:r>
    </w:p>
    <w:p w14:paraId="3A915A8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VIII</w:t>
      </w:r>
    </w:p>
    <w:p w14:paraId="754B8FE9"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DO PROGRAMA NACIONAL DE ACESSIBILIDADE</w:t>
      </w:r>
    </w:p>
    <w:p w14:paraId="6EDCE2CA"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67.  O Programa Nacional de Acessibilidade, sob a coordenação da Secretaria Especial dos Direitos Humanos, por intermédio da CORDE, integrará os planos plurianuais, as diretrizes orçamentárias e os orçamentos anuais.</w:t>
      </w:r>
    </w:p>
    <w:p w14:paraId="2AF5570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68.  A Secretaria Especial dos Direitos Humanos, na condição de coordenadora do Programa Nacional de Acessibilidade, desenvolverá, dentre outras, as seguintes ações:</w:t>
      </w:r>
    </w:p>
    <w:p w14:paraId="21191DF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 - apoio e promoção de capacitação e especialização de recursos humanos em acessibilidade e ajudas técnicas;</w:t>
      </w:r>
    </w:p>
    <w:p w14:paraId="5BA00FFB"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 - acompanhamento e aperfeiçoamento da legislação sobre acessibilidade;</w:t>
      </w:r>
    </w:p>
    <w:p w14:paraId="2691FC4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III - edição, publicação e distribuição de títulos referentes à temática da acessibilidade;</w:t>
      </w:r>
    </w:p>
    <w:p w14:paraId="49891A4C"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IV - cooperação com Estados, Distrito Federal e Municípios para a elaboração de estudos e diagnósticos sobre a situação da acessibilidade arquitetônica, urbanística, de transporte, comunicação e informação;</w:t>
      </w:r>
    </w:p>
    <w:p w14:paraId="2BC2A6E8"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 - apoio e realização de campanhas informativas e educativas sobre acessibilidade;</w:t>
      </w:r>
    </w:p>
    <w:p w14:paraId="6589EF3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 - promoção de concursos nacionais sobre a temática da acessibilidade; e</w:t>
      </w:r>
    </w:p>
    <w:p w14:paraId="77AA0DA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VII - estudos e proposição da criação e normatização do Selo Nacional de Acessibilidade.</w:t>
      </w:r>
    </w:p>
    <w:p w14:paraId="51D9C9BB"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CAPÍTULO IX</w:t>
      </w:r>
    </w:p>
    <w:p w14:paraId="2B1CE8AC"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DAS DISPOSIÇÕES FINAIS</w:t>
      </w:r>
    </w:p>
    <w:p w14:paraId="0F16CAE1"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69.  Os programas nacionais de desenvolvimento urbano, os projetos de revitalização, recuperação ou reabilitação urbana incluirão ações destinadas à eliminação de barreiras arquitetônicas e urbanísticas, nos transportes e na comunicação e informação devidamente adequadas às exigências deste Decreto.</w:t>
      </w:r>
    </w:p>
    <w:p w14:paraId="7871DCA5"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 w:name="art70"/>
      <w:bookmarkEnd w:id="10"/>
      <w:r w:rsidRPr="00C410FB">
        <w:rPr>
          <w:rFonts w:ascii="Book Antiqua" w:eastAsia="Times New Roman" w:hAnsi="Book Antiqua" w:cs="Times New Roman"/>
          <w:sz w:val="19"/>
          <w:szCs w:val="19"/>
          <w:lang w:eastAsia="pt-BR"/>
        </w:rPr>
        <w:t> Art. 70.  O art.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do Decreto n</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3.298, de 20 de dezembro de 1999, passa a vigorar com as seguintes alterações:</w:t>
      </w:r>
    </w:p>
    <w:p w14:paraId="432AAE03" w14:textId="77777777" w:rsidR="006F65D0" w:rsidRPr="00C410FB" w:rsidRDefault="006F65D0" w:rsidP="006F65D0">
      <w:pPr>
        <w:spacing w:beforeAutospacing="1" w:after="100" w:afterAutospacing="1" w:line="240" w:lineRule="auto"/>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4</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w:t>
      </w:r>
    </w:p>
    <w:p w14:paraId="57627D88" w14:textId="77777777" w:rsidR="006F65D0" w:rsidRPr="00C410FB" w:rsidRDefault="00244ED5" w:rsidP="006F65D0">
      <w:pPr>
        <w:spacing w:before="100" w:beforeAutospacing="1" w:after="100" w:afterAutospacing="1" w:line="240" w:lineRule="auto"/>
        <w:jc w:val="both"/>
        <w:rPr>
          <w:rFonts w:ascii="Book Antiqua" w:eastAsia="Times New Roman" w:hAnsi="Book Antiqua" w:cs="Times New Roman"/>
          <w:sz w:val="19"/>
          <w:szCs w:val="19"/>
          <w:lang w:eastAsia="pt-BR"/>
        </w:rPr>
      </w:pPr>
      <w:hyperlink r:id="rId57" w:anchor="art4i" w:history="1">
        <w:r w:rsidR="006F65D0" w:rsidRPr="00C410FB">
          <w:rPr>
            <w:rFonts w:ascii="Book Antiqua" w:eastAsia="Times New Roman" w:hAnsi="Book Antiqua" w:cs="Times New Roman"/>
            <w:color w:val="0000FF"/>
            <w:sz w:val="19"/>
            <w:szCs w:val="19"/>
            <w:u w:val="single"/>
            <w:lang w:eastAsia="pt-BR"/>
          </w:rPr>
          <w:t>I -</w:t>
        </w:r>
      </w:hyperlink>
      <w:r w:rsidR="006F65D0" w:rsidRPr="00C410FB">
        <w:rPr>
          <w:rFonts w:ascii="Book Antiqua" w:eastAsia="Times New Roman" w:hAnsi="Book Antiqua" w:cs="Times New Roman"/>
          <w:sz w:val="19"/>
          <w:szCs w:val="19"/>
          <w:lang w:eastAsia="pt-BR"/>
        </w:rPr>
        <w:t xml:space="preserve"> deficiência física - alteração completa ou parcial de um ou mais segmentos do corpo humano, acarretando o comprometimento da função física, apresentando-se sob a forma de paraplegia, paraparesia, monoplegia, monoparesia, tetraplegia, tetraparesia, triplegia, triparesia, hemiplegia, hemiparesia, ostomia, amputação ou ausência de membro, paralisia cerebral, nanismo, membros com </w:t>
      </w:r>
      <w:r w:rsidR="006F65D0" w:rsidRPr="00C410FB">
        <w:rPr>
          <w:rFonts w:ascii="Book Antiqua" w:eastAsia="Times New Roman" w:hAnsi="Book Antiqua" w:cs="Times New Roman"/>
          <w:sz w:val="19"/>
          <w:szCs w:val="19"/>
          <w:lang w:eastAsia="pt-BR"/>
        </w:rPr>
        <w:lastRenderedPageBreak/>
        <w:t>deformidade congênita ou adquirida, exceto as deformidades estéticas e as que não produzam dificuldades para o desempenho de funções;</w:t>
      </w:r>
    </w:p>
    <w:bookmarkStart w:id="11" w:name="art4ii"/>
    <w:bookmarkEnd w:id="11"/>
    <w:p w14:paraId="7876BF71"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fldChar w:fldCharType="begin"/>
      </w:r>
      <w:r w:rsidRPr="00C410FB">
        <w:rPr>
          <w:rFonts w:ascii="Book Antiqua" w:eastAsia="Times New Roman" w:hAnsi="Book Antiqua" w:cs="Times New Roman"/>
          <w:sz w:val="19"/>
          <w:szCs w:val="19"/>
          <w:lang w:eastAsia="pt-BR"/>
        </w:rPr>
        <w:instrText xml:space="preserve"> HYPERLINK "http://www.planalto.gov.br/ccivil_03/decreto/D3298.htm" \l "art4ii" </w:instrText>
      </w:r>
      <w:r w:rsidRPr="00C410FB">
        <w:rPr>
          <w:rFonts w:ascii="Book Antiqua" w:eastAsia="Times New Roman" w:hAnsi="Book Antiqua" w:cs="Times New Roman"/>
          <w:sz w:val="19"/>
          <w:szCs w:val="19"/>
          <w:lang w:eastAsia="pt-BR"/>
        </w:rPr>
        <w:fldChar w:fldCharType="separate"/>
      </w:r>
      <w:r w:rsidRPr="00C410FB">
        <w:rPr>
          <w:rFonts w:ascii="Book Antiqua" w:eastAsia="Times New Roman" w:hAnsi="Book Antiqua" w:cs="Times New Roman"/>
          <w:color w:val="0000FF"/>
          <w:sz w:val="19"/>
          <w:szCs w:val="19"/>
          <w:u w:val="single"/>
          <w:lang w:eastAsia="pt-BR"/>
        </w:rPr>
        <w:t>II -</w:t>
      </w:r>
      <w:r w:rsidRPr="00C410FB">
        <w:rPr>
          <w:rFonts w:ascii="Book Antiqua" w:eastAsia="Times New Roman" w:hAnsi="Book Antiqua" w:cs="Times New Roman"/>
          <w:sz w:val="19"/>
          <w:szCs w:val="19"/>
          <w:lang w:eastAsia="pt-BR"/>
        </w:rPr>
        <w:fldChar w:fldCharType="end"/>
      </w:r>
      <w:r w:rsidRPr="00C410FB">
        <w:rPr>
          <w:rFonts w:ascii="Book Antiqua" w:eastAsia="Times New Roman" w:hAnsi="Book Antiqua" w:cs="Times New Roman"/>
          <w:sz w:val="19"/>
          <w:szCs w:val="19"/>
          <w:lang w:eastAsia="pt-BR"/>
        </w:rPr>
        <w:t xml:space="preserve"> deficiência auditiva - perda bilateral, parcial ou total, de quarenta e um decibéis (dB) ou mais, aferida por audiograma nas </w:t>
      </w:r>
      <w:proofErr w:type="spellStart"/>
      <w:r w:rsidRPr="00C410FB">
        <w:rPr>
          <w:rFonts w:ascii="Book Antiqua" w:eastAsia="Times New Roman" w:hAnsi="Book Antiqua" w:cs="Times New Roman"/>
          <w:sz w:val="19"/>
          <w:szCs w:val="19"/>
          <w:lang w:eastAsia="pt-BR"/>
        </w:rPr>
        <w:t>freqüências</w:t>
      </w:r>
      <w:proofErr w:type="spellEnd"/>
      <w:r w:rsidRPr="00C410FB">
        <w:rPr>
          <w:rFonts w:ascii="Book Antiqua" w:eastAsia="Times New Roman" w:hAnsi="Book Antiqua" w:cs="Times New Roman"/>
          <w:sz w:val="19"/>
          <w:szCs w:val="19"/>
          <w:lang w:eastAsia="pt-BR"/>
        </w:rPr>
        <w:t xml:space="preserve"> de 500HZ, 1.000HZ, 2.000Hz e 3.000Hz;</w:t>
      </w:r>
    </w:p>
    <w:bookmarkStart w:id="12" w:name="art4iii"/>
    <w:bookmarkEnd w:id="12"/>
    <w:p w14:paraId="7E9B479C"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fldChar w:fldCharType="begin"/>
      </w:r>
      <w:r w:rsidRPr="00C410FB">
        <w:rPr>
          <w:rFonts w:ascii="Book Antiqua" w:eastAsia="Times New Roman" w:hAnsi="Book Antiqua" w:cs="Times New Roman"/>
          <w:sz w:val="19"/>
          <w:szCs w:val="19"/>
          <w:lang w:eastAsia="pt-BR"/>
        </w:rPr>
        <w:instrText xml:space="preserve"> HYPERLINK "http://www.planalto.gov.br/ccivil_03/decreto/D3298.htm" \l "art4iii" </w:instrText>
      </w:r>
      <w:r w:rsidRPr="00C410FB">
        <w:rPr>
          <w:rFonts w:ascii="Book Antiqua" w:eastAsia="Times New Roman" w:hAnsi="Book Antiqua" w:cs="Times New Roman"/>
          <w:sz w:val="19"/>
          <w:szCs w:val="19"/>
          <w:lang w:eastAsia="pt-BR"/>
        </w:rPr>
        <w:fldChar w:fldCharType="separate"/>
      </w:r>
      <w:r w:rsidRPr="00C410FB">
        <w:rPr>
          <w:rFonts w:ascii="Book Antiqua" w:eastAsia="Times New Roman" w:hAnsi="Book Antiqua" w:cs="Times New Roman"/>
          <w:color w:val="0000FF"/>
          <w:sz w:val="19"/>
          <w:szCs w:val="19"/>
          <w:u w:val="single"/>
          <w:lang w:eastAsia="pt-BR"/>
        </w:rPr>
        <w:t>III -</w:t>
      </w:r>
      <w:r w:rsidRPr="00C410FB">
        <w:rPr>
          <w:rFonts w:ascii="Book Antiqua" w:eastAsia="Times New Roman" w:hAnsi="Book Antiqua" w:cs="Times New Roman"/>
          <w:sz w:val="19"/>
          <w:szCs w:val="19"/>
          <w:lang w:eastAsia="pt-BR"/>
        </w:rPr>
        <w:fldChar w:fldCharType="end"/>
      </w:r>
      <w:r w:rsidRPr="00C410FB">
        <w:rPr>
          <w:rFonts w:ascii="Book Antiqua" w:eastAsia="Times New Roman" w:hAnsi="Book Antiqua" w:cs="Times New Roman"/>
          <w:sz w:val="19"/>
          <w:szCs w:val="19"/>
          <w:lang w:eastAsia="pt-BR"/>
        </w:rPr>
        <w:t> deficiência visual - cegueira, na qual a acuidade visual é igual ou menor que 0,05 no melhor olho, com a melhor correção óptica; a baixa visão, que significa acuidade visual entre 0,3 e 0,05 no melhor olho, com a melhor correção óptica; os casos nos quais a somatória da medida do campo visual em ambos os olhos for igual ou menor que 60</w:t>
      </w:r>
      <w:r w:rsidRPr="00C410FB">
        <w:rPr>
          <w:rFonts w:ascii="Book Antiqua" w:eastAsia="Times New Roman" w:hAnsi="Book Antiqua" w:cs="Times New Roman"/>
          <w:sz w:val="19"/>
          <w:szCs w:val="19"/>
          <w:vertAlign w:val="superscript"/>
          <w:lang w:eastAsia="pt-BR"/>
        </w:rPr>
        <w:t>o</w:t>
      </w:r>
      <w:r w:rsidRPr="00C410FB">
        <w:rPr>
          <w:rFonts w:ascii="Book Antiqua" w:eastAsia="Times New Roman" w:hAnsi="Book Antiqua" w:cs="Times New Roman"/>
          <w:sz w:val="19"/>
          <w:szCs w:val="19"/>
          <w:lang w:eastAsia="pt-BR"/>
        </w:rPr>
        <w:t>; ou a ocorrência simultânea de quaisquer das condições anteriores;</w:t>
      </w:r>
    </w:p>
    <w:p w14:paraId="26172BBA"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9"/>
          <w:szCs w:val="19"/>
          <w:lang w:eastAsia="pt-BR"/>
        </w:rPr>
      </w:pPr>
      <w:bookmarkStart w:id="13" w:name="art4ivd"/>
      <w:bookmarkEnd w:id="13"/>
      <w:r w:rsidRPr="00C410FB">
        <w:rPr>
          <w:rFonts w:ascii="Book Antiqua" w:eastAsia="Times New Roman" w:hAnsi="Book Antiqua" w:cs="Times New Roman"/>
          <w:sz w:val="19"/>
          <w:szCs w:val="19"/>
          <w:lang w:eastAsia="pt-BR"/>
        </w:rPr>
        <w:t>IV - .......................................................................</w:t>
      </w:r>
    </w:p>
    <w:p w14:paraId="61F54261"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w:t>
      </w:r>
    </w:p>
    <w:p w14:paraId="19006BD7" w14:textId="77777777" w:rsidR="006F65D0" w:rsidRPr="00C410FB" w:rsidRDefault="00244ED5" w:rsidP="006F65D0">
      <w:pPr>
        <w:spacing w:before="100" w:beforeAutospacing="1" w:after="100" w:afterAutospacing="1" w:line="240" w:lineRule="auto"/>
        <w:jc w:val="both"/>
        <w:rPr>
          <w:rFonts w:ascii="Book Antiqua" w:eastAsia="Times New Roman" w:hAnsi="Book Antiqua" w:cs="Times New Roman"/>
          <w:sz w:val="19"/>
          <w:szCs w:val="19"/>
          <w:lang w:eastAsia="pt-BR"/>
        </w:rPr>
      </w:pPr>
      <w:hyperlink r:id="rId58" w:anchor="art4ivd" w:history="1">
        <w:r w:rsidR="006F65D0" w:rsidRPr="00C410FB">
          <w:rPr>
            <w:rFonts w:ascii="Book Antiqua" w:eastAsia="Times New Roman" w:hAnsi="Book Antiqua" w:cs="Times New Roman"/>
            <w:color w:val="0000FF"/>
            <w:sz w:val="19"/>
            <w:szCs w:val="19"/>
            <w:u w:val="single"/>
            <w:lang w:eastAsia="pt-BR"/>
          </w:rPr>
          <w:t>d)</w:t>
        </w:r>
      </w:hyperlink>
      <w:r w:rsidR="006F65D0" w:rsidRPr="00C410FB">
        <w:rPr>
          <w:rFonts w:ascii="Book Antiqua" w:eastAsia="Times New Roman" w:hAnsi="Book Antiqua" w:cs="Times New Roman"/>
          <w:sz w:val="19"/>
          <w:szCs w:val="19"/>
          <w:lang w:eastAsia="pt-BR"/>
        </w:rPr>
        <w:t> utilização dos recursos da comunidade;</w:t>
      </w:r>
    </w:p>
    <w:p w14:paraId="4035E076" w14:textId="77777777" w:rsidR="006F65D0" w:rsidRPr="00C410FB" w:rsidRDefault="006F65D0" w:rsidP="006F65D0">
      <w:pPr>
        <w:spacing w:before="100" w:beforeAutospacing="1" w:after="100" w:afterAutospacing="1" w:line="240" w:lineRule="auto"/>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......................................................................."(NR)</w:t>
      </w:r>
    </w:p>
    <w:p w14:paraId="6DF0E209"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71"/>
      <w:bookmarkEnd w:id="14"/>
      <w:r w:rsidRPr="00C410FB">
        <w:rPr>
          <w:rFonts w:ascii="Book Antiqua" w:eastAsia="Times New Roman" w:hAnsi="Book Antiqua" w:cs="Times New Roman"/>
          <w:sz w:val="19"/>
          <w:szCs w:val="19"/>
          <w:lang w:eastAsia="pt-BR"/>
        </w:rPr>
        <w:t xml:space="preserve">Art. 71.  Ficam revogados os </w:t>
      </w:r>
      <w:hyperlink r:id="rId59" w:anchor="art50" w:history="1">
        <w:proofErr w:type="spellStart"/>
        <w:r w:rsidRPr="00C410FB">
          <w:rPr>
            <w:rFonts w:ascii="Book Antiqua" w:eastAsia="Times New Roman" w:hAnsi="Book Antiqua" w:cs="Times New Roman"/>
            <w:color w:val="0000FF"/>
            <w:sz w:val="19"/>
            <w:szCs w:val="19"/>
            <w:u w:val="single"/>
            <w:lang w:eastAsia="pt-BR"/>
          </w:rPr>
          <w:t>arts</w:t>
        </w:r>
        <w:proofErr w:type="spellEnd"/>
        <w:r w:rsidRPr="00C410FB">
          <w:rPr>
            <w:rFonts w:ascii="Book Antiqua" w:eastAsia="Times New Roman" w:hAnsi="Book Antiqua" w:cs="Times New Roman"/>
            <w:color w:val="0000FF"/>
            <w:sz w:val="19"/>
            <w:szCs w:val="19"/>
            <w:u w:val="single"/>
            <w:lang w:eastAsia="pt-BR"/>
          </w:rPr>
          <w:t>. 50 a 54 do Decreto n</w:t>
        </w:r>
        <w:r w:rsidRPr="00C410FB">
          <w:rPr>
            <w:rFonts w:ascii="Book Antiqua" w:eastAsia="Times New Roman" w:hAnsi="Book Antiqua" w:cs="Times New Roman"/>
            <w:color w:val="0000FF"/>
            <w:sz w:val="19"/>
            <w:szCs w:val="19"/>
            <w:u w:val="single"/>
            <w:vertAlign w:val="superscript"/>
            <w:lang w:eastAsia="pt-BR"/>
          </w:rPr>
          <w:t>o</w:t>
        </w:r>
        <w:r w:rsidRPr="00C410FB">
          <w:rPr>
            <w:rFonts w:ascii="Book Antiqua" w:eastAsia="Times New Roman" w:hAnsi="Book Antiqua" w:cs="Times New Roman"/>
            <w:color w:val="0000FF"/>
            <w:sz w:val="19"/>
            <w:szCs w:val="19"/>
            <w:u w:val="single"/>
            <w:lang w:eastAsia="pt-BR"/>
          </w:rPr>
          <w:t xml:space="preserve"> 3.298, de 20 de dezembro de 1999.</w:t>
        </w:r>
      </w:hyperlink>
    </w:p>
    <w:p w14:paraId="4D1C64EF" w14:textId="77777777" w:rsidR="006F65D0" w:rsidRPr="00C410FB" w:rsidRDefault="006F65D0" w:rsidP="006F65D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Art. 72. Este Decreto entra em vigor na data da sua publicação.</w:t>
      </w:r>
    </w:p>
    <w:p w14:paraId="555913CB" w14:textId="77777777" w:rsidR="006F65D0" w:rsidRPr="00C410FB" w:rsidRDefault="006F65D0" w:rsidP="006F65D0">
      <w:pPr>
        <w:spacing w:before="100" w:beforeAutospacing="1" w:after="100" w:afterAutospacing="1" w:line="240" w:lineRule="auto"/>
        <w:ind w:firstLine="567"/>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Brasília, 2 de dezembro de 2004; 183</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da Independência e 116</w:t>
      </w:r>
      <w:r w:rsidRPr="00C410FB">
        <w:rPr>
          <w:rFonts w:ascii="Book Antiqua" w:eastAsia="Times New Roman" w:hAnsi="Book Antiqua" w:cs="Times New Roman"/>
          <w:sz w:val="19"/>
          <w:szCs w:val="19"/>
          <w:u w:val="single"/>
          <w:vertAlign w:val="superscript"/>
          <w:lang w:eastAsia="pt-BR"/>
        </w:rPr>
        <w:t>o</w:t>
      </w:r>
      <w:r w:rsidRPr="00C410FB">
        <w:rPr>
          <w:rFonts w:ascii="Book Antiqua" w:eastAsia="Times New Roman" w:hAnsi="Book Antiqua" w:cs="Times New Roman"/>
          <w:sz w:val="19"/>
          <w:szCs w:val="19"/>
          <w:lang w:eastAsia="pt-BR"/>
        </w:rPr>
        <w:t xml:space="preserve"> da República.</w:t>
      </w:r>
    </w:p>
    <w:p w14:paraId="55592CF5" w14:textId="77777777" w:rsidR="006F65D0" w:rsidRPr="00C410FB" w:rsidRDefault="006F65D0" w:rsidP="006F65D0">
      <w:pPr>
        <w:spacing w:before="100" w:beforeAutospacing="1" w:after="100" w:afterAutospacing="1" w:line="240" w:lineRule="auto"/>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LUIZ INÁCIO LULA DA SILVA</w:t>
      </w:r>
      <w:r w:rsidRPr="00C410FB">
        <w:rPr>
          <w:rFonts w:ascii="Book Antiqua" w:eastAsia="Times New Roman" w:hAnsi="Book Antiqua" w:cs="Times New Roman"/>
          <w:sz w:val="19"/>
          <w:szCs w:val="19"/>
          <w:lang w:eastAsia="pt-BR"/>
        </w:rPr>
        <w:br/>
      </w:r>
      <w:r w:rsidRPr="00C410FB">
        <w:rPr>
          <w:rFonts w:ascii="Book Antiqua" w:eastAsia="Times New Roman" w:hAnsi="Book Antiqua" w:cs="Times New Roman"/>
          <w:i/>
          <w:iCs/>
          <w:sz w:val="19"/>
          <w:szCs w:val="19"/>
          <w:lang w:eastAsia="pt-BR"/>
        </w:rPr>
        <w:t>José Dirceu de Oliveira e Silva</w:t>
      </w:r>
    </w:p>
    <w:p w14:paraId="591EA784" w14:textId="77777777" w:rsidR="006F65D0" w:rsidRPr="00C410FB" w:rsidRDefault="006F65D0" w:rsidP="006F65D0">
      <w:pPr>
        <w:spacing w:before="100" w:beforeAutospacing="1" w:after="100" w:afterAutospacing="1" w:line="240" w:lineRule="auto"/>
        <w:rPr>
          <w:rFonts w:ascii="Book Antiqua" w:eastAsia="Times New Roman" w:hAnsi="Book Antiqua" w:cs="Times New Roman"/>
          <w:sz w:val="19"/>
          <w:szCs w:val="19"/>
          <w:lang w:eastAsia="pt-BR"/>
        </w:rPr>
      </w:pPr>
      <w:r w:rsidRPr="00C410FB">
        <w:rPr>
          <w:rFonts w:ascii="Book Antiqua" w:eastAsia="Times New Roman" w:hAnsi="Book Antiqua" w:cs="Times New Roman"/>
          <w:color w:val="FF0000"/>
          <w:sz w:val="19"/>
          <w:szCs w:val="19"/>
          <w:lang w:eastAsia="pt-BR"/>
        </w:rPr>
        <w:t>Este texto não substitui o publicado no DOU de 3.12.2004.</w:t>
      </w:r>
    </w:p>
    <w:p w14:paraId="080D5E1B" w14:textId="77777777" w:rsidR="006F65D0" w:rsidRPr="00C410FB" w:rsidRDefault="006F65D0" w:rsidP="006F65D0">
      <w:pPr>
        <w:spacing w:before="100" w:beforeAutospacing="1" w:after="100" w:afterAutospacing="1" w:line="240" w:lineRule="auto"/>
        <w:jc w:val="center"/>
        <w:rPr>
          <w:rFonts w:ascii="Book Antiqua" w:eastAsia="Times New Roman" w:hAnsi="Book Antiqua" w:cs="Times New Roman"/>
          <w:sz w:val="19"/>
          <w:szCs w:val="19"/>
          <w:lang w:eastAsia="pt-BR"/>
        </w:rPr>
      </w:pPr>
      <w:r w:rsidRPr="00C410FB">
        <w:rPr>
          <w:rFonts w:ascii="Book Antiqua" w:eastAsia="Times New Roman" w:hAnsi="Book Antiqua" w:cs="Times New Roman"/>
          <w:color w:val="FF0000"/>
          <w:sz w:val="19"/>
          <w:szCs w:val="19"/>
          <w:lang w:eastAsia="pt-BR"/>
        </w:rPr>
        <w:t>*</w:t>
      </w:r>
    </w:p>
    <w:p w14:paraId="03DFDB8C" w14:textId="77777777" w:rsidR="006F65D0" w:rsidRPr="00C410FB" w:rsidRDefault="006F65D0" w:rsidP="006F65D0">
      <w:pPr>
        <w:spacing w:before="100" w:beforeAutospacing="1" w:after="100" w:afterAutospacing="1" w:line="240" w:lineRule="auto"/>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w:t>
      </w:r>
    </w:p>
    <w:p w14:paraId="3DF64401" w14:textId="77777777" w:rsidR="0064475D" w:rsidRPr="00C410FB" w:rsidRDefault="006F65D0" w:rsidP="00C76F43">
      <w:pPr>
        <w:spacing w:before="100" w:beforeAutospacing="1" w:after="100" w:afterAutospacing="1" w:line="240" w:lineRule="auto"/>
        <w:rPr>
          <w:rFonts w:ascii="Book Antiqua" w:eastAsia="Times New Roman" w:hAnsi="Book Antiqua" w:cs="Times New Roman"/>
          <w:sz w:val="19"/>
          <w:szCs w:val="19"/>
          <w:lang w:eastAsia="pt-BR"/>
        </w:rPr>
      </w:pPr>
      <w:r w:rsidRPr="00C410FB">
        <w:rPr>
          <w:rFonts w:ascii="Book Antiqua" w:eastAsia="Times New Roman" w:hAnsi="Book Antiqua" w:cs="Times New Roman"/>
          <w:sz w:val="19"/>
          <w:szCs w:val="19"/>
          <w:lang w:eastAsia="pt-BR"/>
        </w:rPr>
        <w:t> </w:t>
      </w:r>
    </w:p>
    <w:sectPr w:rsidR="0064475D" w:rsidRPr="00C410FB" w:rsidSect="00D15CDE">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BD548" w14:textId="77777777" w:rsidR="00244ED5" w:rsidRDefault="00244ED5" w:rsidP="00537CF7">
      <w:pPr>
        <w:spacing w:after="0" w:line="240" w:lineRule="auto"/>
      </w:pPr>
      <w:r>
        <w:separator/>
      </w:r>
    </w:p>
  </w:endnote>
  <w:endnote w:type="continuationSeparator" w:id="0">
    <w:p w14:paraId="6023ED4E" w14:textId="77777777" w:rsidR="00244ED5" w:rsidRDefault="00244ED5" w:rsidP="0053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D5AC1" w14:textId="77777777" w:rsidR="00244ED5" w:rsidRDefault="00244ED5" w:rsidP="00537CF7">
      <w:pPr>
        <w:spacing w:after="0" w:line="240" w:lineRule="auto"/>
      </w:pPr>
      <w:r>
        <w:separator/>
      </w:r>
    </w:p>
  </w:footnote>
  <w:footnote w:type="continuationSeparator" w:id="0">
    <w:p w14:paraId="3723D952" w14:textId="77777777" w:rsidR="00244ED5" w:rsidRDefault="00244ED5" w:rsidP="00537C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8BB"/>
    <w:rsid w:val="000369B8"/>
    <w:rsid w:val="001361C3"/>
    <w:rsid w:val="0014144A"/>
    <w:rsid w:val="001A47FB"/>
    <w:rsid w:val="0020061E"/>
    <w:rsid w:val="00244ED5"/>
    <w:rsid w:val="00264716"/>
    <w:rsid w:val="002D58BB"/>
    <w:rsid w:val="00346C8A"/>
    <w:rsid w:val="003957B5"/>
    <w:rsid w:val="003D671F"/>
    <w:rsid w:val="003E460B"/>
    <w:rsid w:val="00515230"/>
    <w:rsid w:val="00536F56"/>
    <w:rsid w:val="00537CF7"/>
    <w:rsid w:val="0056504F"/>
    <w:rsid w:val="00623683"/>
    <w:rsid w:val="0064475D"/>
    <w:rsid w:val="0068586D"/>
    <w:rsid w:val="006F65D0"/>
    <w:rsid w:val="0075720F"/>
    <w:rsid w:val="00780736"/>
    <w:rsid w:val="007915E9"/>
    <w:rsid w:val="007F57F9"/>
    <w:rsid w:val="00887030"/>
    <w:rsid w:val="008A594E"/>
    <w:rsid w:val="008C592E"/>
    <w:rsid w:val="00984CA1"/>
    <w:rsid w:val="009C7AAC"/>
    <w:rsid w:val="00AE7824"/>
    <w:rsid w:val="00BB6CB7"/>
    <w:rsid w:val="00C410FB"/>
    <w:rsid w:val="00C76F43"/>
    <w:rsid w:val="00D15CDE"/>
    <w:rsid w:val="00D72FEE"/>
    <w:rsid w:val="00DC13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28538"/>
  <w15:chartTrackingRefBased/>
  <w15:docId w15:val="{E9C31EE9-90AE-4BB0-974C-E05F81FD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9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37CF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7CF7"/>
  </w:style>
  <w:style w:type="paragraph" w:styleId="Rodap">
    <w:name w:val="footer"/>
    <w:basedOn w:val="Normal"/>
    <w:link w:val="RodapChar"/>
    <w:uiPriority w:val="99"/>
    <w:unhideWhenUsed/>
    <w:rsid w:val="00537CF7"/>
    <w:pPr>
      <w:tabs>
        <w:tab w:val="center" w:pos="4252"/>
        <w:tab w:val="right" w:pos="8504"/>
      </w:tabs>
      <w:spacing w:after="0" w:line="240" w:lineRule="auto"/>
    </w:pPr>
  </w:style>
  <w:style w:type="character" w:customStyle="1" w:styleId="RodapChar">
    <w:name w:val="Rodapé Char"/>
    <w:basedOn w:val="Fontepargpadro"/>
    <w:link w:val="Rodap"/>
    <w:uiPriority w:val="99"/>
    <w:rsid w:val="00537CF7"/>
  </w:style>
  <w:style w:type="paragraph" w:styleId="NormalWeb">
    <w:name w:val="Normal (Web)"/>
    <w:basedOn w:val="Normal"/>
    <w:uiPriority w:val="99"/>
    <w:semiHidden/>
    <w:unhideWhenUsed/>
    <w:rsid w:val="00537C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537C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880332">
      <w:bodyDiv w:val="1"/>
      <w:marLeft w:val="0"/>
      <w:marRight w:val="0"/>
      <w:marTop w:val="0"/>
      <w:marBottom w:val="0"/>
      <w:divBdr>
        <w:top w:val="none" w:sz="0" w:space="0" w:color="auto"/>
        <w:left w:val="none" w:sz="0" w:space="0" w:color="auto"/>
        <w:bottom w:val="none" w:sz="0" w:space="0" w:color="auto"/>
        <w:right w:val="none" w:sz="0" w:space="0" w:color="auto"/>
      </w:divBdr>
      <w:divsChild>
        <w:div w:id="1682706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2644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889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1980-1988/L7405.htm" TargetMode="External"/><Relationship Id="rId18" Type="http://schemas.openxmlformats.org/officeDocument/2006/relationships/hyperlink" Target="http://www.planalto.gov.br/ccivil_03/_Ato2015-2018/2018/Decreto/D9404.htm" TargetMode="External"/><Relationship Id="rId26" Type="http://schemas.openxmlformats.org/officeDocument/2006/relationships/hyperlink" Target="http://www.planalto.gov.br/ccivil_03/_Ato2015-2018/2018/Decreto/D9404.htm" TargetMode="External"/><Relationship Id="rId39" Type="http://schemas.openxmlformats.org/officeDocument/2006/relationships/hyperlink" Target="http://www.planalto.gov.br/ccivil_03/_Ato2015-2018/2018/Decreto/D9404.htm" TargetMode="External"/><Relationship Id="rId21" Type="http://schemas.openxmlformats.org/officeDocument/2006/relationships/hyperlink" Target="http://www.planalto.gov.br/ccivil_03/_Ato2015-2018/2018/Decreto/D9404.htm" TargetMode="External"/><Relationship Id="rId34" Type="http://schemas.openxmlformats.org/officeDocument/2006/relationships/hyperlink" Target="http://www.planalto.gov.br/ccivil_03/_Ato2015-2018/2018/Decreto/D9404.htm" TargetMode="External"/><Relationship Id="rId42" Type="http://schemas.openxmlformats.org/officeDocument/2006/relationships/hyperlink" Target="http://www.planalto.gov.br/ccivil_03/_Ato2015-2018/2018/Decreto/D9404.htm" TargetMode="External"/><Relationship Id="rId47" Type="http://schemas.openxmlformats.org/officeDocument/2006/relationships/hyperlink" Target="http://www.planalto.gov.br/ccivil_03/LEIS/LCP/Lcp101.htm" TargetMode="External"/><Relationship Id="rId50" Type="http://schemas.openxmlformats.org/officeDocument/2006/relationships/hyperlink" Target="http://www.planalto.gov.br/ccivil_03/decreto/2003/D4769.htm" TargetMode="External"/><Relationship Id="rId55" Type="http://schemas.openxmlformats.org/officeDocument/2006/relationships/hyperlink" Target="http://www.planalto.gov.br/ccivil_03/_ato2004-2006/2005/Decreto/D5645.htm" TargetMode="External"/><Relationship Id="rId7" Type="http://schemas.openxmlformats.org/officeDocument/2006/relationships/hyperlink" Target="http://www.planalto.gov.br/ccivil_03/LEIS/L10048.htm" TargetMode="External"/><Relationship Id="rId2" Type="http://schemas.openxmlformats.org/officeDocument/2006/relationships/settings" Target="settings.xml"/><Relationship Id="rId16" Type="http://schemas.openxmlformats.org/officeDocument/2006/relationships/hyperlink" Target="http://www.planalto.gov.br/ccivil_03/_Ato2015-2018/2018/Decreto/D9404.htm" TargetMode="External"/><Relationship Id="rId20" Type="http://schemas.openxmlformats.org/officeDocument/2006/relationships/hyperlink" Target="http://www.planalto.gov.br/ccivil_03/_Ato2015-2018/2018/Decreto/D9404.htm" TargetMode="External"/><Relationship Id="rId29" Type="http://schemas.openxmlformats.org/officeDocument/2006/relationships/hyperlink" Target="http://www.planalto.gov.br/ccivil_03/LEIS/L8160.htm" TargetMode="External"/><Relationship Id="rId41" Type="http://schemas.openxmlformats.org/officeDocument/2006/relationships/hyperlink" Target="http://www.planalto.gov.br/ccivil_03/_Ato2015-2018/2018/Decreto/D9404.htm" TargetMode="External"/><Relationship Id="rId54" Type="http://schemas.openxmlformats.org/officeDocument/2006/relationships/hyperlink" Target="http://www.planalto.gov.br/ccivil_03/LEIS/L9784.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DEC%205.296-2004?OpenDocument" TargetMode="External"/><Relationship Id="rId11" Type="http://schemas.openxmlformats.org/officeDocument/2006/relationships/hyperlink" Target="http://www.planalto.gov.br/ccivil_03/LEIS/2003/L10.741.htm" TargetMode="External"/><Relationship Id="rId24" Type="http://schemas.openxmlformats.org/officeDocument/2006/relationships/hyperlink" Target="http://www.planalto.gov.br/ccivil_03/_Ato2015-2018/2018/Decreto/D9404.htm" TargetMode="External"/><Relationship Id="rId32" Type="http://schemas.openxmlformats.org/officeDocument/2006/relationships/hyperlink" Target="http://www.planalto.gov.br/ccivil_03/_Ato2011-2014/2013/Lei/L12933.htm" TargetMode="External"/><Relationship Id="rId37" Type="http://schemas.openxmlformats.org/officeDocument/2006/relationships/hyperlink" Target="http://www.planalto.gov.br/ccivil_03/_Ato2015-2018/2018/Decreto/D9404.htm" TargetMode="External"/><Relationship Id="rId40" Type="http://schemas.openxmlformats.org/officeDocument/2006/relationships/hyperlink" Target="http://www.planalto.gov.br/ccivil_03/_Ato2015-2018/2018/Decreto/D9404.htm" TargetMode="External"/><Relationship Id="rId45" Type="http://schemas.openxmlformats.org/officeDocument/2006/relationships/hyperlink" Target="http://www.planalto.gov.br/ccivil_03/LEIS/L9503.htm" TargetMode="External"/><Relationship Id="rId53" Type="http://schemas.openxmlformats.org/officeDocument/2006/relationships/hyperlink" Target="http://www.planalto.gov.br/ccivil_03/_ato2004-2006/2005/Decreto/D5645.htm" TargetMode="External"/><Relationship Id="rId58" Type="http://schemas.openxmlformats.org/officeDocument/2006/relationships/hyperlink" Target="http://www.planalto.gov.br/ccivil_03/decreto/D3298.htm" TargetMode="External"/><Relationship Id="rId5" Type="http://schemas.openxmlformats.org/officeDocument/2006/relationships/endnotes" Target="endnotes.xml"/><Relationship Id="rId15" Type="http://schemas.openxmlformats.org/officeDocument/2006/relationships/hyperlink" Target="http://www.planalto.gov.br/ccivil_03/_Ato2015-2018/2017/Lei/L13446.htm" TargetMode="External"/><Relationship Id="rId23" Type="http://schemas.openxmlformats.org/officeDocument/2006/relationships/hyperlink" Target="http://www.planalto.gov.br/ccivil_03/_Ato2015-2018/2018/Decreto/D9404.htm" TargetMode="External"/><Relationship Id="rId28" Type="http://schemas.openxmlformats.org/officeDocument/2006/relationships/hyperlink" Target="http://www.planalto.gov.br/ccivil_03/_Ato2015-2018/2018/Decreto/D9404.htm" TargetMode="External"/><Relationship Id="rId36" Type="http://schemas.openxmlformats.org/officeDocument/2006/relationships/hyperlink" Target="http://www.planalto.gov.br/ccivil_03/_Ato2015-2018/2018/Decreto/D9404.htm" TargetMode="External"/><Relationship Id="rId49" Type="http://schemas.openxmlformats.org/officeDocument/2006/relationships/hyperlink" Target="http://www.planalto.gov.br/ccivil_03/decreto/D2592.htm" TargetMode="External"/><Relationship Id="rId57" Type="http://schemas.openxmlformats.org/officeDocument/2006/relationships/hyperlink" Target="http://www.planalto.gov.br/ccivil_03/decreto/D3298.htm" TargetMode="External"/><Relationship Id="rId61" Type="http://schemas.openxmlformats.org/officeDocument/2006/relationships/theme" Target="theme/theme1.xml"/><Relationship Id="rId10" Type="http://schemas.openxmlformats.org/officeDocument/2006/relationships/hyperlink" Target="http://www.planalto.gov.br/ccivil_03/LEIS/L7102.htm" TargetMode="External"/><Relationship Id="rId19" Type="http://schemas.openxmlformats.org/officeDocument/2006/relationships/hyperlink" Target="http://www.planalto.gov.br/ccivil_03/_Ato2015-2018/2018/Decreto/D9404.htm" TargetMode="External"/><Relationship Id="rId31" Type="http://schemas.openxmlformats.org/officeDocument/2006/relationships/hyperlink" Target="http://www.planalto.gov.br/ccivil_03/_Ato2015-2018/2018/Decreto/D9404.htm" TargetMode="External"/><Relationship Id="rId44" Type="http://schemas.openxmlformats.org/officeDocument/2006/relationships/hyperlink" Target="http://www.planalto.gov.br/ccivil_03/LEIS/1980-1988/L7405.htm" TargetMode="External"/><Relationship Id="rId52" Type="http://schemas.openxmlformats.org/officeDocument/2006/relationships/hyperlink" Target="http://www.planalto.gov.br/ccivil_03/LEIS/L10098.htm" TargetMode="External"/><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planalto.gov.br/ccivil_03/LEIS/2003/L10.690.htm" TargetMode="External"/><Relationship Id="rId14" Type="http://schemas.openxmlformats.org/officeDocument/2006/relationships/hyperlink" Target="http://www.planalto.gov.br/ccivil_03/LEIS/LEIS_2001/L10257.htm" TargetMode="External"/><Relationship Id="rId22" Type="http://schemas.openxmlformats.org/officeDocument/2006/relationships/hyperlink" Target="http://www.planalto.gov.br/ccivil_03/_Ato2015-2018/2018/Decreto/D9404.htm" TargetMode="External"/><Relationship Id="rId27" Type="http://schemas.openxmlformats.org/officeDocument/2006/relationships/hyperlink" Target="http://www.planalto.gov.br/ccivil_03/_Ato2015-2018/2018/Decreto/D9404.htm" TargetMode="External"/><Relationship Id="rId30" Type="http://schemas.openxmlformats.org/officeDocument/2006/relationships/hyperlink" Target="http://www.planalto.gov.br/ccivil_03/_Ato2015-2018/2018/Decreto/D9404.htm" TargetMode="External"/><Relationship Id="rId35" Type="http://schemas.openxmlformats.org/officeDocument/2006/relationships/hyperlink" Target="http://www.planalto.gov.br/ccivil_03/_Ato2015-2018/2018/Decreto/D9404.htm" TargetMode="External"/><Relationship Id="rId43" Type="http://schemas.openxmlformats.org/officeDocument/2006/relationships/hyperlink" Target="http://www.planalto.gov.br/ccivil_03/_Ato2015-2018/2018/Decreto/D9404.htm" TargetMode="External"/><Relationship Id="rId48" Type="http://schemas.openxmlformats.org/officeDocument/2006/relationships/hyperlink" Target="http://www.planalto.gov.br/ccivil_03/LEIS/L10048.htm" TargetMode="External"/><Relationship Id="rId56" Type="http://schemas.openxmlformats.org/officeDocument/2006/relationships/hyperlink" Target="http://www.planalto.gov.br/ccivil_03/LEIS/LCP/Lcp101.htm" TargetMode="External"/><Relationship Id="rId8" Type="http://schemas.openxmlformats.org/officeDocument/2006/relationships/hyperlink" Target="http://www.planalto.gov.br/ccivil_03/LEIS/L10098.htm" TargetMode="External"/><Relationship Id="rId51" Type="http://schemas.openxmlformats.org/officeDocument/2006/relationships/hyperlink" Target="http://www.planalto.gov.br/ccivil_03/LEIS/L9472.htm" TargetMode="External"/><Relationship Id="rId3" Type="http://schemas.openxmlformats.org/officeDocument/2006/relationships/webSettings" Target="webSettings.xml"/><Relationship Id="rId12" Type="http://schemas.openxmlformats.org/officeDocument/2006/relationships/hyperlink" Target="http://www.planalto.gov.br/ccivil_03/decreto/D3507.htm" TargetMode="External"/><Relationship Id="rId17" Type="http://schemas.openxmlformats.org/officeDocument/2006/relationships/hyperlink" Target="http://www.planalto.gov.br/ccivil_03/_Ato2015-2018/2018/Decreto/D9404.htm" TargetMode="External"/><Relationship Id="rId25" Type="http://schemas.openxmlformats.org/officeDocument/2006/relationships/hyperlink" Target="http://www.planalto.gov.br/ccivil_03/_Ato2015-2018/2018/Decreto/D9404.htm" TargetMode="External"/><Relationship Id="rId33" Type="http://schemas.openxmlformats.org/officeDocument/2006/relationships/hyperlink" Target="http://www.planalto.gov.br/ccivil_03/_Ato2015-2018/2018/Decreto/D9404.htm" TargetMode="External"/><Relationship Id="rId38" Type="http://schemas.openxmlformats.org/officeDocument/2006/relationships/hyperlink" Target="http://www.planalto.gov.br/ccivil_03/_Ato2015-2018/2018/Decreto/D9404.htm" TargetMode="External"/><Relationship Id="rId46" Type="http://schemas.openxmlformats.org/officeDocument/2006/relationships/hyperlink" Target="http://www.planalto.gov.br/ccivil_03/LEIS/L9503.htm" TargetMode="External"/><Relationship Id="rId59" Type="http://schemas.openxmlformats.org/officeDocument/2006/relationships/hyperlink" Target="http://www.planalto.gov.br/ccivil_03/decreto/D329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11225</Words>
  <Characters>60616</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21</cp:revision>
  <dcterms:created xsi:type="dcterms:W3CDTF">2016-04-18T19:22:00Z</dcterms:created>
  <dcterms:modified xsi:type="dcterms:W3CDTF">2021-08-07T17:24:00Z</dcterms:modified>
</cp:coreProperties>
</file>