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0742E" w14:textId="4CC4FECC" w:rsidR="00727663" w:rsidRPr="00727663" w:rsidRDefault="00727663" w:rsidP="0056618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</w:pPr>
      <w:r w:rsidRPr="00727663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(Atualização em </w:t>
      </w:r>
      <w:r w:rsidR="003D24DF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26/10/2023</w:t>
      </w:r>
      <w:r w:rsidRPr="00727663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: Decreto nº 11.243, de 21.10.2022</w:t>
      </w:r>
      <w:r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 – acompanhar atualização no site do Planalto</w:t>
      </w:r>
      <w:r w:rsidRPr="00727663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)</w:t>
      </w:r>
    </w:p>
    <w:p w14:paraId="134BA956" w14:textId="19C59FCE" w:rsidR="0056618E" w:rsidRPr="0056618E" w:rsidRDefault="00000000" w:rsidP="0056618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="0056618E" w:rsidRPr="0056618E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DECRETO Nº 10.411 DE 30 DE JUNHO DE 2020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56618E" w:rsidRPr="0056618E" w14:paraId="4F739193" w14:textId="77777777" w:rsidTr="0056618E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58AC138B" w14:textId="05EFC5F8" w:rsidR="0056618E" w:rsidRPr="0056618E" w:rsidRDefault="0056618E" w:rsidP="0056618E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667" w:type="pct"/>
            <w:vAlign w:val="center"/>
            <w:hideMark/>
          </w:tcPr>
          <w:p w14:paraId="5C76AA63" w14:textId="77777777" w:rsidR="0056618E" w:rsidRPr="0056618E" w:rsidRDefault="0056618E" w:rsidP="0056618E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6618E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Regulamenta a análise de impacto regulatório, de que tratam o art. 5º da Lei nº 13.874, de 20 de setembro de 2019, e o art. 6º da Lei nº 13.848, de 25 de junho de 2019.</w:t>
            </w:r>
          </w:p>
        </w:tc>
      </w:tr>
    </w:tbl>
    <w:p w14:paraId="1FA486AD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</w:t>
      </w: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no uso da atribuição que lhe confere o art. 84, </w:t>
      </w:r>
      <w:r w:rsidRPr="0056618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inciso IV, da Constituição, e tendo em vista o disposto no art. 5º da Lei nº 13.874, de 20 de setembro de 2019, e no art. 6º da Lei nº 13.848, de 25 de junho de 2019, </w:t>
      </w:r>
    </w:p>
    <w:p w14:paraId="05CF5F43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DECRETA</w:t>
      </w: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  <w:r w:rsidRPr="0056618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</w:t>
      </w:r>
    </w:p>
    <w:p w14:paraId="7F863A98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0" w:name="art1"/>
      <w:bookmarkEnd w:id="0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1º  Este Decreto regulamenta a análise de impacto regulatório, de que tratam o </w:t>
      </w:r>
      <w:hyperlink r:id="rId5" w:anchor="art5" w:history="1">
        <w:r w:rsidRPr="0056618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5º da Lei nº 13.874, de 20 de setembro de 2019</w:t>
        </w:r>
      </w:hyperlink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o </w:t>
      </w:r>
      <w:hyperlink r:id="rId6" w:anchor="art6" w:history="1">
        <w:r w:rsidRPr="0056618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6º da Lei nº 13.848, de 25 de junho de 2019</w:t>
        </w:r>
      </w:hyperlink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dispõe sobre o seu conteúdo, os quesitos mínimos a serem objeto de exame, as hipóteses em que será obrigatória e as hipóteses em que poderá ser dispensada.</w:t>
      </w:r>
    </w:p>
    <w:p w14:paraId="5B82CE55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disposto neste Decreto se aplica aos órgãos e às entidades da administração pública federal direta, autárquica e fundacional, quando da proposição de atos normativos de interesse geral de agentes econômicos ou de usuários dos serviços prestados, no âmbito de suas competências.</w:t>
      </w:r>
    </w:p>
    <w:p w14:paraId="4432691F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disposto neste Decreto aplica-se às propostas de atos normativos formuladas por colegiados por meio do órgão ou da entidade encarregado de lhe prestar apoio administrativo.</w:t>
      </w:r>
    </w:p>
    <w:p w14:paraId="5CF7A6B9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disposto neste Decreto não se aplica às propostas de edição de decreto ou aos atos normativos a serem submetidos ao Congresso Nacional.</w:t>
      </w:r>
    </w:p>
    <w:p w14:paraId="23C3E698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" w:name="art2"/>
      <w:bookmarkEnd w:id="1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Para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fins do disposto neste Decreto, considera-se:</w:t>
      </w:r>
    </w:p>
    <w:p w14:paraId="2D721176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análise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impacto regulatório - AIR - procedimento, a partir da definição de problema regulatório, de avaliação prévia à edição dos atos normativos de que trata este Decreto, que conterá informações e dados sobre os seus prováveis efeitos, para verificar a razoabilidade do impacto e subsidiar a tomada de decisão;</w:t>
      </w:r>
    </w:p>
    <w:p w14:paraId="0C14B735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ato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normativo de baixo impacto - aquele que:</w:t>
      </w:r>
    </w:p>
    <w:p w14:paraId="11C52FD8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não provoque aumento expressivo de custos para os agentes econômicos ou para os usuários dos serviços prestados;</w:t>
      </w:r>
    </w:p>
    <w:p w14:paraId="54C91ECD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não provoque aumento expressivo de despesa orçamentária ou financeira; e</w:t>
      </w:r>
    </w:p>
    <w:p w14:paraId="42AF7431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não repercuta de forma substancial nas políticas públicas de saúde, de segurança, ambientais, econômicas ou sociais;</w:t>
      </w:r>
    </w:p>
    <w:p w14:paraId="60094DD8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avaliação de resultado regulatório - ARR - verificação dos efeitos decorrentes da edição de ato normativo, considerados o alcance dos objetivos originalmente pretendidos e os demais impactos observados sobre o mercado e a sociedade, em decorrência de sua implementação;</w:t>
      </w:r>
    </w:p>
    <w:p w14:paraId="5FFC53B3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custos regulatórios - estimativa dos custos, diretos e indiretos, identificados com o emprego da metodologia específica escolhida para o caso concreto, que possam vir a ser incorridos pelos agentes econômicos, pelos usuários dos serviços prestados e, se for o caso, por outros órgãos ou entidades públicos, para estar em conformidade com as novas exigências e obrigações a serem estabelecidas pelo órgão ou pela entidade competente, além dos custos que devam ser incorridos pelo órgão ou pela entidade competente para monitorar e fiscalizar o cumprimento dessas novas exigências e obrigações por parte dos agentes econômicos e dos usuários dos serviços prestados;</w:t>
      </w:r>
    </w:p>
    <w:p w14:paraId="6E23DA02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V - 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relatório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AIR - ato de encerramento da AIR, que conterá os elementos que subsidiaram a escolha da alternativa mais adequada ao enfrentamento do problema regulatório identificado e, se for o caso, a minuta do ato normativo a ser editado; e</w:t>
      </w:r>
    </w:p>
    <w:p w14:paraId="706F72B7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 - 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atualização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estoque regulatório - exame periódico dos atos normativos de responsabilidade do órgão ou da entidade competente, com vistas a averiguar a pertinência de sua manutenção ou a necessidade de sua alteração ou revogação.</w:t>
      </w:r>
    </w:p>
    <w:p w14:paraId="7E90B736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" w:name="art3"/>
      <w:bookmarkEnd w:id="2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A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edição, a alteração ou a revogação de atos normativos de interesse geral de agentes econômicos ou de usuários dos serviços prestados, por órgãos e entidades da administração pública </w:t>
      </w:r>
      <w:r w:rsidRPr="0056618E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federal direta, autárquica e fundacional será precedida de AIR</w:t>
      </w: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727D7DA4" w14:textId="5372DE0F" w:rsidR="003D24DF" w:rsidRDefault="003D24DF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D24D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No âmbito da administração tributária da União, o disposto neste Decreto aplica-se somente aos atos normativos que instituam ou modifiquem obrigação acessória.   </w:t>
      </w:r>
      <w:hyperlink r:id="rId7" w:anchor="art8" w:history="1">
        <w:r w:rsidRPr="003D24DF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(Redação dada pelo Decreto nº 11.243, de 2022)</w:t>
        </w:r>
      </w:hyperlink>
    </w:p>
    <w:p w14:paraId="501A7525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disposto no </w:t>
      </w:r>
      <w:r w:rsidRPr="0056618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não se aplica aos atos normativos:</w:t>
      </w:r>
    </w:p>
    <w:p w14:paraId="220CD99F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natureza administrativa, cujos efeitos sejam restritos ao âmbito interno do órgão ou da entidade;</w:t>
      </w:r>
    </w:p>
    <w:p w14:paraId="62055FAF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efeitos concretos, destinados a disciplinar situação específica, cujos destinatários sejam individualizados;</w:t>
      </w:r>
    </w:p>
    <w:p w14:paraId="03349BE3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que disponham sobre execução orçamentária e financeira;</w:t>
      </w:r>
    </w:p>
    <w:p w14:paraId="144D08BE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que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disponham estritamente sobre política cambial e monetária;</w:t>
      </w:r>
    </w:p>
    <w:p w14:paraId="6A551A1E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que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disponham sobre segurança nacional; e</w:t>
      </w:r>
    </w:p>
    <w:p w14:paraId="5DD7F179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que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visem a consolidar outras normas sobre matérias específicas, sem alteração de mérito.</w:t>
      </w:r>
    </w:p>
    <w:p w14:paraId="4057A379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" w:name="art4"/>
      <w:bookmarkEnd w:id="3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A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AIR poderá ser dispensada, desde que haja decisão fundamentada do órgão ou da entidade competente, nas hipóteses de:</w:t>
      </w:r>
    </w:p>
    <w:p w14:paraId="7D271DBD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urgência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60ACD21F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ato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normativo destinado a disciplinar direitos ou obrigações definidos em norma hierarquicamente superior que não permita, técnica ou juridicamente, diferentes alternativas regulatórias;</w:t>
      </w:r>
    </w:p>
    <w:p w14:paraId="6105CFD8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ato normativo considerado de baixo impacto;</w:t>
      </w:r>
    </w:p>
    <w:p w14:paraId="3703707B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ato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normativo que vise à atualização ou à revogação de normas consideradas obsoletas, sem alteração de mérito;</w:t>
      </w:r>
    </w:p>
    <w:p w14:paraId="19FEDE73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ato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normativo que vise a preservar liquidez, solvência ou higidez:</w:t>
      </w:r>
    </w:p>
    <w:p w14:paraId="61A8AB5B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dos mercados de seguro, de resseguro, de capitalização e de previdência complementar;</w:t>
      </w:r>
    </w:p>
    <w:p w14:paraId="1EC2AA23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dos mercados financeiros, de capitais e de câmbio; ou</w:t>
      </w:r>
    </w:p>
    <w:p w14:paraId="2D05BFA8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dos sistemas de pagamentos;</w:t>
      </w:r>
    </w:p>
    <w:p w14:paraId="509659AF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ato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normativo que vise a manter a convergência a padrões internacionais;</w:t>
      </w:r>
    </w:p>
    <w:p w14:paraId="32FB7D9E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VII - ato normativo que reduza exigências, obrigações, restrições, requerimentos ou especificações com o objetivo de diminuir os custos regulatórios; e</w:t>
      </w:r>
    </w:p>
    <w:p w14:paraId="750EF794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- ato normativo que revise normas desatualizadas para adequá-las ao desenvolvimento tecnológico consolidado internacionalmente, nos termos do disposto no </w:t>
      </w:r>
      <w:hyperlink r:id="rId8" w:history="1">
        <w:r w:rsidRPr="0056618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 nº 10.229, de 5 de fevereiro de 2020</w:t>
        </w:r>
      </w:hyperlink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5A3CD928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Nas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hipóteses de dispensa de AIR, será elaborada nota técnica ou documento equivalente que fundamente a proposta de edição ou de alteração do ato normativo.</w:t>
      </w:r>
    </w:p>
    <w:p w14:paraId="6B63BF0D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Na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hipótese de dispensa de AIR em razão de urgência, a nota técnica ou o documento equivalente de que trata o § 1º deverá, obrigatoriamente, identificar o problema regulatório que se pretende solucionar e os objetivos que se pretende alcançar, de modo a subsidiar a elaboração da ARR, observado o disposto no art. 12.</w:t>
      </w:r>
    </w:p>
    <w:p w14:paraId="6CA548A9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  Ressalvadas informações com restrição de acesso, nos termos do disposto na </w:t>
      </w:r>
      <w:hyperlink r:id="rId9" w:history="1">
        <w:r w:rsidRPr="0056618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12.527, de 18 de novembro de 2011</w:t>
        </w:r>
      </w:hyperlink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a nota técnica ou o documento equivalente de que tratam o § 1º e o § 2º serão disponibilizados no sítio eletrônico do órgão ou da entidade competente, conforme definido nas normas próprias.</w:t>
      </w:r>
    </w:p>
    <w:p w14:paraId="1BE16DD0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" w:name="art5"/>
      <w:bookmarkEnd w:id="4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A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AIR será iniciada após a avaliação pelo órgão ou pela entidade competente quanto à obrigatoriedade ou à conveniência e à oportunidade para a resolução do problema regulatório identificado.</w:t>
      </w:r>
    </w:p>
    <w:p w14:paraId="323E8620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5" w:name="art6"/>
      <w:bookmarkEnd w:id="5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  A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AIR será concluída por meio de relatório que contenha:</w:t>
      </w:r>
    </w:p>
    <w:p w14:paraId="23AC50FE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sumário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executivo objetivo e conciso, que deverá empregar linguagem simples e acessível ao público em geral;</w:t>
      </w:r>
    </w:p>
    <w:p w14:paraId="24ABF22C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identificação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 problema regulatório que se pretende solucionar, com a apresentação de suas causas e sua extensão;</w:t>
      </w:r>
    </w:p>
    <w:p w14:paraId="737649EA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identificação dos agentes econômicos, dos usuários dos serviços prestados e dos demais afetados pelo problema regulatório identificado;</w:t>
      </w:r>
    </w:p>
    <w:p w14:paraId="1BFE7E3C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identificação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fundamentação legal que ampara a ação do órgão ou da entidade quanto ao problema regulatório identificado;</w:t>
      </w:r>
    </w:p>
    <w:p w14:paraId="0D3D90C0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definição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objetivos a serem alcançados;</w:t>
      </w:r>
    </w:p>
    <w:p w14:paraId="0DE6DE22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descrição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das alternativas possíveis ao enfrentamento do problema regulatório identificado, consideradas as opções de não ação, de soluções normativas e de, sempre que possível, soluções não normativas;</w:t>
      </w:r>
    </w:p>
    <w:p w14:paraId="6CE483A8" w14:textId="77777777" w:rsid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exposição dos possíveis impactos das alternativas identificadas, inclusive quanto aos seus custos regulatórios;</w:t>
      </w:r>
    </w:p>
    <w:p w14:paraId="4C907556" w14:textId="1372E877" w:rsidR="003D24DF" w:rsidRDefault="003D24DF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3D24D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VII-A - os impactos sobre as microempresas e as empresas de pequeno porte;   </w:t>
      </w:r>
      <w:hyperlink r:id="rId10" w:anchor="art8" w:history="1">
        <w:r w:rsidRPr="003D24DF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(Incluído pelo Decreto nº 11.243, de 2022)</w:t>
        </w:r>
      </w:hyperlink>
    </w:p>
    <w:p w14:paraId="159BC4E9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- considerações referentes às informações e às manifestações recebidas para a AIR em eventuais processos de participação social ou de outros processos de recebimento de subsídios de interessados na matéria em análise;</w:t>
      </w:r>
    </w:p>
    <w:p w14:paraId="13DDE24F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IX - 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mapeamento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experiência internacional quanto às medidas adotadas para a resolução do problema regulatório identificado;</w:t>
      </w:r>
    </w:p>
    <w:p w14:paraId="423FA500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X - 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identificação e definição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efeitos e riscos decorrentes da edição, da alteração ou da revogação do ato normativo;</w:t>
      </w:r>
    </w:p>
    <w:p w14:paraId="1EA9C299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 - comparação das alternativas consideradas para a resolução do problema regulatório identificado, acompanhada de análise fundamentada que contenha a metodologia específica escolhida para o caso concreto e a alternativa ou a combinação de alternativas sugerida, considerada mais adequada à resolução do problema regulatório e ao alcance dos objetivos pretendidos; e</w:t>
      </w:r>
    </w:p>
    <w:p w14:paraId="719B3A00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XII - descrição da estratégia para implementação da alternativa sugerida, acompanhada das formas de monitoramento e de avaliação a serem adotadas e, quando couber, avaliação quanto à necessidade de alteração ou de revogação de normas vigentes.</w:t>
      </w:r>
    </w:p>
    <w:p w14:paraId="1B6DDFC5" w14:textId="285BD0A3" w:rsidR="003D24DF" w:rsidRPr="003D24DF" w:rsidRDefault="003D24DF" w:rsidP="003D24D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3D24D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proofErr w:type="gramStart"/>
      <w:r w:rsidRPr="003D24D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  O</w:t>
      </w:r>
      <w:proofErr w:type="gramEnd"/>
      <w:r w:rsidRPr="003D24D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conteúdo do relatório de AIR deverá ser detalhado e complementado com elementos adicionais específicos do caso concreto, de acordo com o seu grau de complexidade, a abrangência e a repercussão da matéria em análise</w:t>
      </w:r>
      <w:r w:rsidRPr="003D24D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    </w:t>
      </w:r>
      <w:hyperlink r:id="rId11" w:anchor="art8" w:history="1">
        <w:r w:rsidRPr="003D24DF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(Incluído pelo Decreto nº 11.243, de 2022) </w:t>
        </w:r>
      </w:hyperlink>
      <w:r w:rsidRPr="003D24DF">
        <w:rPr>
          <w:rFonts w:ascii="Book Antiqua" w:eastAsia="Times New Roman" w:hAnsi="Book Antiqua" w:cs="Arial"/>
          <w:color w:val="3333FF"/>
          <w:sz w:val="16"/>
          <w:szCs w:val="16"/>
          <w:lang w:eastAsia="pt-BR"/>
        </w:rPr>
        <w:t>  </w:t>
      </w:r>
      <w:r w:rsidRPr="003D24D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</w:p>
    <w:p w14:paraId="612E3659" w14:textId="77777777" w:rsidR="003D24DF" w:rsidRPr="003D24DF" w:rsidRDefault="003D24DF" w:rsidP="003D24DF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3D24D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proofErr w:type="gramStart"/>
      <w:r w:rsidRPr="003D24D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  Em</w:t>
      </w:r>
      <w:proofErr w:type="gramEnd"/>
      <w:r w:rsidRPr="003D24D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observância ao disposto no inciso VII-A do </w:t>
      </w:r>
      <w:r w:rsidRPr="003D24D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3D24D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 o relatório de AIR incluirá a análise dos impactos sobre as microempresas e as empresas de pequeno porte e preverá as medidas que poderão ser adotadas para minimizar esses impactos</w:t>
      </w:r>
      <w:r w:rsidRPr="003D24D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    </w:t>
      </w:r>
      <w:r w:rsidRPr="003D24DF">
        <w:rPr>
          <w:rFonts w:ascii="Book Antiqua" w:eastAsia="Times New Roman" w:hAnsi="Book Antiqua" w:cs="Arial"/>
          <w:color w:val="3333FF"/>
          <w:sz w:val="16"/>
          <w:szCs w:val="16"/>
          <w:lang w:eastAsia="pt-BR"/>
        </w:rPr>
        <w:t> </w:t>
      </w:r>
      <w:hyperlink r:id="rId12" w:anchor="art8" w:history="1">
        <w:r w:rsidRPr="003D24DF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(Incluído pelo Decreto nº 11.243, de 2022)</w:t>
        </w:r>
      </w:hyperlink>
    </w:p>
    <w:p w14:paraId="6E60B391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6" w:name="art7"/>
      <w:bookmarkEnd w:id="6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7º  Na elaboração da AIR, será adotada uma das seguintes metodologias específicas para aferição da razoabilidade do impacto econômico, de que trata o </w:t>
      </w:r>
      <w:hyperlink r:id="rId13" w:anchor="art5" w:history="1">
        <w:r w:rsidRPr="0056618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5º da Lei nº 13.874, de 2019</w:t>
        </w:r>
      </w:hyperlink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0ED5BE96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análise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multicritério;</w:t>
      </w:r>
    </w:p>
    <w:p w14:paraId="38FD2C2D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análise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custo-benefício;</w:t>
      </w:r>
    </w:p>
    <w:p w14:paraId="63949037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análise de custo-efetividade;</w:t>
      </w:r>
    </w:p>
    <w:p w14:paraId="556D6DF6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análise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custo;</w:t>
      </w:r>
    </w:p>
    <w:p w14:paraId="62206A5B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análise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risco; ou</w:t>
      </w:r>
    </w:p>
    <w:p w14:paraId="109D05CB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 - 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análise risco-risco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72F40353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A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escolha da metodologia específica de que trata o </w:t>
      </w:r>
      <w:r w:rsidRPr="0056618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 </w:t>
      </w: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deverá ser justificada e apresentar o comparativo entre as alternativas sugeridas. </w:t>
      </w:r>
    </w:p>
    <w:p w14:paraId="16308B67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órgão ou a entidade competente poderá escolher outra metodologia além daquelas mencionadas no </w:t>
      </w:r>
      <w:r w:rsidRPr="0056618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desde que justifique tratar-se da metodologia mais adequada para a resolução do caso concreto.</w:t>
      </w:r>
    </w:p>
    <w:p w14:paraId="5F60B8D2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7" w:name="art8"/>
      <w:bookmarkEnd w:id="7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relatório de AIR poderá ser objeto de participação social específica realizada antes da decisão sobre a melhor alternativa para enfrentar o problema regulatório identificado e antes da elaboração de eventual minuta de ato normativo a ser editado.</w:t>
      </w:r>
    </w:p>
    <w:p w14:paraId="1C9F384B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8" w:name="art9"/>
      <w:bookmarkEnd w:id="8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9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Na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hipótese de o órgão ou a entidade competente optar, após a conclusão da AIR, pela edição, alteração ou revogação de ato normativo para enfrentamento do problema regulatório identificado, o texto preliminar da proposta de ato normativo poderá ser objeto de consulta pública ou de consulta aos segmentos sociais diretamente afetados pela norma.</w:t>
      </w:r>
    </w:p>
    <w:p w14:paraId="233F4D38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 A realização de consulta pública será obrigatória na hipótese do </w:t>
      </w:r>
      <w:hyperlink r:id="rId14" w:anchor="art9" w:history="1">
        <w:r w:rsidRPr="0056618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9º da Lei nº 13.848, de 2019</w:t>
        </w:r>
      </w:hyperlink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4E822B1E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9" w:name="art10"/>
      <w:bookmarkEnd w:id="9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10.  O órgão ou a entidade competente poderá utilizar os meios e os canais que considerar adequados para realizar os procedimentos de participação social e de consulta pública de que tratam os art. 8º e 9º.</w:t>
      </w:r>
    </w:p>
    <w:p w14:paraId="72BD0C91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Parágrafo único.  Os procedimentos de que trata o </w:t>
      </w:r>
      <w:r w:rsidRPr="0056618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garantirão prazo para manifestação pública proporcional à complexidade do tema.</w:t>
      </w:r>
    </w:p>
    <w:p w14:paraId="5997FB61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0" w:name="art11"/>
      <w:bookmarkEnd w:id="10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11.  A disponibilização do texto preliminar da proposta de ato normativo objeto de consulta pública ou de consulta aos segmentos sociais diretamente afetados não obriga a sua publicação ou condiciona o órgão ou a entidade a adotar os posicionamentos predominantes.</w:t>
      </w:r>
    </w:p>
    <w:p w14:paraId="369396E0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1" w:name="art12"/>
      <w:bookmarkEnd w:id="11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12.  Os atos normativos cuja AIR tenha sido dispensada em razão de urgência serão objeto de ARR no prazo de três anos, contado da data de sua entrada em vigor.</w:t>
      </w:r>
    </w:p>
    <w:p w14:paraId="570FD2A9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2" w:name="art13"/>
      <w:bookmarkEnd w:id="12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13.  Os órgãos e as entidades implementarão estratégias para integrar a ARR à atividade de elaboração normativa com vistas a, de forma isolada ou em conjunto, proceder à verificação dos efeitos obtidos pelos atos normativos de interesse geral de agentes econômicos ou de usuários dos serviços prestados.</w:t>
      </w:r>
    </w:p>
    <w:p w14:paraId="15117B95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§ 1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º  </w:t>
      </w: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ARR poderá ter caráter temático e ser realizada apenas quanto a partes específicas de um ou mais atos normativos.</w:t>
      </w:r>
    </w:p>
    <w:p w14:paraId="5ABEC2F7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§ 2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º  </w:t>
      </w: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órgãos e as entidades da administração pública federal direta, autárquica e fundacional, com competência para edição de atos normativos sujeitos à elaboração de AIR nos termos de que trata este Decreto,</w:t>
      </w:r>
      <w:r w:rsidRPr="0056618E">
        <w:rPr>
          <w:rFonts w:ascii="Book Antiqua" w:eastAsia="Times New Roman" w:hAnsi="Book Antiqua" w:cs="Arial"/>
          <w:color w:val="000000"/>
          <w:sz w:val="19"/>
          <w:szCs w:val="19"/>
          <w:shd w:val="clear" w:color="auto" w:fill="FFFFFF"/>
          <w:lang w:eastAsia="pt-BR"/>
        </w:rPr>
        <w:t> instituirão </w:t>
      </w: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agenda de ARR e nela incluirão, no mínimo, um ato normativo de interesse geral de agentes econômicos ou de usuários dos serviços prestados de seu estoque regulatório.</w:t>
      </w:r>
    </w:p>
    <w:p w14:paraId="634A74A4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A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escolha dos atos normativos que integrarão a agenda de ARR a que se refere o § 2º observará, preferencialmente, um ou mais dos seguintes critérios:</w:t>
      </w:r>
    </w:p>
    <w:p w14:paraId="3A699B88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ampla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repercussão na economia ou no País;</w:t>
      </w:r>
    </w:p>
    <w:p w14:paraId="00809617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existência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problemas decorrentes da aplicação do referido ato normativo;</w:t>
      </w:r>
    </w:p>
    <w:p w14:paraId="600A9020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impacto significativo em organizações ou grupos específicos;</w:t>
      </w:r>
    </w:p>
    <w:p w14:paraId="1047F611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IV - 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tratamento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matéria relevante para a agenda estratégica do órgão; ou</w:t>
      </w:r>
    </w:p>
    <w:p w14:paraId="33B7B255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vigência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há, no mínimo, cinco anos.</w:t>
      </w:r>
    </w:p>
    <w:p w14:paraId="29413DA6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Os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órgãos e as entidades divulgarão, no primeiro ano de cada mandato presidencial, em seu sítio eletrônico, a agenda de ARR, que deverá ser concluída até o último ano daquele mandato e conter a relação de atos normativos submetidos à ARR, a justificativa para sua escolha e o seu cronograma para elaboração da ARR.</w:t>
      </w:r>
    </w:p>
    <w:p w14:paraId="46E6C9D1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Concluído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procedimento de que trata este artigo, as </w:t>
      </w:r>
      <w:proofErr w:type="spell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ARRs</w:t>
      </w:r>
      <w:proofErr w:type="spell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elaboradas serão divulgadas no sítio eletrônico do órgão ou da entidade, ressalvadas as informações com restrição de acesso nos termos do disposto na Lei nº 12.527, de 2011.</w:t>
      </w:r>
    </w:p>
    <w:p w14:paraId="1ED93FD4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3" w:name="art14"/>
      <w:bookmarkEnd w:id="13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14.  Na hipótese de o órgão ou a entidade competente optar pela edição ou pela alteração de ato normativo como a alternativa mais adequada disponível ao enfrentamento do problema regulatório identificado, será registrado no relatório de AIR ou, na hipótese de que trata o § 1º do art. 4º, na nota técnica ou no documento equivalente, o prazo máximo para a sua verificação quanto à necessidade de atualização do estoque regulatório.</w:t>
      </w:r>
    </w:p>
    <w:p w14:paraId="0F7266E2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4" w:name="art15"/>
      <w:bookmarkEnd w:id="14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15.  A autoridade competente do órgão ou da entidade responsável pela elaboração do relatório de AIR deverá se manifestar quanto à sua adequação formal e aos objetivos pretendidos, de modo a demonstrar se a adoção das alternativas sugeridas, considerados os seus impactos estimados, é a mais adequada ao enfrentamento do problema regulatório identificado.</w:t>
      </w:r>
    </w:p>
    <w:p w14:paraId="32E1AECA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relatório de AIR tem o objetivo de subsidiar a tomada de decisão pela autoridade competente do órgão ou da entidade que o elabore.</w:t>
      </w:r>
    </w:p>
    <w:p w14:paraId="16FB4830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2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O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relatório de AIR não vincula a tomada de decisão de que trata o § 1º e é facultado à autoridade competente do órgão ou da entidade decidir:</w:t>
      </w:r>
    </w:p>
    <w:p w14:paraId="410D13E2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pela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adoção da alternativa ou da combinação de alternativas sugerida no relatório da AIR;</w:t>
      </w:r>
    </w:p>
    <w:p w14:paraId="2DC092A7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pela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necessidade de complementação da AIR; ou</w:t>
      </w:r>
    </w:p>
    <w:p w14:paraId="4FC6EA6E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pela adoção de alternativa contrária àquela sugerida no relatório, inclusive quanto às opções de não ação ou de soluções não normativas.</w:t>
      </w:r>
    </w:p>
    <w:p w14:paraId="1D1C6F08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proofErr w:type="gramStart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As</w:t>
      </w:r>
      <w:proofErr w:type="gramEnd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decisões contrárias às alternativas sugeridas no relatório de AIR deverão ser fundamentadas pela autoridade competente do órgão ou da entidade.</w:t>
      </w:r>
    </w:p>
    <w:p w14:paraId="66DC3D0D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4º  Concluído o procedimento de que trata este artigo ou, se for o caso, publicado o ato normativo de caráter geral, o relatório de AIR será publicado no sítio eletrônico do órgão ou da entidade competente, ressalvadas as informações com restrição de acesso nos termos da </w:t>
      </w:r>
      <w:hyperlink r:id="rId15" w:history="1">
        <w:r w:rsidRPr="0056618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12.527, de 2011</w:t>
        </w:r>
      </w:hyperlink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2A1F0FF0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5" w:name="art16"/>
      <w:bookmarkEnd w:id="15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16.  Para fins do disposto no </w:t>
      </w:r>
      <w:hyperlink r:id="rId16" w:anchor="art6%C2%A72" w:history="1">
        <w:r w:rsidRPr="0056618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2º do art. 6º da Lei nº 13.848, de 2019</w:t>
        </w:r>
      </w:hyperlink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entende-se como operacionalização de AIR a definição das unidades organizacionais envolvidas em sua elaboração e do âmbito de suas competências.</w:t>
      </w:r>
    </w:p>
    <w:p w14:paraId="04B33977" w14:textId="77777777" w:rsid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6" w:name="art17"/>
      <w:bookmarkEnd w:id="16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17.  Os órgãos e entidades implementarão estratégias específicas de coleta e de tratamento de dados, de forma a possibilitar a elaboração de análise quantitativa e, quando for o caso, de análise de custo-benefício.</w:t>
      </w:r>
    </w:p>
    <w:p w14:paraId="080696B6" w14:textId="293529B6" w:rsidR="003D24DF" w:rsidRPr="003D24DF" w:rsidRDefault="003D24DF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3D24D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17.  Os órgãos e as entidades implementarão estratégias específicas e eficientes de coleta e de tratamento de dados, de forma a possibilitar a elaboração de análise quantitativa e, quando for o caso, de análise de custo-benefício.     </w:t>
      </w:r>
      <w:hyperlink r:id="rId17" w:anchor="art8" w:history="1">
        <w:r w:rsidRPr="003D24DF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(Redação dada pelo Decreto nº 11.243, de 2022)</w:t>
        </w:r>
      </w:hyperlink>
    </w:p>
    <w:p w14:paraId="6AB04473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7" w:name="art18"/>
      <w:bookmarkEnd w:id="17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18. Os órgãos e as entidades manterão os seus relatórios de AIR disponíveis para consulta em seu sítio eletrônico e garantirão acesso fácil a sua localização e identificação de seu conteúdo ao público em geral, ressalvados aqueles com restrição de acesso nos termos do disposto na </w:t>
      </w:r>
      <w:hyperlink r:id="rId18" w:history="1">
        <w:r w:rsidRPr="0056618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12.527, de 2011</w:t>
        </w:r>
      </w:hyperlink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073ECECA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8" w:name="art19"/>
      <w:bookmarkEnd w:id="18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19.  O órgão ou a entidade disponibilizará em sítio eletrônico a análise das informações e as manifestações recebidas no processo de consulta pública após a decisão final sobre a matéria.</w:t>
      </w:r>
    </w:p>
    <w:p w14:paraId="0F8FDB26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O órgão ou entidade não está obrigado a comentar ou considerar individualmente as informações e manifestações recebidas e poderá agrupá-las por conexão ou eliminar as repetitivas e as de conteúdo não conexo ou irrelevante para a matéria em análise.</w:t>
      </w:r>
    </w:p>
    <w:p w14:paraId="1CD70A63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9" w:name="art20"/>
      <w:bookmarkEnd w:id="19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20.  A competência de que trata o </w:t>
      </w:r>
      <w:hyperlink r:id="rId19" w:anchor="art9%C2%A77" w:history="1">
        <w:r w:rsidRPr="0056618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7º do art. 9º da Lei nº 13.848, de 2019</w:t>
        </w:r>
      </w:hyperlink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será exercida pela Secretaria de Advocacia da Concorrência e Competitividade da Secretaria Especial de Produtividade, Emprego e Competitividade do Ministério da Economia.</w:t>
      </w:r>
    </w:p>
    <w:p w14:paraId="00B639AE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O disposto no </w:t>
      </w:r>
      <w:r w:rsidRPr="0056618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 </w:t>
      </w: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não se aplica à competência da Secretaria de Avaliação, Planejamento, Energia e Loteria da Secretaria Especial de Fazenda do Ministério da Economia quando se tratar do setor de energia.</w:t>
      </w:r>
    </w:p>
    <w:p w14:paraId="69CF8726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0" w:name="art21"/>
      <w:bookmarkEnd w:id="20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21.  A inobservância ao disposto neste Decreto não constitui escusa válida para o descumprimento da norma editada e nem acarreta a invalidade da norma editada.</w:t>
      </w:r>
    </w:p>
    <w:p w14:paraId="5980ACD3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1" w:name="art22"/>
      <w:bookmarkEnd w:id="21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22.  A obrigatoriedade de elaboração de AIR não se aplica às propostas de ato normativo que, na data de produção de efeitos deste Decreto, já tenham sido submetidas à consulta pública ou a outro mecanismo de participação social.</w:t>
      </w:r>
    </w:p>
    <w:p w14:paraId="3872EECC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2" w:name="art23"/>
      <w:bookmarkEnd w:id="22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23.  Os órgãos e as entidades divulgarão em seu sítio eletrônico, até 14 de outubro de 2022, agenda de ARR a ser concluída até 31 de dezembro de 2022, acompanhada da relação de atos normativos a serem submetidos à ARR, da justificativa para a sua escolha e do cronograma para a elaboração das avaliações.</w:t>
      </w:r>
    </w:p>
    <w:p w14:paraId="2C3FE147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3" w:name="art24"/>
      <w:bookmarkEnd w:id="23"/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24.  Este Decreto entra em vigor na data de sua publicação e produz efeitos em:</w:t>
      </w:r>
    </w:p>
    <w:p w14:paraId="29B21A1D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- 15 de abril de 2021, para:</w:t>
      </w:r>
    </w:p>
    <w:p w14:paraId="30A0A2A7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o Ministério da Economia;</w:t>
      </w:r>
    </w:p>
    <w:p w14:paraId="1D8CAB86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as agências reguladoras de que trata a </w:t>
      </w:r>
      <w:hyperlink r:id="rId20" w:history="1">
        <w:r w:rsidRPr="0056618E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13.848, de 2019</w:t>
        </w:r>
      </w:hyperlink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 e</w:t>
      </w:r>
    </w:p>
    <w:p w14:paraId="389CF8C4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o Instituto Nacional de Metrologia, Qualidade e Tecnologia - Inmetro; e</w:t>
      </w:r>
    </w:p>
    <w:p w14:paraId="79003CCF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- 14 de outubro de 2021, para os demais órgãos e entidades da administração pública federal direta, autárquica e fundacional.</w:t>
      </w:r>
    </w:p>
    <w:p w14:paraId="1929C797" w14:textId="77777777" w:rsidR="0056618E" w:rsidRPr="0056618E" w:rsidRDefault="0056618E" w:rsidP="0056618E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30 de junho de 2020; 199º da Independência e 132º da República. </w:t>
      </w:r>
    </w:p>
    <w:p w14:paraId="72DA9F07" w14:textId="77777777" w:rsidR="0056618E" w:rsidRPr="0056618E" w:rsidRDefault="0056618E" w:rsidP="0056618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JAIR MESSIAS BOLSONARO</w:t>
      </w:r>
      <w:r w:rsidRPr="0056618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56618E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Paulo Guedes</w:t>
      </w:r>
    </w:p>
    <w:p w14:paraId="4813D211" w14:textId="77777777" w:rsidR="0056618E" w:rsidRPr="0056618E" w:rsidRDefault="0056618E" w:rsidP="0056618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1º.7.2020.</w:t>
      </w:r>
    </w:p>
    <w:p w14:paraId="3B6EC033" w14:textId="77777777" w:rsidR="0056618E" w:rsidRPr="0056618E" w:rsidRDefault="0056618E" w:rsidP="0056618E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6618E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*</w:t>
      </w:r>
    </w:p>
    <w:p w14:paraId="4287059C" w14:textId="77777777" w:rsidR="00EE7D7E" w:rsidRPr="0056618E" w:rsidRDefault="00EE7D7E" w:rsidP="0056618E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EE7D7E" w:rsidRPr="0056618E" w:rsidSect="0056618E">
      <w:pgSz w:w="11906" w:h="16838"/>
      <w:pgMar w:top="1135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D7E"/>
    <w:rsid w:val="003D24DF"/>
    <w:rsid w:val="0056618E"/>
    <w:rsid w:val="00727663"/>
    <w:rsid w:val="00EE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3D7EF"/>
  <w15:chartTrackingRefBased/>
  <w15:docId w15:val="{BFC21FBB-4056-49DB-83BE-489935F1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3D24D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D24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6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32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6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_ato2019-2022/2020/decreto/D10229.htm" TargetMode="External"/><Relationship Id="rId13" Type="http://schemas.openxmlformats.org/officeDocument/2006/relationships/hyperlink" Target="http://www.planalto.gov.br/ccivil_03/_ato2019-2022/2019/Lei/L13874.htm" TargetMode="External"/><Relationship Id="rId18" Type="http://schemas.openxmlformats.org/officeDocument/2006/relationships/hyperlink" Target="http://www.planalto.gov.br/ccivil_03/_Ato2011-2014/2011/Lei/L12527.htm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://www.planalto.gov.br/ccivil_03/_ato2019-2022/2022/Decreto/D11243.htm" TargetMode="External"/><Relationship Id="rId12" Type="http://schemas.openxmlformats.org/officeDocument/2006/relationships/hyperlink" Target="http://www.planalto.gov.br/ccivil_03/_ato2019-2022/2022/Decreto/D11243.htm" TargetMode="External"/><Relationship Id="rId17" Type="http://schemas.openxmlformats.org/officeDocument/2006/relationships/hyperlink" Target="http://www.planalto.gov.br/ccivil_03/_ato2019-2022/2022/Decreto/D11243.htm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planalto.gov.br/ccivil_03/_ato2019-2022/2019/Lei/L13848.htm" TargetMode="External"/><Relationship Id="rId20" Type="http://schemas.openxmlformats.org/officeDocument/2006/relationships/hyperlink" Target="http://www.planalto.gov.br/ccivil_03/_ato2019-2022/2019/Lei/L13848.htm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_ato2019-2022/2019/Lei/L13848.htm" TargetMode="External"/><Relationship Id="rId11" Type="http://schemas.openxmlformats.org/officeDocument/2006/relationships/hyperlink" Target="http://www.planalto.gov.br/ccivil_03/_ato2019-2022/2022/Decreto/D11243.htm" TargetMode="External"/><Relationship Id="rId5" Type="http://schemas.openxmlformats.org/officeDocument/2006/relationships/hyperlink" Target="http://www.planalto.gov.br/ccivil_03/_ato2019-2022/2019/Lei/L13874.htm" TargetMode="External"/><Relationship Id="rId15" Type="http://schemas.openxmlformats.org/officeDocument/2006/relationships/hyperlink" Target="http://www.planalto.gov.br/ccivil_03/_Ato2011-2014/2011/Lei/L12527.htm" TargetMode="External"/><Relationship Id="rId10" Type="http://schemas.openxmlformats.org/officeDocument/2006/relationships/hyperlink" Target="http://www.planalto.gov.br/ccivil_03/_ato2019-2022/2022/Decreto/D11243.htm" TargetMode="External"/><Relationship Id="rId19" Type="http://schemas.openxmlformats.org/officeDocument/2006/relationships/hyperlink" Target="http://www.planalto.gov.br/ccivil_03/_ato2019-2022/2019/Lei/L13848.htm" TargetMode="External"/><Relationship Id="rId4" Type="http://schemas.openxmlformats.org/officeDocument/2006/relationships/hyperlink" Target="http://legislacao.planalto.gov.br/legisla/legislacao.nsf/Viw_Identificacao/DEC%2010.411-2020?OpenDocument" TargetMode="External"/><Relationship Id="rId9" Type="http://schemas.openxmlformats.org/officeDocument/2006/relationships/hyperlink" Target="http://www.planalto.gov.br/ccivil_03/_Ato2011-2014/2011/Lei/L12527.htm" TargetMode="External"/><Relationship Id="rId14" Type="http://schemas.openxmlformats.org/officeDocument/2006/relationships/hyperlink" Target="http://www.planalto.gov.br/ccivil_03/_ato2019-2022/2019/Lei/L13848.ht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3194</Words>
  <Characters>17252</Characters>
  <Application>Microsoft Office Word</Application>
  <DocSecurity>0</DocSecurity>
  <Lines>143</Lines>
  <Paragraphs>40</Paragraphs>
  <ScaleCrop>false</ScaleCrop>
  <Company/>
  <LinksUpToDate>false</LinksUpToDate>
  <CharactersWithSpaces>20406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4</cp:revision>
  <dcterms:created xsi:type="dcterms:W3CDTF">2021-09-13T17:56:00Z</dcterms:created>
  <dcterms:modified xsi:type="dcterms:W3CDTF">2023-10-27T16:14:00Z</dcterms:modified>
</cp:coreProperties>
</file>