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74B40" w14:textId="77777777" w:rsidR="009251DE" w:rsidRPr="00E85BC9" w:rsidRDefault="009251DE" w:rsidP="009251DE">
      <w:pPr>
        <w:jc w:val="center"/>
        <w:rPr>
          <w:rFonts w:ascii="Book Antiqua" w:hAnsi="Book Antiqua" w:cs="Times New Roman"/>
          <w:b/>
          <w:sz w:val="19"/>
          <w:szCs w:val="19"/>
        </w:rPr>
      </w:pPr>
      <w:r w:rsidRPr="00E85BC9">
        <w:rPr>
          <w:rFonts w:ascii="Book Antiqua" w:hAnsi="Book Antiqua" w:cs="Times New Roman"/>
          <w:b/>
          <w:sz w:val="19"/>
          <w:szCs w:val="19"/>
        </w:rPr>
        <w:t>USUCAPIÃO ESPECIAL DE IMÓVEIS RURAIS – Lei 6.969/81.</w:t>
      </w:r>
    </w:p>
    <w:p w14:paraId="605E8C6C" w14:textId="77777777" w:rsidR="009251DE" w:rsidRPr="00E85BC9" w:rsidRDefault="009251DE" w:rsidP="009251DE">
      <w:pPr>
        <w:jc w:val="center"/>
        <w:rPr>
          <w:rFonts w:ascii="Book Antiqua" w:hAnsi="Book Antiqua" w:cs="Times New Roman"/>
          <w:b/>
          <w:sz w:val="19"/>
          <w:szCs w:val="19"/>
        </w:rPr>
      </w:pPr>
      <w:r w:rsidRPr="00E85BC9">
        <w:rPr>
          <w:rFonts w:ascii="Book Antiqua" w:hAnsi="Book Antiqua" w:cs="Times New Roman"/>
          <w:b/>
          <w:sz w:val="19"/>
          <w:szCs w:val="19"/>
        </w:rPr>
        <w:t>MATERIAL COM QUESTÕES DE CONCURSO e ALGUMAS REFERÊNCIAS À SÚMULAS E JULGADOS DOS TRIBUNAIS SUPERIORES</w:t>
      </w:r>
    </w:p>
    <w:p w14:paraId="263DF197" w14:textId="77777777" w:rsidR="009251DE" w:rsidRPr="00E85BC9" w:rsidRDefault="009251DE" w:rsidP="009251DE">
      <w:pPr>
        <w:jc w:val="center"/>
        <w:rPr>
          <w:rFonts w:ascii="Book Antiqua" w:hAnsi="Book Antiqua" w:cs="Times New Roman"/>
          <w:b/>
          <w:color w:val="FF0000"/>
          <w:sz w:val="19"/>
          <w:szCs w:val="19"/>
        </w:rPr>
      </w:pPr>
      <w:r w:rsidRPr="00E85BC9">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9251DE" w:rsidRPr="006130F5" w14:paraId="08DFE24D" w14:textId="77777777" w:rsidTr="00D923AE">
        <w:trPr>
          <w:trHeight w:val="4008"/>
        </w:trPr>
        <w:tc>
          <w:tcPr>
            <w:tcW w:w="8568" w:type="dxa"/>
            <w:shd w:val="clear" w:color="auto" w:fill="E7E6E6" w:themeFill="background2"/>
          </w:tcPr>
          <w:p w14:paraId="3169E5FA" w14:textId="77777777" w:rsidR="009251DE" w:rsidRPr="00385293" w:rsidRDefault="009251DE" w:rsidP="00D923A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9251DE">
              <w:rPr>
                <w:rFonts w:ascii="Book Antiqua" w:eastAsia="Times New Roman" w:hAnsi="Book Antiqua" w:cs="Times New Roman"/>
                <w:b/>
                <w:color w:val="FF0000"/>
                <w:sz w:val="18"/>
                <w:szCs w:val="18"/>
                <w:lang w:eastAsia="pt-BR"/>
              </w:rPr>
              <w:t>: nenhuma.</w:t>
            </w:r>
          </w:p>
          <w:p w14:paraId="46A88388" w14:textId="77777777" w:rsidR="009251DE" w:rsidRPr="00385293" w:rsidRDefault="009251DE" w:rsidP="00D923AE">
            <w:pPr>
              <w:jc w:val="both"/>
              <w:rPr>
                <w:rFonts w:ascii="Book Antiqua" w:eastAsia="Times New Roman" w:hAnsi="Book Antiqua" w:cs="Times New Roman"/>
                <w:b/>
                <w:sz w:val="18"/>
                <w:szCs w:val="18"/>
                <w:lang w:eastAsia="pt-BR"/>
              </w:rPr>
            </w:pPr>
          </w:p>
          <w:p w14:paraId="49CADED5" w14:textId="77777777" w:rsidR="009251DE" w:rsidRPr="009251DE" w:rsidRDefault="009251DE" w:rsidP="00D923AE">
            <w:pPr>
              <w:jc w:val="both"/>
              <w:rPr>
                <w:rFonts w:ascii="Book Antiqua" w:eastAsia="Times New Roman" w:hAnsi="Book Antiqua" w:cs="Times New Roman"/>
                <w:b/>
                <w:color w:val="FF0000"/>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9251DE">
              <w:rPr>
                <w:rFonts w:ascii="Book Antiqua" w:eastAsia="Times New Roman" w:hAnsi="Book Antiqua" w:cs="Times New Roman"/>
                <w:b/>
                <w:color w:val="FF0000"/>
                <w:sz w:val="18"/>
                <w:szCs w:val="18"/>
                <w:lang w:eastAsia="pt-BR"/>
              </w:rPr>
              <w:t>: nenhuma.</w:t>
            </w:r>
          </w:p>
          <w:p w14:paraId="06D376D6" w14:textId="77777777" w:rsidR="009251DE" w:rsidRPr="00385293" w:rsidRDefault="009251DE" w:rsidP="00D923AE">
            <w:pPr>
              <w:jc w:val="both"/>
              <w:rPr>
                <w:rFonts w:ascii="Book Antiqua" w:eastAsia="Times New Roman" w:hAnsi="Book Antiqua" w:cs="Times New Roman"/>
                <w:b/>
                <w:sz w:val="18"/>
                <w:szCs w:val="18"/>
                <w:lang w:eastAsia="pt-BR"/>
              </w:rPr>
            </w:pPr>
          </w:p>
          <w:p w14:paraId="7982A0F8" w14:textId="39076500" w:rsidR="009251DE" w:rsidRPr="00385293" w:rsidRDefault="009251DE" w:rsidP="00D923A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9251DE">
              <w:rPr>
                <w:rFonts w:ascii="Book Antiqua" w:eastAsia="Times New Roman" w:hAnsi="Book Antiqua" w:cs="Times New Roman"/>
                <w:b/>
                <w:color w:val="FF0000"/>
                <w:sz w:val="18"/>
                <w:szCs w:val="18"/>
                <w:lang w:eastAsia="pt-BR"/>
              </w:rPr>
              <w:t xml:space="preserve">: </w:t>
            </w:r>
            <w:r w:rsidR="006B0E28">
              <w:rPr>
                <w:rFonts w:ascii="Book Antiqua" w:eastAsia="Times New Roman" w:hAnsi="Book Antiqua" w:cs="Times New Roman"/>
                <w:b/>
                <w:color w:val="FF0000"/>
                <w:sz w:val="18"/>
                <w:szCs w:val="18"/>
                <w:lang w:eastAsia="pt-BR"/>
              </w:rPr>
              <w:t>01/11</w:t>
            </w:r>
            <w:r w:rsidR="00613EB9">
              <w:rPr>
                <w:rFonts w:ascii="Book Antiqua" w:eastAsia="Times New Roman" w:hAnsi="Book Antiqua" w:cs="Times New Roman"/>
                <w:b/>
                <w:color w:val="FF0000"/>
                <w:sz w:val="18"/>
                <w:szCs w:val="18"/>
                <w:lang w:eastAsia="pt-BR"/>
              </w:rPr>
              <w:t>/2023</w:t>
            </w:r>
            <w:r w:rsidRPr="009251DE">
              <w:rPr>
                <w:rFonts w:ascii="Book Antiqua" w:eastAsia="Times New Roman" w:hAnsi="Book Antiqua" w:cs="Times New Roman"/>
                <w:b/>
                <w:color w:val="FF0000"/>
                <w:sz w:val="18"/>
                <w:szCs w:val="18"/>
                <w:lang w:eastAsia="pt-BR"/>
              </w:rPr>
              <w:t>.</w:t>
            </w:r>
          </w:p>
          <w:p w14:paraId="236630E6" w14:textId="77777777" w:rsidR="009251DE" w:rsidRPr="00385293" w:rsidRDefault="009251DE" w:rsidP="00D923AE">
            <w:pPr>
              <w:jc w:val="both"/>
              <w:rPr>
                <w:rFonts w:ascii="Book Antiqua" w:eastAsia="Times New Roman" w:hAnsi="Book Antiqua" w:cs="Times New Roman"/>
                <w:b/>
                <w:sz w:val="18"/>
                <w:szCs w:val="18"/>
                <w:lang w:eastAsia="pt-BR"/>
              </w:rPr>
            </w:pPr>
          </w:p>
          <w:p w14:paraId="226EA320" w14:textId="77777777" w:rsidR="009251DE" w:rsidRPr="00385293" w:rsidRDefault="009251DE" w:rsidP="00D923A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0974C59D" w14:textId="77777777" w:rsidR="009251DE" w:rsidRPr="00385293" w:rsidRDefault="009251DE" w:rsidP="00D923AE">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5FCDDA58" w14:textId="77777777" w:rsidR="009251DE" w:rsidRPr="00385293" w:rsidRDefault="009251DE" w:rsidP="00D923A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773E58A7" w14:textId="77777777" w:rsidR="009251DE" w:rsidRPr="00385293" w:rsidRDefault="009251DE" w:rsidP="00D923A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2DDBF415" w14:textId="77777777" w:rsidR="009251DE" w:rsidRPr="00385293" w:rsidRDefault="009251DE" w:rsidP="00D923A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6969/1981</w:t>
            </w:r>
            <w:r w:rsidRPr="00385293">
              <w:rPr>
                <w:rFonts w:ascii="Book Antiqua" w:eastAsia="Times New Roman" w:hAnsi="Book Antiqua" w:cs="Times New Roman"/>
                <w:sz w:val="18"/>
                <w:szCs w:val="18"/>
                <w:lang w:eastAsia="pt-BR"/>
              </w:rPr>
              <w:t>).</w:t>
            </w:r>
          </w:p>
          <w:p w14:paraId="6A2F9561" w14:textId="77777777" w:rsidR="009251DE" w:rsidRPr="00385293" w:rsidRDefault="009251DE" w:rsidP="00D923A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E829C94" w14:textId="77777777" w:rsidR="009251DE" w:rsidRPr="00385293" w:rsidRDefault="009251DE" w:rsidP="00D923AE">
            <w:pPr>
              <w:jc w:val="both"/>
              <w:rPr>
                <w:rFonts w:ascii="Book Antiqua" w:eastAsia="Times New Roman" w:hAnsi="Book Antiqua" w:cs="Times New Roman"/>
                <w:sz w:val="18"/>
                <w:szCs w:val="18"/>
                <w:lang w:eastAsia="pt-BR"/>
              </w:rPr>
            </w:pPr>
          </w:p>
          <w:p w14:paraId="33BDBAA6" w14:textId="77777777" w:rsidR="009251DE" w:rsidRPr="00385293" w:rsidRDefault="009251DE" w:rsidP="00D923AE">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10AE46D4" w14:textId="77777777" w:rsidR="009251DE" w:rsidRPr="006130F5" w:rsidRDefault="009251DE" w:rsidP="00D923AE">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tc>
      </w:tr>
    </w:tbl>
    <w:p w14:paraId="0FF948B1" w14:textId="77777777" w:rsidR="00E66E73" w:rsidRPr="009D2C52" w:rsidRDefault="00000000" w:rsidP="00E66E7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00E66E73" w:rsidRPr="009D2C52">
          <w:rPr>
            <w:rFonts w:ascii="Book Antiqua" w:eastAsia="Times New Roman" w:hAnsi="Book Antiqua" w:cs="Arial"/>
            <w:b/>
            <w:bCs/>
            <w:color w:val="000080"/>
            <w:sz w:val="20"/>
            <w:szCs w:val="20"/>
            <w:u w:val="single"/>
            <w:lang w:eastAsia="pt-BR"/>
          </w:rPr>
          <w:t>LEI N</w:t>
        </w:r>
        <w:r w:rsidR="00E66E73" w:rsidRPr="009D2C52">
          <w:rPr>
            <w:rFonts w:ascii="Book Antiqua" w:eastAsia="Times New Roman" w:hAnsi="Book Antiqua" w:cs="Arial"/>
            <w:b/>
            <w:bCs/>
            <w:color w:val="000080"/>
            <w:sz w:val="20"/>
            <w:szCs w:val="20"/>
            <w:u w:val="single"/>
            <w:vertAlign w:val="superscript"/>
            <w:lang w:eastAsia="pt-BR"/>
          </w:rPr>
          <w:t>o</w:t>
        </w:r>
        <w:r w:rsidR="00E66E73" w:rsidRPr="009D2C52">
          <w:rPr>
            <w:rFonts w:ascii="Book Antiqua" w:eastAsia="Times New Roman" w:hAnsi="Book Antiqua" w:cs="Arial"/>
            <w:b/>
            <w:bCs/>
            <w:color w:val="000080"/>
            <w:sz w:val="20"/>
            <w:szCs w:val="20"/>
            <w:u w:val="single"/>
            <w:lang w:eastAsia="pt-BR"/>
          </w:rPr>
          <w:t xml:space="preserve"> 6.969, DE 10 DE DEZEMBRO DE 1981.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E66E73" w:rsidRPr="009D2C52" w14:paraId="606D10E6" w14:textId="77777777" w:rsidTr="009251DE">
        <w:trPr>
          <w:tblCellSpacing w:w="0" w:type="dxa"/>
        </w:trPr>
        <w:tc>
          <w:tcPr>
            <w:tcW w:w="1251" w:type="pct"/>
            <w:vAlign w:val="center"/>
            <w:hideMark/>
          </w:tcPr>
          <w:p w14:paraId="696661ED" w14:textId="77777777" w:rsidR="00E66E73" w:rsidRPr="009251DE" w:rsidRDefault="00E66E73" w:rsidP="00E66E7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17C7A0B5" w14:textId="77777777" w:rsidR="00E66E73" w:rsidRPr="009251DE" w:rsidRDefault="00E66E73" w:rsidP="00693C3A">
            <w:pPr>
              <w:spacing w:before="100" w:beforeAutospacing="1" w:after="100" w:afterAutospacing="1" w:line="240" w:lineRule="auto"/>
              <w:jc w:val="both"/>
              <w:rPr>
                <w:rFonts w:ascii="Book Antiqua" w:eastAsia="Times New Roman" w:hAnsi="Book Antiqua" w:cs="Times New Roman"/>
                <w:sz w:val="18"/>
                <w:szCs w:val="18"/>
                <w:lang w:eastAsia="pt-BR"/>
              </w:rPr>
            </w:pPr>
            <w:r w:rsidRPr="009251DE">
              <w:rPr>
                <w:rFonts w:ascii="Book Antiqua" w:eastAsia="Times New Roman" w:hAnsi="Book Antiqua" w:cs="Arial"/>
                <w:color w:val="800000"/>
                <w:sz w:val="18"/>
                <w:szCs w:val="18"/>
                <w:lang w:eastAsia="pt-BR"/>
              </w:rPr>
              <w:t xml:space="preserve">Dispõe Sobre a Aquisição, Por Usucapião Especial, de Imóveis Rurais, Altera a Redação do § 2º do art. 589 do Código Civil e dá outras providências. </w:t>
            </w:r>
          </w:p>
        </w:tc>
      </w:tr>
    </w:tbl>
    <w:p w14:paraId="532E3CE4" w14:textId="77777777" w:rsidR="00E66E73" w:rsidRPr="00E85BC9" w:rsidRDefault="00E66E73" w:rsidP="00E66E73">
      <w:pPr>
        <w:spacing w:before="100" w:beforeAutospacing="1" w:after="100" w:afterAutospacing="1" w:line="240" w:lineRule="auto"/>
        <w:ind w:firstLine="525"/>
        <w:rPr>
          <w:rFonts w:ascii="Book Antiqua" w:eastAsia="Times New Roman" w:hAnsi="Book Antiqua" w:cs="Times New Roman"/>
          <w:sz w:val="19"/>
          <w:szCs w:val="19"/>
          <w:lang w:eastAsia="pt-BR"/>
        </w:rPr>
      </w:pPr>
      <w:r w:rsidRPr="00E85BC9">
        <w:rPr>
          <w:rFonts w:ascii="Book Antiqua" w:eastAsia="Times New Roman" w:hAnsi="Book Antiqua" w:cs="Arial"/>
          <w:b/>
          <w:bCs/>
          <w:sz w:val="19"/>
          <w:szCs w:val="19"/>
          <w:lang w:eastAsia="pt-BR"/>
        </w:rPr>
        <w:t>O PRESIDENTE DA REPÚBLICA:</w:t>
      </w:r>
    </w:p>
    <w:p w14:paraId="2FE2E1E7"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85BC9">
        <w:rPr>
          <w:rFonts w:ascii="Book Antiqua" w:eastAsia="Times New Roman" w:hAnsi="Book Antiqua" w:cs="Arial"/>
          <w:sz w:val="19"/>
          <w:szCs w:val="19"/>
          <w:lang w:eastAsia="pt-BR"/>
        </w:rPr>
        <w:t>Faço saber que o Congresso Nacional decreta e eu sanciono a seguinte Lei:</w:t>
      </w:r>
    </w:p>
    <w:p w14:paraId="2E01240D" w14:textId="0BBF2D53" w:rsidR="00E66E73" w:rsidRPr="006B0E28" w:rsidRDefault="00E66E73" w:rsidP="00693C3A">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r w:rsidRPr="00E85BC9">
        <w:rPr>
          <w:rFonts w:ascii="Book Antiqua" w:eastAsia="Times New Roman" w:hAnsi="Book Antiqua" w:cs="Arial"/>
          <w:b/>
          <w:bCs/>
          <w:sz w:val="19"/>
          <w:szCs w:val="19"/>
          <w:highlight w:val="magenta"/>
          <w:lang w:eastAsia="pt-BR"/>
        </w:rPr>
        <w:t>Art. 1º</w:t>
      </w:r>
      <w:r w:rsidRPr="00E85BC9">
        <w:rPr>
          <w:rFonts w:ascii="Book Antiqua" w:eastAsia="Times New Roman" w:hAnsi="Book Antiqua" w:cs="Arial"/>
          <w:sz w:val="19"/>
          <w:szCs w:val="19"/>
          <w:lang w:eastAsia="pt-BR"/>
        </w:rPr>
        <w:t xml:space="preserve"> </w:t>
      </w:r>
      <w:r w:rsidRPr="009A103F">
        <w:rPr>
          <w:rFonts w:ascii="Book Antiqua" w:eastAsia="Times New Roman" w:hAnsi="Book Antiqua" w:cs="Arial"/>
          <w:b/>
          <w:bCs/>
          <w:sz w:val="19"/>
          <w:szCs w:val="19"/>
          <w:lang w:eastAsia="pt-BR"/>
        </w:rPr>
        <w:t xml:space="preserve">- Todo aquele que, </w:t>
      </w:r>
      <w:r w:rsidRPr="00214A49">
        <w:rPr>
          <w:rFonts w:ascii="Book Antiqua" w:eastAsia="Times New Roman" w:hAnsi="Book Antiqua" w:cs="Arial"/>
          <w:b/>
          <w:bCs/>
          <w:caps/>
          <w:sz w:val="19"/>
          <w:szCs w:val="19"/>
          <w:highlight w:val="green"/>
          <w:lang w:eastAsia="pt-BR"/>
        </w:rPr>
        <w:t>não sendo</w:t>
      </w:r>
      <w:r w:rsidRPr="009A103F">
        <w:rPr>
          <w:rFonts w:ascii="Book Antiqua" w:eastAsia="Times New Roman" w:hAnsi="Book Antiqua" w:cs="Arial"/>
          <w:b/>
          <w:bCs/>
          <w:sz w:val="19"/>
          <w:szCs w:val="19"/>
          <w:lang w:eastAsia="pt-BR"/>
        </w:rPr>
        <w:t xml:space="preserve"> </w:t>
      </w:r>
      <w:r w:rsidRPr="00214A49">
        <w:rPr>
          <w:rFonts w:ascii="Book Antiqua" w:eastAsia="Times New Roman" w:hAnsi="Book Antiqua" w:cs="Arial"/>
          <w:b/>
          <w:bCs/>
          <w:sz w:val="19"/>
          <w:szCs w:val="19"/>
          <w:highlight w:val="yellow"/>
          <w:lang w:eastAsia="pt-BR"/>
        </w:rPr>
        <w:t>proprietário rural</w:t>
      </w:r>
      <w:r w:rsidRPr="009A103F">
        <w:rPr>
          <w:rFonts w:ascii="Book Antiqua" w:eastAsia="Times New Roman" w:hAnsi="Book Antiqua" w:cs="Arial"/>
          <w:b/>
          <w:bCs/>
          <w:sz w:val="19"/>
          <w:szCs w:val="19"/>
          <w:lang w:eastAsia="pt-BR"/>
        </w:rPr>
        <w:t xml:space="preserve"> </w:t>
      </w:r>
      <w:r w:rsidRPr="00214A49">
        <w:rPr>
          <w:rFonts w:ascii="Book Antiqua" w:eastAsia="Times New Roman" w:hAnsi="Book Antiqua" w:cs="Arial"/>
          <w:b/>
          <w:bCs/>
          <w:caps/>
          <w:sz w:val="19"/>
          <w:szCs w:val="19"/>
          <w:highlight w:val="green"/>
          <w:lang w:eastAsia="pt-BR"/>
        </w:rPr>
        <w:t>nem</w:t>
      </w:r>
      <w:r w:rsidRPr="009A103F">
        <w:rPr>
          <w:rFonts w:ascii="Book Antiqua" w:eastAsia="Times New Roman" w:hAnsi="Book Antiqua" w:cs="Arial"/>
          <w:b/>
          <w:bCs/>
          <w:sz w:val="19"/>
          <w:szCs w:val="19"/>
          <w:lang w:eastAsia="pt-BR"/>
        </w:rPr>
        <w:t xml:space="preserve"> </w:t>
      </w:r>
      <w:r w:rsidRPr="00214A49">
        <w:rPr>
          <w:rFonts w:ascii="Book Antiqua" w:eastAsia="Times New Roman" w:hAnsi="Book Antiqua" w:cs="Arial"/>
          <w:b/>
          <w:bCs/>
          <w:sz w:val="19"/>
          <w:szCs w:val="19"/>
          <w:highlight w:val="yellow"/>
          <w:lang w:eastAsia="pt-BR"/>
        </w:rPr>
        <w:t>urbano</w:t>
      </w:r>
      <w:r w:rsidRPr="009A103F">
        <w:rPr>
          <w:rFonts w:ascii="Book Antiqua" w:eastAsia="Times New Roman" w:hAnsi="Book Antiqua" w:cs="Arial"/>
          <w:b/>
          <w:bCs/>
          <w:sz w:val="19"/>
          <w:szCs w:val="19"/>
          <w:lang w:eastAsia="pt-BR"/>
        </w:rPr>
        <w:t xml:space="preserve">, possuir como sua, por 5 (cinco) anos ininterruptos, sem oposição, </w:t>
      </w:r>
      <w:r w:rsidRPr="009A103F">
        <w:rPr>
          <w:rFonts w:ascii="Book Antiqua" w:eastAsia="Times New Roman" w:hAnsi="Book Antiqua" w:cs="Arial"/>
          <w:b/>
          <w:bCs/>
          <w:sz w:val="19"/>
          <w:szCs w:val="19"/>
          <w:highlight w:val="cyan"/>
          <w:lang w:eastAsia="pt-BR"/>
        </w:rPr>
        <w:t>área rural contínua</w:t>
      </w:r>
      <w:r w:rsidRPr="009A103F">
        <w:rPr>
          <w:rFonts w:ascii="Book Antiqua" w:eastAsia="Times New Roman" w:hAnsi="Book Antiqua" w:cs="Arial"/>
          <w:b/>
          <w:bCs/>
          <w:sz w:val="19"/>
          <w:szCs w:val="19"/>
          <w:lang w:eastAsia="pt-BR"/>
        </w:rPr>
        <w:t xml:space="preserve">, não excedente de 25 (vinte e cinco) hectares, e a houver tornado produtiva com seu trabalho e nela tiver sua morada, adquirir-lhe-á o domínio, </w:t>
      </w:r>
      <w:r w:rsidRPr="00214A49">
        <w:rPr>
          <w:rFonts w:ascii="Book Antiqua" w:eastAsia="Times New Roman" w:hAnsi="Book Antiqua" w:cs="Arial"/>
          <w:b/>
          <w:bCs/>
          <w:caps/>
          <w:sz w:val="19"/>
          <w:szCs w:val="19"/>
          <w:highlight w:val="green"/>
          <w:lang w:eastAsia="pt-BR"/>
        </w:rPr>
        <w:t>independentemente</w:t>
      </w:r>
      <w:r w:rsidRPr="009A103F">
        <w:rPr>
          <w:rFonts w:ascii="Book Antiqua" w:eastAsia="Times New Roman" w:hAnsi="Book Antiqua" w:cs="Arial"/>
          <w:b/>
          <w:bCs/>
          <w:sz w:val="19"/>
          <w:szCs w:val="19"/>
          <w:lang w:eastAsia="pt-BR"/>
        </w:rPr>
        <w:t xml:space="preserve"> </w:t>
      </w:r>
      <w:r w:rsidRPr="00214A49">
        <w:rPr>
          <w:rFonts w:ascii="Book Antiqua" w:eastAsia="Times New Roman" w:hAnsi="Book Antiqua" w:cs="Arial"/>
          <w:b/>
          <w:bCs/>
          <w:sz w:val="19"/>
          <w:szCs w:val="19"/>
          <w:highlight w:val="cyan"/>
          <w:lang w:eastAsia="pt-BR"/>
        </w:rPr>
        <w:t>de justo título</w:t>
      </w:r>
      <w:r w:rsidRPr="009A103F">
        <w:rPr>
          <w:rFonts w:ascii="Book Antiqua" w:eastAsia="Times New Roman" w:hAnsi="Book Antiqua" w:cs="Arial"/>
          <w:b/>
          <w:bCs/>
          <w:sz w:val="19"/>
          <w:szCs w:val="19"/>
          <w:lang w:eastAsia="pt-BR"/>
        </w:rPr>
        <w:t xml:space="preserve"> e </w:t>
      </w:r>
      <w:r w:rsidRPr="00214A49">
        <w:rPr>
          <w:rFonts w:ascii="Book Antiqua" w:eastAsia="Times New Roman" w:hAnsi="Book Antiqua" w:cs="Arial"/>
          <w:b/>
          <w:bCs/>
          <w:sz w:val="19"/>
          <w:szCs w:val="19"/>
          <w:highlight w:val="cyan"/>
          <w:lang w:eastAsia="pt-BR"/>
        </w:rPr>
        <w:t>boa-fé</w:t>
      </w:r>
      <w:r w:rsidRPr="009A103F">
        <w:rPr>
          <w:rFonts w:ascii="Book Antiqua" w:eastAsia="Times New Roman" w:hAnsi="Book Antiqua" w:cs="Arial"/>
          <w:b/>
          <w:bCs/>
          <w:sz w:val="19"/>
          <w:szCs w:val="19"/>
          <w:lang w:eastAsia="pt-BR"/>
        </w:rPr>
        <w:t>, podendo requerer ao juiz que assim o declare por sentença, a qual servirá de título para transcrição no Registro de Imóveis</w:t>
      </w:r>
      <w:r w:rsidRPr="00C12136">
        <w:rPr>
          <w:rFonts w:ascii="Book Antiqua" w:eastAsia="Times New Roman" w:hAnsi="Book Antiqua" w:cs="Arial"/>
          <w:b/>
          <w:bCs/>
          <w:sz w:val="16"/>
          <w:szCs w:val="16"/>
          <w:lang w:eastAsia="pt-BR"/>
        </w:rPr>
        <w:t>.</w:t>
      </w:r>
      <w:r w:rsidR="00E17198" w:rsidRPr="00C12136">
        <w:rPr>
          <w:rFonts w:ascii="Book Antiqua" w:eastAsia="Times New Roman" w:hAnsi="Book Antiqua" w:cs="Arial"/>
          <w:b/>
          <w:bCs/>
          <w:sz w:val="16"/>
          <w:szCs w:val="16"/>
          <w:lang w:eastAsia="pt-BR"/>
        </w:rPr>
        <w:t xml:space="preserve"> </w:t>
      </w:r>
      <w:r w:rsidR="00E17198" w:rsidRPr="00C12136">
        <w:rPr>
          <w:rFonts w:ascii="Book Antiqua" w:eastAsia="Times New Roman" w:hAnsi="Book Antiqua" w:cs="Times New Roman"/>
          <w:b/>
          <w:bCs/>
          <w:color w:val="FF0000"/>
          <w:sz w:val="16"/>
          <w:szCs w:val="16"/>
          <w:u w:val="single"/>
          <w:lang w:eastAsia="pt-BR"/>
        </w:rPr>
        <w:t>(DPEMA-2011)</w:t>
      </w:r>
      <w:r w:rsidRPr="00C12136">
        <w:rPr>
          <w:rFonts w:ascii="Book Antiqua" w:eastAsia="Times New Roman" w:hAnsi="Book Antiqua" w:cs="Arial"/>
          <w:b/>
          <w:bCs/>
          <w:sz w:val="16"/>
          <w:szCs w:val="16"/>
          <w:lang w:eastAsia="pt-BR"/>
        </w:rPr>
        <w:t xml:space="preserve"> </w:t>
      </w:r>
      <w:bookmarkStart w:id="0" w:name="_Hlk33801001"/>
      <w:r w:rsidR="00E8283E" w:rsidRPr="00C12136">
        <w:rPr>
          <w:rFonts w:ascii="Book Antiqua" w:eastAsia="Times New Roman" w:hAnsi="Book Antiqua" w:cs="Arial"/>
          <w:b/>
          <w:bCs/>
          <w:color w:val="FF0000"/>
          <w:sz w:val="16"/>
          <w:szCs w:val="16"/>
          <w:u w:val="single"/>
          <w:lang w:eastAsia="pt-BR"/>
        </w:rPr>
        <w:t>(PGEPA-2012)</w:t>
      </w:r>
      <w:bookmarkEnd w:id="0"/>
      <w:r w:rsidR="00700EBC" w:rsidRPr="00C12136">
        <w:rPr>
          <w:rFonts w:ascii="Book Antiqua" w:eastAsia="Times New Roman" w:hAnsi="Book Antiqua" w:cs="Arial"/>
          <w:b/>
          <w:bCs/>
          <w:color w:val="FF0000"/>
          <w:sz w:val="16"/>
          <w:szCs w:val="16"/>
          <w:lang w:eastAsia="pt-BR"/>
        </w:rPr>
        <w:t xml:space="preserve"> </w:t>
      </w:r>
      <w:r w:rsidR="00700EBC" w:rsidRPr="00C12136">
        <w:rPr>
          <w:rFonts w:ascii="Book Antiqua" w:hAnsi="Book Antiqua"/>
          <w:b/>
          <w:color w:val="FF0000"/>
          <w:sz w:val="16"/>
          <w:szCs w:val="16"/>
          <w:u w:val="single"/>
        </w:rPr>
        <w:t>(PGEPI-2014)</w:t>
      </w:r>
      <w:r w:rsidR="00214A49" w:rsidRPr="00C12136">
        <w:rPr>
          <w:rFonts w:ascii="Book Antiqua" w:hAnsi="Book Antiqua"/>
          <w:b/>
          <w:color w:val="FF0000"/>
          <w:sz w:val="16"/>
          <w:szCs w:val="16"/>
        </w:rPr>
        <w:t xml:space="preserve"> </w:t>
      </w:r>
      <w:r w:rsidR="00214A49" w:rsidRPr="00C12136">
        <w:rPr>
          <w:rFonts w:ascii="Book Antiqua" w:eastAsia="Times New Roman" w:hAnsi="Book Antiqua" w:cs="Times New Roman"/>
          <w:b/>
          <w:bCs/>
          <w:color w:val="FF0000"/>
          <w:sz w:val="16"/>
          <w:szCs w:val="16"/>
          <w:u w:val="single"/>
          <w:lang w:eastAsia="pt-BR"/>
        </w:rPr>
        <w:t>(PCBA-2018)</w:t>
      </w:r>
      <w:r w:rsidR="00C12136">
        <w:rPr>
          <w:rFonts w:ascii="Book Antiqua" w:eastAsia="Times New Roman" w:hAnsi="Book Antiqua" w:cs="Times New Roman"/>
          <w:b/>
          <w:bCs/>
          <w:color w:val="FF0000"/>
          <w:sz w:val="16"/>
          <w:szCs w:val="16"/>
          <w:lang w:eastAsia="pt-BR"/>
        </w:rPr>
        <w:t xml:space="preserve"> </w:t>
      </w:r>
      <w:r w:rsidR="00C12136" w:rsidRPr="00E044FA">
        <w:rPr>
          <w:rFonts w:ascii="Book Antiqua" w:eastAsia="Times New Roman" w:hAnsi="Book Antiqua" w:cs="Times New Roman"/>
          <w:b/>
          <w:color w:val="FF0000"/>
          <w:sz w:val="16"/>
          <w:szCs w:val="16"/>
          <w:u w:val="single"/>
          <w:lang w:eastAsia="pt-BR"/>
        </w:rPr>
        <w:t>(TJGO-20</w:t>
      </w:r>
      <w:r w:rsidR="00C12136">
        <w:rPr>
          <w:rFonts w:ascii="Book Antiqua" w:eastAsia="Times New Roman" w:hAnsi="Book Antiqua" w:cs="Times New Roman"/>
          <w:b/>
          <w:color w:val="FF0000"/>
          <w:sz w:val="16"/>
          <w:szCs w:val="16"/>
          <w:u w:val="single"/>
          <w:lang w:eastAsia="pt-BR"/>
        </w:rPr>
        <w:t>21</w:t>
      </w:r>
      <w:r w:rsidR="00C12136" w:rsidRPr="00E044FA">
        <w:rPr>
          <w:rFonts w:ascii="Book Antiqua" w:eastAsia="Times New Roman" w:hAnsi="Book Antiqua" w:cs="Times New Roman"/>
          <w:b/>
          <w:color w:val="FF0000"/>
          <w:sz w:val="16"/>
          <w:szCs w:val="16"/>
          <w:u w:val="single"/>
          <w:lang w:eastAsia="pt-BR"/>
        </w:rPr>
        <w:t>)</w:t>
      </w:r>
      <w:r w:rsidR="006B0E28">
        <w:rPr>
          <w:rFonts w:ascii="Book Antiqua" w:eastAsia="Times New Roman" w:hAnsi="Book Antiqua" w:cs="Times New Roman"/>
          <w:b/>
          <w:color w:val="FF0000"/>
          <w:sz w:val="16"/>
          <w:szCs w:val="16"/>
          <w:lang w:eastAsia="pt-BR"/>
        </w:rPr>
        <w:t xml:space="preserve"> </w:t>
      </w:r>
      <w:bookmarkStart w:id="1" w:name="_Hlk149739018"/>
      <w:r w:rsidR="006B0E28">
        <w:rPr>
          <w:rFonts w:ascii="Book Antiqua" w:eastAsia="Times New Roman" w:hAnsi="Book Antiqua" w:cs="Times New Roman"/>
          <w:b/>
          <w:color w:val="FF0000"/>
          <w:sz w:val="16"/>
          <w:szCs w:val="16"/>
          <w:u w:val="single"/>
          <w:lang w:eastAsia="pt-BR"/>
        </w:rPr>
        <w:t>(AGU-2023)</w:t>
      </w:r>
      <w:bookmarkEnd w:id="1"/>
    </w:p>
    <w:tbl>
      <w:tblPr>
        <w:tblStyle w:val="Tabelacomgrade"/>
        <w:tblW w:w="0" w:type="auto"/>
        <w:shd w:val="clear" w:color="auto" w:fill="CCFFFF"/>
        <w:tblLook w:val="04A0" w:firstRow="1" w:lastRow="0" w:firstColumn="1" w:lastColumn="0" w:noHBand="0" w:noVBand="1"/>
      </w:tblPr>
      <w:tblGrid>
        <w:gridCol w:w="8494"/>
      </w:tblGrid>
      <w:tr w:rsidR="00700EBC" w:rsidRPr="00E85BC9" w14:paraId="58C105C7" w14:textId="77777777" w:rsidTr="00FF7533">
        <w:tc>
          <w:tcPr>
            <w:tcW w:w="8494" w:type="dxa"/>
            <w:shd w:val="clear" w:color="auto" w:fill="CCFFFF"/>
          </w:tcPr>
          <w:p w14:paraId="18D25985" w14:textId="2D220C72" w:rsidR="00700EBC" w:rsidRPr="00E85BC9" w:rsidRDefault="00700EBC" w:rsidP="00700EBC">
            <w:pPr>
              <w:jc w:val="both"/>
              <w:rPr>
                <w:rFonts w:ascii="Book Antiqua" w:eastAsia="Times New Roman" w:hAnsi="Book Antiqua" w:cs="Arial"/>
                <w:sz w:val="19"/>
                <w:szCs w:val="19"/>
                <w:lang w:eastAsia="pt-BR"/>
              </w:rPr>
            </w:pPr>
            <w:r w:rsidRPr="00E85BC9">
              <w:rPr>
                <w:rFonts w:ascii="Book Antiqua" w:eastAsia="Times New Roman" w:hAnsi="Book Antiqua" w:cs="Arial"/>
                <w:b/>
                <w:bCs/>
                <w:i/>
                <w:iCs/>
                <w:color w:val="FF0000"/>
                <w:sz w:val="19"/>
                <w:szCs w:val="19"/>
                <w:lang w:eastAsia="pt-BR"/>
              </w:rPr>
              <w:t>#</w:t>
            </w:r>
            <w:r w:rsidRPr="00E85BC9">
              <w:rPr>
                <w:rFonts w:ascii="Book Antiqua" w:eastAsia="Times New Roman" w:hAnsi="Book Antiqua" w:cs="Arial"/>
                <w:b/>
                <w:bCs/>
                <w:i/>
                <w:iCs/>
                <w:color w:val="FF0000"/>
                <w:sz w:val="19"/>
                <w:szCs w:val="19"/>
                <w:highlight w:val="green"/>
                <w:lang w:eastAsia="pt-BR"/>
              </w:rPr>
              <w:t>Atenção</w:t>
            </w:r>
            <w:r w:rsidRPr="00E85BC9">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PGEPI-2014</w:t>
            </w:r>
            <w:r>
              <w:rPr>
                <w:rFonts w:ascii="Book Antiqua" w:eastAsia="Times New Roman" w:hAnsi="Book Antiqua" w:cs="Arial"/>
                <w:b/>
                <w:bCs/>
                <w:i/>
                <w:iCs/>
                <w:color w:val="FF0000"/>
                <w:sz w:val="19"/>
                <w:szCs w:val="19"/>
                <w:lang w:eastAsia="pt-BR"/>
              </w:rPr>
              <w:t>: #</w:t>
            </w:r>
            <w:r w:rsidRPr="00700EBC">
              <w:rPr>
                <w:rFonts w:ascii="Book Antiqua" w:eastAsia="Times New Roman" w:hAnsi="Book Antiqua" w:cs="Arial"/>
                <w:b/>
                <w:bCs/>
                <w:i/>
                <w:iCs/>
                <w:color w:val="FF0000"/>
                <w:sz w:val="19"/>
                <w:szCs w:val="19"/>
                <w:highlight w:val="green"/>
                <w:lang w:eastAsia="pt-BR"/>
              </w:rPr>
              <w:t>CESPE</w:t>
            </w:r>
            <w:r w:rsidRPr="00E85BC9">
              <w:rPr>
                <w:rFonts w:ascii="Book Antiqua" w:eastAsia="Times New Roman" w:hAnsi="Book Antiqua" w:cs="Arial"/>
                <w:sz w:val="19"/>
                <w:szCs w:val="19"/>
                <w:lang w:eastAsia="pt-BR"/>
              </w:rPr>
              <w:t xml:space="preserve">: </w:t>
            </w:r>
            <w:r w:rsidRPr="00700EBC">
              <w:rPr>
                <w:rFonts w:ascii="Book Antiqua" w:eastAsia="Times New Roman" w:hAnsi="Book Antiqua" w:cs="Arial"/>
                <w:sz w:val="19"/>
                <w:szCs w:val="19"/>
                <w:lang w:eastAsia="pt-BR"/>
              </w:rPr>
              <w:t>Como a previsão da Lei 6.969/81 é anterior à CF/88, mas prevê um requisito diferente (25 hectares, menor que os 50 do artigo 191 da CF), a doutrina divide-se em duas situações:</w:t>
            </w:r>
            <w:r>
              <w:rPr>
                <w:rFonts w:ascii="Book Antiqua" w:eastAsia="Times New Roman" w:hAnsi="Book Antiqua" w:cs="Arial"/>
                <w:sz w:val="19"/>
                <w:szCs w:val="19"/>
                <w:lang w:eastAsia="pt-BR"/>
              </w:rPr>
              <w:t xml:space="preserve"> </w:t>
            </w:r>
            <w:r w:rsidRPr="00700EBC">
              <w:rPr>
                <w:rFonts w:ascii="Book Antiqua" w:eastAsia="Times New Roman" w:hAnsi="Book Antiqua" w:cs="Arial"/>
                <w:b/>
                <w:bCs/>
                <w:sz w:val="19"/>
                <w:szCs w:val="19"/>
                <w:highlight w:val="magenta"/>
                <w:lang w:eastAsia="pt-BR"/>
              </w:rPr>
              <w:t>1)</w:t>
            </w:r>
            <w:r w:rsidRPr="00700EBC">
              <w:rPr>
                <w:rFonts w:ascii="Book Antiqua" w:eastAsia="Times New Roman" w:hAnsi="Book Antiqua" w:cs="Arial"/>
                <w:sz w:val="19"/>
                <w:szCs w:val="19"/>
                <w:lang w:eastAsia="pt-BR"/>
              </w:rPr>
              <w:t xml:space="preserve"> se o imóvel </w:t>
            </w:r>
            <w:proofErr w:type="spellStart"/>
            <w:r w:rsidRPr="00700EBC">
              <w:rPr>
                <w:rFonts w:ascii="Book Antiqua" w:eastAsia="Times New Roman" w:hAnsi="Book Antiqua" w:cs="Arial"/>
                <w:sz w:val="19"/>
                <w:szCs w:val="19"/>
                <w:lang w:eastAsia="pt-BR"/>
              </w:rPr>
              <w:t>usucapível</w:t>
            </w:r>
            <w:proofErr w:type="spellEnd"/>
            <w:r w:rsidRPr="00700EBC">
              <w:rPr>
                <w:rFonts w:ascii="Book Antiqua" w:eastAsia="Times New Roman" w:hAnsi="Book Antiqua" w:cs="Arial"/>
                <w:sz w:val="19"/>
                <w:szCs w:val="19"/>
                <w:lang w:eastAsia="pt-BR"/>
              </w:rPr>
              <w:t xml:space="preserve"> possui área menor que 25 hectares, os atos possessórios anteriores à novel CF devem ser considerados (e aqui se inclui o tempo de posse ad </w:t>
            </w:r>
            <w:proofErr w:type="spellStart"/>
            <w:r w:rsidRPr="00700EBC">
              <w:rPr>
                <w:rFonts w:ascii="Book Antiqua" w:eastAsia="Times New Roman" w:hAnsi="Book Antiqua" w:cs="Arial"/>
                <w:sz w:val="19"/>
                <w:szCs w:val="19"/>
                <w:lang w:eastAsia="pt-BR"/>
              </w:rPr>
              <w:t>usucapionem</w:t>
            </w:r>
            <w:proofErr w:type="spellEnd"/>
            <w:r w:rsidRPr="00700EBC">
              <w:rPr>
                <w:rFonts w:ascii="Book Antiqua" w:eastAsia="Times New Roman" w:hAnsi="Book Antiqua" w:cs="Arial"/>
                <w:sz w:val="19"/>
                <w:szCs w:val="19"/>
                <w:lang w:eastAsia="pt-BR"/>
              </w:rPr>
              <w:t xml:space="preserve"> já decorrido);</w:t>
            </w:r>
            <w:r>
              <w:rPr>
                <w:rFonts w:ascii="Book Antiqua" w:eastAsia="Times New Roman" w:hAnsi="Book Antiqua" w:cs="Arial"/>
                <w:sz w:val="19"/>
                <w:szCs w:val="19"/>
                <w:lang w:eastAsia="pt-BR"/>
              </w:rPr>
              <w:t xml:space="preserve"> </w:t>
            </w:r>
            <w:r w:rsidRPr="00700EBC">
              <w:rPr>
                <w:rFonts w:ascii="Book Antiqua" w:eastAsia="Times New Roman" w:hAnsi="Book Antiqua" w:cs="Arial"/>
                <w:b/>
                <w:bCs/>
                <w:sz w:val="19"/>
                <w:szCs w:val="19"/>
                <w:highlight w:val="magenta"/>
                <w:lang w:eastAsia="pt-BR"/>
              </w:rPr>
              <w:t>2)</w:t>
            </w:r>
            <w:r w:rsidRPr="00700EBC">
              <w:rPr>
                <w:rFonts w:ascii="Book Antiqua" w:eastAsia="Times New Roman" w:hAnsi="Book Antiqua" w:cs="Arial"/>
                <w:b/>
                <w:bCs/>
                <w:sz w:val="19"/>
                <w:szCs w:val="19"/>
                <w:lang w:eastAsia="pt-BR"/>
              </w:rPr>
              <w:t xml:space="preserve"> </w:t>
            </w:r>
            <w:r w:rsidRPr="00700EBC">
              <w:rPr>
                <w:rFonts w:ascii="Book Antiqua" w:eastAsia="Times New Roman" w:hAnsi="Book Antiqua" w:cs="Arial"/>
                <w:sz w:val="19"/>
                <w:szCs w:val="19"/>
                <w:lang w:eastAsia="pt-BR"/>
              </w:rPr>
              <w:t>se o imóvel possui área maior que 25 hectares, o tempo de posse só é contado a partir da vigência do artigo 191 da CF/88, que, na visão da doutrina, instituiu nova modalidade de usucapião (pois aumentou o requisito do tamanho do imóvel), sendo o período anterior computado apenas para efeito de usucapião ordinária ou extraordinária nos termos da lei civil.</w:t>
            </w:r>
            <w:r>
              <w:rPr>
                <w:rFonts w:ascii="Book Antiqua" w:eastAsia="Times New Roman" w:hAnsi="Book Antiqua" w:cs="Arial"/>
                <w:sz w:val="19"/>
                <w:szCs w:val="19"/>
                <w:lang w:eastAsia="pt-BR"/>
              </w:rPr>
              <w:t xml:space="preserve"> (</w:t>
            </w:r>
            <w:r w:rsidRPr="00700EBC">
              <w:rPr>
                <w:rFonts w:ascii="Book Antiqua" w:eastAsia="Times New Roman" w:hAnsi="Book Antiqua" w:cs="Arial"/>
                <w:sz w:val="19"/>
                <w:szCs w:val="19"/>
                <w:lang w:eastAsia="pt-BR"/>
              </w:rPr>
              <w:t>Fonte: Direito Agrário, Coleção Sinopses para Concursos, JUSPODIVM, ed. 2018, p</w:t>
            </w:r>
            <w:r>
              <w:rPr>
                <w:rFonts w:ascii="Book Antiqua" w:eastAsia="Times New Roman" w:hAnsi="Book Antiqua" w:cs="Arial"/>
                <w:sz w:val="19"/>
                <w:szCs w:val="19"/>
                <w:lang w:eastAsia="pt-BR"/>
              </w:rPr>
              <w:t>p</w:t>
            </w:r>
            <w:r w:rsidRPr="00700EBC">
              <w:rPr>
                <w:rFonts w:ascii="Book Antiqua" w:eastAsia="Times New Roman" w:hAnsi="Book Antiqua" w:cs="Arial"/>
                <w:sz w:val="19"/>
                <w:szCs w:val="19"/>
                <w:lang w:eastAsia="pt-BR"/>
              </w:rPr>
              <w:t>. 81/82</w:t>
            </w:r>
            <w:r>
              <w:rPr>
                <w:rFonts w:ascii="Book Antiqua" w:eastAsia="Times New Roman" w:hAnsi="Book Antiqua" w:cs="Arial"/>
                <w:sz w:val="19"/>
                <w:szCs w:val="19"/>
                <w:lang w:eastAsia="pt-BR"/>
              </w:rPr>
              <w:t>)</w:t>
            </w:r>
            <w:r w:rsidRPr="00700EBC">
              <w:rPr>
                <w:rFonts w:ascii="Book Antiqua" w:eastAsia="Times New Roman" w:hAnsi="Book Antiqua" w:cs="Arial"/>
                <w:sz w:val="19"/>
                <w:szCs w:val="19"/>
                <w:lang w:eastAsia="pt-BR"/>
              </w:rPr>
              <w:t>.</w:t>
            </w:r>
          </w:p>
        </w:tc>
      </w:tr>
    </w:tbl>
    <w:p w14:paraId="7CD0C4FC" w14:textId="0FC8736C"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Parágrafo único. Prevalecerá a área do módulo rural aplicável à espécie, na forma da legislação específica, se aquele for superior a 25 (vinte e cinco) hectares. </w:t>
      </w:r>
    </w:p>
    <w:p w14:paraId="7021F593" w14:textId="560A33B1" w:rsidR="00E66E73" w:rsidRPr="00C12136" w:rsidRDefault="00E66E73" w:rsidP="00693C3A">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9A103F">
        <w:rPr>
          <w:rFonts w:ascii="Book Antiqua" w:eastAsia="Times New Roman" w:hAnsi="Book Antiqua" w:cs="Arial"/>
          <w:b/>
          <w:bCs/>
          <w:sz w:val="19"/>
          <w:szCs w:val="19"/>
          <w:highlight w:val="magenta"/>
          <w:lang w:eastAsia="pt-BR"/>
        </w:rPr>
        <w:t>Art. 2º</w:t>
      </w:r>
      <w:r w:rsidRPr="009A103F">
        <w:rPr>
          <w:rFonts w:ascii="Book Antiqua" w:eastAsia="Times New Roman" w:hAnsi="Book Antiqua" w:cs="Arial"/>
          <w:b/>
          <w:bCs/>
          <w:sz w:val="19"/>
          <w:szCs w:val="19"/>
          <w:lang w:eastAsia="pt-BR"/>
        </w:rPr>
        <w:t xml:space="preserve"> - A usucapião especial, a que se refere esta Lei, </w:t>
      </w:r>
      <w:r w:rsidRPr="009A103F">
        <w:rPr>
          <w:rFonts w:ascii="Book Antiqua" w:eastAsia="Times New Roman" w:hAnsi="Book Antiqua" w:cs="Arial"/>
          <w:b/>
          <w:bCs/>
          <w:caps/>
          <w:sz w:val="19"/>
          <w:szCs w:val="19"/>
          <w:highlight w:val="green"/>
          <w:lang w:eastAsia="pt-BR"/>
        </w:rPr>
        <w:t>abrange</w:t>
      </w:r>
      <w:r w:rsidRPr="009A103F">
        <w:rPr>
          <w:rFonts w:ascii="Book Antiqua" w:eastAsia="Times New Roman" w:hAnsi="Book Antiqua" w:cs="Arial"/>
          <w:b/>
          <w:bCs/>
          <w:sz w:val="19"/>
          <w:szCs w:val="19"/>
          <w:lang w:eastAsia="pt-BR"/>
        </w:rPr>
        <w:t xml:space="preserve"> as </w:t>
      </w:r>
      <w:r w:rsidRPr="009A103F">
        <w:rPr>
          <w:rFonts w:ascii="Book Antiqua" w:eastAsia="Times New Roman" w:hAnsi="Book Antiqua" w:cs="Arial"/>
          <w:b/>
          <w:bCs/>
          <w:sz w:val="19"/>
          <w:szCs w:val="19"/>
          <w:highlight w:val="cyan"/>
          <w:lang w:eastAsia="pt-BR"/>
        </w:rPr>
        <w:t>terras particulares</w:t>
      </w:r>
      <w:r w:rsidRPr="009A103F">
        <w:rPr>
          <w:rFonts w:ascii="Book Antiqua" w:eastAsia="Times New Roman" w:hAnsi="Book Antiqua" w:cs="Arial"/>
          <w:b/>
          <w:bCs/>
          <w:sz w:val="19"/>
          <w:szCs w:val="19"/>
          <w:lang w:eastAsia="pt-BR"/>
        </w:rPr>
        <w:t xml:space="preserve"> e as </w:t>
      </w:r>
      <w:r w:rsidRPr="009A103F">
        <w:rPr>
          <w:rFonts w:ascii="Book Antiqua" w:eastAsia="Times New Roman" w:hAnsi="Book Antiqua" w:cs="Arial"/>
          <w:b/>
          <w:bCs/>
          <w:sz w:val="19"/>
          <w:szCs w:val="19"/>
          <w:highlight w:val="cyan"/>
          <w:lang w:eastAsia="pt-BR"/>
        </w:rPr>
        <w:t>terras devolutas</w:t>
      </w:r>
      <w:r w:rsidRPr="009A103F">
        <w:rPr>
          <w:rFonts w:ascii="Book Antiqua" w:eastAsia="Times New Roman" w:hAnsi="Book Antiqua" w:cs="Arial"/>
          <w:b/>
          <w:bCs/>
          <w:sz w:val="19"/>
          <w:szCs w:val="19"/>
          <w:lang w:eastAsia="pt-BR"/>
        </w:rPr>
        <w:t>, em geral, sem prejuízo de outros direitos conferidos ao posseiro, pelo Estatuto da Terra ou pelas leis que dispõem sobre processo discriminatório de terras devolutas</w:t>
      </w:r>
      <w:r w:rsidRPr="00C12136">
        <w:rPr>
          <w:rFonts w:ascii="Book Antiqua" w:eastAsia="Times New Roman" w:hAnsi="Book Antiqua" w:cs="Arial"/>
          <w:b/>
          <w:bCs/>
          <w:sz w:val="16"/>
          <w:szCs w:val="16"/>
          <w:lang w:eastAsia="pt-BR"/>
        </w:rPr>
        <w:t xml:space="preserve">. </w:t>
      </w:r>
      <w:r w:rsidR="00B24366" w:rsidRPr="00C12136">
        <w:rPr>
          <w:rFonts w:ascii="Book Antiqua" w:eastAsia="Times New Roman" w:hAnsi="Book Antiqua" w:cs="Times New Roman"/>
          <w:b/>
          <w:bCs/>
          <w:color w:val="FF0000"/>
          <w:sz w:val="16"/>
          <w:szCs w:val="16"/>
          <w:u w:val="single"/>
          <w:lang w:eastAsia="pt-BR"/>
        </w:rPr>
        <w:t>(DPESE-2012)</w:t>
      </w:r>
      <w:r w:rsidR="00590D71" w:rsidRPr="00C12136">
        <w:rPr>
          <w:rFonts w:ascii="Book Antiqua" w:eastAsia="Times New Roman" w:hAnsi="Book Antiqua" w:cs="Times New Roman"/>
          <w:b/>
          <w:bCs/>
          <w:color w:val="FF0000"/>
          <w:sz w:val="16"/>
          <w:szCs w:val="16"/>
          <w:lang w:eastAsia="pt-BR"/>
        </w:rPr>
        <w:t xml:space="preserve"> </w:t>
      </w:r>
      <w:r w:rsidR="00590D71" w:rsidRPr="00C12136">
        <w:rPr>
          <w:rFonts w:ascii="Book Antiqua" w:eastAsia="Times New Roman" w:hAnsi="Book Antiqua" w:cs="Times New Roman"/>
          <w:b/>
          <w:bCs/>
          <w:color w:val="FF0000"/>
          <w:sz w:val="16"/>
          <w:szCs w:val="16"/>
          <w:u w:val="single"/>
          <w:lang w:eastAsia="pt-BR"/>
        </w:rPr>
        <w:t>(Cartórios/TJRN-2012)</w:t>
      </w:r>
      <w:r w:rsidR="002B1148" w:rsidRPr="00C12136">
        <w:rPr>
          <w:rFonts w:ascii="Book Antiqua" w:eastAsia="Times New Roman" w:hAnsi="Book Antiqua" w:cs="Times New Roman"/>
          <w:b/>
          <w:bCs/>
          <w:color w:val="FF0000"/>
          <w:sz w:val="16"/>
          <w:szCs w:val="16"/>
          <w:lang w:eastAsia="pt-BR"/>
        </w:rPr>
        <w:t xml:space="preserve"> </w:t>
      </w:r>
      <w:r w:rsidR="002B1148" w:rsidRPr="00C12136">
        <w:rPr>
          <w:rFonts w:ascii="Book Antiqua" w:eastAsia="Times New Roman" w:hAnsi="Book Antiqua" w:cs="Times New Roman"/>
          <w:b/>
          <w:bCs/>
          <w:color w:val="FF0000"/>
          <w:sz w:val="16"/>
          <w:szCs w:val="16"/>
          <w:u w:val="single"/>
          <w:lang w:eastAsia="pt-BR"/>
        </w:rPr>
        <w:t>(PGEBA-2014)</w:t>
      </w:r>
      <w:r w:rsidR="00214A49" w:rsidRPr="00C12136">
        <w:rPr>
          <w:rFonts w:ascii="Book Antiqua" w:eastAsia="Times New Roman" w:hAnsi="Book Antiqua" w:cs="Times New Roman"/>
          <w:b/>
          <w:bCs/>
          <w:color w:val="FF0000"/>
          <w:sz w:val="16"/>
          <w:szCs w:val="16"/>
          <w:lang w:eastAsia="pt-BR"/>
        </w:rPr>
        <w:t xml:space="preserve"> </w:t>
      </w:r>
      <w:r w:rsidR="00214A49" w:rsidRPr="00C12136">
        <w:rPr>
          <w:rFonts w:ascii="Book Antiqua" w:eastAsia="Times New Roman" w:hAnsi="Book Antiqua" w:cs="Times New Roman"/>
          <w:b/>
          <w:bCs/>
          <w:color w:val="FF0000"/>
          <w:sz w:val="16"/>
          <w:szCs w:val="16"/>
          <w:u w:val="single"/>
          <w:lang w:eastAsia="pt-BR"/>
        </w:rPr>
        <w:t>(PCBA-2018)</w:t>
      </w:r>
    </w:p>
    <w:p w14:paraId="61D6F652" w14:textId="526DC00C" w:rsidR="00E66E73" w:rsidRPr="00C12136" w:rsidRDefault="00E66E73" w:rsidP="00693C3A">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9A103F">
        <w:rPr>
          <w:rFonts w:ascii="Book Antiqua" w:eastAsia="Times New Roman" w:hAnsi="Book Antiqua" w:cs="Arial"/>
          <w:b/>
          <w:bCs/>
          <w:sz w:val="19"/>
          <w:szCs w:val="19"/>
          <w:highlight w:val="magenta"/>
          <w:lang w:eastAsia="pt-BR"/>
        </w:rPr>
        <w:t>Art. 3º</w:t>
      </w:r>
      <w:r w:rsidRPr="009A103F">
        <w:rPr>
          <w:rFonts w:ascii="Book Antiqua" w:eastAsia="Times New Roman" w:hAnsi="Book Antiqua" w:cs="Arial"/>
          <w:b/>
          <w:bCs/>
          <w:sz w:val="19"/>
          <w:szCs w:val="19"/>
          <w:lang w:eastAsia="pt-BR"/>
        </w:rPr>
        <w:t xml:space="preserve"> - A </w:t>
      </w:r>
      <w:r w:rsidRPr="009A103F">
        <w:rPr>
          <w:rFonts w:ascii="Book Antiqua" w:eastAsia="Times New Roman" w:hAnsi="Book Antiqua" w:cs="Arial"/>
          <w:b/>
          <w:bCs/>
          <w:caps/>
          <w:sz w:val="19"/>
          <w:szCs w:val="19"/>
          <w:shd w:val="clear" w:color="auto" w:fill="F7CAAC" w:themeFill="accent2" w:themeFillTint="66"/>
          <w:lang w:eastAsia="pt-BR"/>
        </w:rPr>
        <w:t>usucapião especial</w:t>
      </w:r>
      <w:r w:rsidRPr="009A103F">
        <w:rPr>
          <w:rFonts w:ascii="Book Antiqua" w:eastAsia="Times New Roman" w:hAnsi="Book Antiqua" w:cs="Arial"/>
          <w:b/>
          <w:bCs/>
          <w:caps/>
          <w:sz w:val="19"/>
          <w:szCs w:val="19"/>
          <w:lang w:eastAsia="pt-BR"/>
        </w:rPr>
        <w:t xml:space="preserve"> </w:t>
      </w:r>
      <w:r w:rsidRPr="009A103F">
        <w:rPr>
          <w:rFonts w:ascii="Book Antiqua" w:eastAsia="Times New Roman" w:hAnsi="Book Antiqua" w:cs="Arial"/>
          <w:b/>
          <w:bCs/>
          <w:caps/>
          <w:sz w:val="19"/>
          <w:szCs w:val="19"/>
          <w:highlight w:val="green"/>
          <w:lang w:eastAsia="pt-BR"/>
        </w:rPr>
        <w:t>não ocorrerá</w:t>
      </w:r>
      <w:r w:rsidRPr="009A103F">
        <w:rPr>
          <w:rFonts w:ascii="Book Antiqua" w:eastAsia="Times New Roman" w:hAnsi="Book Antiqua" w:cs="Arial"/>
          <w:b/>
          <w:bCs/>
          <w:sz w:val="19"/>
          <w:szCs w:val="19"/>
          <w:lang w:eastAsia="pt-BR"/>
        </w:rPr>
        <w:t xml:space="preserve"> </w:t>
      </w:r>
      <w:r w:rsidRPr="009A103F">
        <w:rPr>
          <w:rFonts w:ascii="Book Antiqua" w:eastAsia="Times New Roman" w:hAnsi="Book Antiqua" w:cs="Arial"/>
          <w:b/>
          <w:bCs/>
          <w:sz w:val="19"/>
          <w:szCs w:val="19"/>
          <w:highlight w:val="cyan"/>
          <w:lang w:eastAsia="pt-BR"/>
        </w:rPr>
        <w:t>nas áreas</w:t>
      </w:r>
      <w:r w:rsidRPr="009A103F">
        <w:rPr>
          <w:rFonts w:ascii="Book Antiqua" w:eastAsia="Times New Roman" w:hAnsi="Book Antiqua" w:cs="Arial"/>
          <w:b/>
          <w:bCs/>
          <w:sz w:val="19"/>
          <w:szCs w:val="19"/>
          <w:lang w:eastAsia="pt-BR"/>
        </w:rPr>
        <w:t xml:space="preserve"> indispensáveis à segurança nacional, </w:t>
      </w:r>
      <w:r w:rsidRPr="009A103F">
        <w:rPr>
          <w:rFonts w:ascii="Book Antiqua" w:eastAsia="Times New Roman" w:hAnsi="Book Antiqua" w:cs="Arial"/>
          <w:b/>
          <w:bCs/>
          <w:sz w:val="19"/>
          <w:szCs w:val="19"/>
          <w:highlight w:val="yellow"/>
          <w:lang w:eastAsia="pt-BR"/>
        </w:rPr>
        <w:t>nas terras habitadas por silvícolas</w:t>
      </w:r>
      <w:r w:rsidRPr="009A103F">
        <w:rPr>
          <w:rFonts w:ascii="Book Antiqua" w:eastAsia="Times New Roman" w:hAnsi="Book Antiqua" w:cs="Arial"/>
          <w:b/>
          <w:bCs/>
          <w:sz w:val="19"/>
          <w:szCs w:val="19"/>
          <w:lang w:eastAsia="pt-BR"/>
        </w:rPr>
        <w:t xml:space="preserve">, </w:t>
      </w:r>
      <w:r w:rsidRPr="009A103F">
        <w:rPr>
          <w:rFonts w:ascii="Book Antiqua" w:eastAsia="Times New Roman" w:hAnsi="Book Antiqua" w:cs="Arial"/>
          <w:b/>
          <w:bCs/>
          <w:caps/>
          <w:sz w:val="19"/>
          <w:szCs w:val="19"/>
          <w:highlight w:val="green"/>
          <w:lang w:eastAsia="pt-BR"/>
        </w:rPr>
        <w:t>nem</w:t>
      </w:r>
      <w:r w:rsidRPr="009A103F">
        <w:rPr>
          <w:rFonts w:ascii="Book Antiqua" w:eastAsia="Times New Roman" w:hAnsi="Book Antiqua" w:cs="Arial"/>
          <w:b/>
          <w:bCs/>
          <w:sz w:val="19"/>
          <w:szCs w:val="19"/>
          <w:lang w:eastAsia="pt-BR"/>
        </w:rPr>
        <w:t xml:space="preserve"> </w:t>
      </w:r>
      <w:r w:rsidRPr="009A103F">
        <w:rPr>
          <w:rFonts w:ascii="Book Antiqua" w:eastAsia="Times New Roman" w:hAnsi="Book Antiqua" w:cs="Arial"/>
          <w:b/>
          <w:bCs/>
          <w:sz w:val="19"/>
          <w:szCs w:val="19"/>
          <w:highlight w:val="cyan"/>
          <w:lang w:eastAsia="pt-BR"/>
        </w:rPr>
        <w:t>nas áreas</w:t>
      </w:r>
      <w:r w:rsidRPr="009A103F">
        <w:rPr>
          <w:rFonts w:ascii="Book Antiqua" w:eastAsia="Times New Roman" w:hAnsi="Book Antiqua" w:cs="Arial"/>
          <w:b/>
          <w:bCs/>
          <w:sz w:val="19"/>
          <w:szCs w:val="19"/>
          <w:lang w:eastAsia="pt-BR"/>
        </w:rPr>
        <w:t xml:space="preserve"> de interesse ecológico, consideradas como tais as reservas biológicas ou florestais e os parques nacionais, estaduais ou municipais, assim </w:t>
      </w:r>
      <w:r w:rsidRPr="009A103F">
        <w:rPr>
          <w:rFonts w:ascii="Book Antiqua" w:eastAsia="Times New Roman" w:hAnsi="Book Antiqua" w:cs="Arial"/>
          <w:b/>
          <w:bCs/>
          <w:sz w:val="19"/>
          <w:szCs w:val="19"/>
          <w:lang w:eastAsia="pt-BR"/>
        </w:rPr>
        <w:lastRenderedPageBreak/>
        <w:t>declarados pelo Poder Executivo, assegurada aos atuais ocupantes a preferência para assentamento em outras regiões, pelo órgão competente</w:t>
      </w:r>
      <w:r w:rsidRPr="00C12136">
        <w:rPr>
          <w:rFonts w:ascii="Book Antiqua" w:eastAsia="Times New Roman" w:hAnsi="Book Antiqua" w:cs="Arial"/>
          <w:b/>
          <w:bCs/>
          <w:sz w:val="16"/>
          <w:szCs w:val="16"/>
          <w:lang w:eastAsia="pt-BR"/>
        </w:rPr>
        <w:t xml:space="preserve">. </w:t>
      </w:r>
      <w:r w:rsidR="00E17198" w:rsidRPr="00C12136">
        <w:rPr>
          <w:rFonts w:ascii="Book Antiqua" w:eastAsia="Times New Roman" w:hAnsi="Book Antiqua" w:cs="Times New Roman"/>
          <w:b/>
          <w:bCs/>
          <w:color w:val="FF0000"/>
          <w:sz w:val="16"/>
          <w:szCs w:val="16"/>
          <w:u w:val="single"/>
          <w:lang w:eastAsia="pt-BR"/>
        </w:rPr>
        <w:t>(DPEMA-2011)</w:t>
      </w:r>
      <w:r w:rsidR="009A103F" w:rsidRPr="00C12136">
        <w:rPr>
          <w:rFonts w:ascii="Book Antiqua" w:eastAsia="Times New Roman" w:hAnsi="Book Antiqua" w:cs="Times New Roman"/>
          <w:b/>
          <w:bCs/>
          <w:color w:val="FF0000"/>
          <w:sz w:val="16"/>
          <w:szCs w:val="16"/>
          <w:lang w:eastAsia="pt-BR"/>
        </w:rPr>
        <w:t xml:space="preserve"> </w:t>
      </w:r>
      <w:r w:rsidR="009A103F" w:rsidRPr="00C12136">
        <w:rPr>
          <w:rFonts w:ascii="Book Antiqua" w:eastAsia="Times New Roman" w:hAnsi="Book Antiqua" w:cs="Times New Roman"/>
          <w:b/>
          <w:bCs/>
          <w:color w:val="FF0000"/>
          <w:sz w:val="16"/>
          <w:szCs w:val="16"/>
          <w:u w:val="single"/>
          <w:lang w:eastAsia="pt-BR"/>
        </w:rPr>
        <w:t>(PGEBA-2014)</w:t>
      </w:r>
      <w:r w:rsidR="00700EBC" w:rsidRPr="00C12136">
        <w:rPr>
          <w:rFonts w:ascii="Book Antiqua" w:eastAsia="Times New Roman" w:hAnsi="Book Antiqua" w:cs="Times New Roman"/>
          <w:b/>
          <w:bCs/>
          <w:color w:val="FF0000"/>
          <w:sz w:val="16"/>
          <w:szCs w:val="16"/>
          <w:lang w:eastAsia="pt-BR"/>
        </w:rPr>
        <w:t xml:space="preserve"> </w:t>
      </w:r>
      <w:r w:rsidR="00700EBC" w:rsidRPr="00C12136">
        <w:rPr>
          <w:rFonts w:ascii="Book Antiqua" w:hAnsi="Book Antiqua"/>
          <w:b/>
          <w:color w:val="FF0000"/>
          <w:sz w:val="16"/>
          <w:szCs w:val="16"/>
          <w:u w:val="single"/>
        </w:rPr>
        <w:t>(PGEPI-2014)</w:t>
      </w:r>
      <w:r w:rsidR="00C12136">
        <w:rPr>
          <w:rFonts w:ascii="Book Antiqua" w:hAnsi="Book Antiqua"/>
          <w:b/>
          <w:color w:val="FF0000"/>
          <w:sz w:val="16"/>
          <w:szCs w:val="16"/>
        </w:rPr>
        <w:t xml:space="preserve"> </w:t>
      </w:r>
      <w:r w:rsidR="00C12136" w:rsidRPr="00E044FA">
        <w:rPr>
          <w:rFonts w:ascii="Book Antiqua" w:eastAsia="Times New Roman" w:hAnsi="Book Antiqua" w:cs="Times New Roman"/>
          <w:b/>
          <w:color w:val="FF0000"/>
          <w:sz w:val="16"/>
          <w:szCs w:val="16"/>
          <w:u w:val="single"/>
          <w:lang w:eastAsia="pt-BR"/>
        </w:rPr>
        <w:t>(TJGO-20</w:t>
      </w:r>
      <w:r w:rsidR="00C12136">
        <w:rPr>
          <w:rFonts w:ascii="Book Antiqua" w:eastAsia="Times New Roman" w:hAnsi="Book Antiqua" w:cs="Times New Roman"/>
          <w:b/>
          <w:color w:val="FF0000"/>
          <w:sz w:val="16"/>
          <w:szCs w:val="16"/>
          <w:u w:val="single"/>
          <w:lang w:eastAsia="pt-BR"/>
        </w:rPr>
        <w:t>21</w:t>
      </w:r>
      <w:r w:rsidR="00C12136" w:rsidRPr="00E044FA">
        <w:rPr>
          <w:rFonts w:ascii="Book Antiqua" w:eastAsia="Times New Roman" w:hAnsi="Book Antiqua" w:cs="Times New Roman"/>
          <w:b/>
          <w:color w:val="FF0000"/>
          <w:sz w:val="16"/>
          <w:szCs w:val="16"/>
          <w:u w:val="single"/>
          <w:lang w:eastAsia="pt-BR"/>
        </w:rPr>
        <w:t>)</w:t>
      </w:r>
    </w:p>
    <w:p w14:paraId="0EB4939D"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Parágrafo único. O Poder Executivo, ouvido o Conselho de Segurança Nacional, especificará, mediante decreto, no prazo de 90 (noventa) dias, contados da publicação desta Lei, as áreas indispensáveis à segurança nacional, insuscetíveis de usucapião. </w:t>
      </w:r>
    </w:p>
    <w:p w14:paraId="408FB01F" w14:textId="7F50B56C" w:rsidR="00E66E73" w:rsidRPr="00231A2E" w:rsidRDefault="00E66E73" w:rsidP="00693C3A">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B24366">
        <w:rPr>
          <w:rFonts w:ascii="Book Antiqua" w:eastAsia="Times New Roman" w:hAnsi="Book Antiqua" w:cs="Arial"/>
          <w:b/>
          <w:bCs/>
          <w:sz w:val="19"/>
          <w:szCs w:val="19"/>
          <w:highlight w:val="magenta"/>
          <w:lang w:eastAsia="pt-BR"/>
        </w:rPr>
        <w:t>Art. 4º</w:t>
      </w:r>
      <w:r w:rsidRPr="00E85BC9">
        <w:rPr>
          <w:rFonts w:ascii="Book Antiqua" w:eastAsia="Times New Roman" w:hAnsi="Book Antiqua" w:cs="Arial"/>
          <w:sz w:val="19"/>
          <w:szCs w:val="19"/>
          <w:lang w:eastAsia="pt-BR"/>
        </w:rPr>
        <w:t xml:space="preserve"> - </w:t>
      </w:r>
      <w:r w:rsidRPr="00231A2E">
        <w:rPr>
          <w:rFonts w:ascii="Book Antiqua" w:eastAsia="Times New Roman" w:hAnsi="Book Antiqua" w:cs="Arial"/>
          <w:b/>
          <w:bCs/>
          <w:sz w:val="19"/>
          <w:szCs w:val="19"/>
          <w:lang w:eastAsia="pt-BR"/>
        </w:rPr>
        <w:t xml:space="preserve">A ação de usucapião especial será processada e julgada na comarca da situação do imóvel. </w:t>
      </w:r>
      <w:r w:rsidR="00231A2E" w:rsidRPr="00231A2E">
        <w:rPr>
          <w:rFonts w:ascii="Book Antiqua" w:hAnsi="Book Antiqua"/>
          <w:b/>
          <w:bCs/>
          <w:color w:val="FF0000"/>
          <w:sz w:val="18"/>
          <w:szCs w:val="18"/>
          <w:u w:val="single"/>
        </w:rPr>
        <w:t>(PGEPI-2014)</w:t>
      </w:r>
    </w:p>
    <w:p w14:paraId="6364770B" w14:textId="35BCF761" w:rsidR="00E66E73" w:rsidRPr="00E85BC9" w:rsidRDefault="00E66E73" w:rsidP="00E85BC9">
      <w:pPr>
        <w:spacing w:before="100" w:beforeAutospacing="1" w:after="100" w:afterAutospacing="1" w:line="240" w:lineRule="auto"/>
        <w:ind w:firstLine="527"/>
        <w:jc w:val="both"/>
        <w:rPr>
          <w:rFonts w:ascii="Book Antiqua" w:eastAsia="Times New Roman" w:hAnsi="Book Antiqua" w:cs="Arial"/>
          <w:i/>
          <w:iCs/>
          <w:sz w:val="19"/>
          <w:szCs w:val="19"/>
          <w:lang w:eastAsia="pt-BR"/>
        </w:rPr>
      </w:pPr>
      <w:r w:rsidRPr="00E85BC9">
        <w:rPr>
          <w:rFonts w:ascii="Book Antiqua" w:eastAsia="Times New Roman" w:hAnsi="Book Antiqua" w:cs="Arial"/>
          <w:sz w:val="19"/>
          <w:szCs w:val="19"/>
          <w:lang w:eastAsia="pt-BR"/>
        </w:rPr>
        <w:t>§ 1º - Observado o disposto no art. 126 da Constituição Federal</w:t>
      </w:r>
      <w:r w:rsidR="00E85BC9" w:rsidRPr="00E85BC9">
        <w:rPr>
          <w:rFonts w:ascii="Book Antiqua" w:eastAsia="Times New Roman" w:hAnsi="Book Antiqua" w:cs="Arial"/>
          <w:sz w:val="19"/>
          <w:szCs w:val="19"/>
          <w:lang w:eastAsia="pt-BR"/>
        </w:rPr>
        <w:t xml:space="preserve"> </w:t>
      </w:r>
      <w:r w:rsidR="00E85BC9" w:rsidRPr="00E85BC9">
        <w:rPr>
          <w:rFonts w:ascii="Book Antiqua" w:eastAsia="Times New Roman" w:hAnsi="Book Antiqua" w:cs="Arial"/>
          <w:b/>
          <w:bCs/>
          <w:i/>
          <w:iCs/>
          <w:color w:val="FF0000"/>
          <w:sz w:val="19"/>
          <w:szCs w:val="19"/>
          <w:lang w:eastAsia="pt-BR"/>
        </w:rPr>
        <w:t>[obs.: art. 109, §3º da CF/88]</w:t>
      </w:r>
      <w:r w:rsidRPr="00E85BC9">
        <w:rPr>
          <w:rFonts w:ascii="Book Antiqua" w:eastAsia="Times New Roman" w:hAnsi="Book Antiqua" w:cs="Arial"/>
          <w:sz w:val="19"/>
          <w:szCs w:val="19"/>
          <w:lang w:eastAsia="pt-BR"/>
        </w:rPr>
        <w:t xml:space="preserve">, no caso de usucapião especial em terras devolutas federais, a ação será promovida na comarca da situação do imóvel, perante a Justiça do Estado, com recurso para o Tribunal Federal de Recursos, cabendo ao Ministério Público local, na primeira instância, a representação judicial da União. </w:t>
      </w:r>
      <w:r w:rsidR="00E85BC9" w:rsidRPr="00E85BC9">
        <w:rPr>
          <w:rFonts w:ascii="Book Antiqua" w:eastAsia="Times New Roman" w:hAnsi="Book Antiqua" w:cs="Arial"/>
          <w:b/>
          <w:bCs/>
          <w:i/>
          <w:iCs/>
          <w:color w:val="FF0000"/>
          <w:sz w:val="19"/>
          <w:szCs w:val="19"/>
          <w:lang w:eastAsia="pt-BR"/>
        </w:rPr>
        <w:t>[Obs.: Não recepcionado pela EC 103/2019]</w:t>
      </w:r>
    </w:p>
    <w:tbl>
      <w:tblPr>
        <w:tblStyle w:val="Tabelacomgrade"/>
        <w:tblW w:w="0" w:type="auto"/>
        <w:shd w:val="clear" w:color="auto" w:fill="CCFFFF"/>
        <w:tblLook w:val="04A0" w:firstRow="1" w:lastRow="0" w:firstColumn="1" w:lastColumn="0" w:noHBand="0" w:noVBand="1"/>
      </w:tblPr>
      <w:tblGrid>
        <w:gridCol w:w="8494"/>
      </w:tblGrid>
      <w:tr w:rsidR="00E85BC9" w:rsidRPr="00E85BC9" w14:paraId="60E5AD39" w14:textId="77777777" w:rsidTr="00064ACA">
        <w:tc>
          <w:tcPr>
            <w:tcW w:w="8494" w:type="dxa"/>
            <w:shd w:val="clear" w:color="auto" w:fill="CCFFFF"/>
          </w:tcPr>
          <w:p w14:paraId="0D4310BC" w14:textId="6830E606" w:rsidR="00E85BC9" w:rsidRPr="00E85BC9" w:rsidRDefault="00E85BC9" w:rsidP="00E85BC9">
            <w:pPr>
              <w:jc w:val="both"/>
              <w:rPr>
                <w:rFonts w:ascii="Book Antiqua" w:eastAsia="Times New Roman" w:hAnsi="Book Antiqua" w:cs="Arial"/>
                <w:sz w:val="19"/>
                <w:szCs w:val="19"/>
                <w:lang w:eastAsia="pt-BR"/>
              </w:rPr>
            </w:pPr>
            <w:r w:rsidRPr="00E85BC9">
              <w:rPr>
                <w:rFonts w:ascii="Book Antiqua" w:eastAsia="Times New Roman" w:hAnsi="Book Antiqua" w:cs="Arial"/>
                <w:b/>
                <w:bCs/>
                <w:i/>
                <w:iCs/>
                <w:color w:val="FF0000"/>
                <w:sz w:val="19"/>
                <w:szCs w:val="19"/>
                <w:lang w:eastAsia="pt-BR"/>
              </w:rPr>
              <w:t>#</w:t>
            </w:r>
            <w:r w:rsidRPr="00E85BC9">
              <w:rPr>
                <w:rFonts w:ascii="Book Antiqua" w:eastAsia="Times New Roman" w:hAnsi="Book Antiqua" w:cs="Arial"/>
                <w:b/>
                <w:bCs/>
                <w:i/>
                <w:iCs/>
                <w:color w:val="FF0000"/>
                <w:sz w:val="19"/>
                <w:szCs w:val="19"/>
                <w:highlight w:val="green"/>
                <w:lang w:eastAsia="pt-BR"/>
              </w:rPr>
              <w:t>Atenção</w:t>
            </w:r>
            <w:r w:rsidRPr="00E85BC9">
              <w:rPr>
                <w:rFonts w:ascii="Book Antiqua" w:eastAsia="Times New Roman" w:hAnsi="Book Antiqua" w:cs="Arial"/>
                <w:b/>
                <w:bCs/>
                <w:i/>
                <w:iCs/>
                <w:color w:val="FF0000"/>
                <w:sz w:val="19"/>
                <w:szCs w:val="19"/>
                <w:lang w:eastAsia="pt-BR"/>
              </w:rPr>
              <w:t>: #</w:t>
            </w:r>
            <w:r w:rsidRPr="00E85BC9">
              <w:rPr>
                <w:rFonts w:ascii="Book Antiqua" w:eastAsia="Times New Roman" w:hAnsi="Book Antiqua" w:cs="Arial"/>
                <w:b/>
                <w:bCs/>
                <w:i/>
                <w:iCs/>
                <w:color w:val="FF0000"/>
                <w:sz w:val="19"/>
                <w:szCs w:val="19"/>
                <w:highlight w:val="green"/>
                <w:lang w:eastAsia="pt-BR"/>
              </w:rPr>
              <w:t>DOD</w:t>
            </w:r>
            <w:r w:rsidRPr="00E85BC9">
              <w:rPr>
                <w:rFonts w:ascii="Book Antiqua" w:eastAsia="Times New Roman" w:hAnsi="Book Antiqua" w:cs="Arial"/>
                <w:sz w:val="19"/>
                <w:szCs w:val="19"/>
                <w:lang w:eastAsia="pt-BR"/>
              </w:rPr>
              <w:t>: Ocorre que a EC 103/19 (Reforma da Previdência) alterou o § 3º do art. 109 da CF/88. Assim, o art. 4º, § 1º da Lei 6.969/81 não foi recepcionado pela EC 103/19. Com isso, percebe-se que o art. 4º, § 1º da Lei 6.969/81 era compatível com a redação originária do art. 109, § 3º da CF/88, no entanto, com a mudança operada pela EC 103/2019, essa previsão legal perdeu fundamento constitucional. Logo, podemos concluir que, se a União, entidade autárquica ou empresa pública federal intervir na ação de usucapião especial, essa demanda terá que ser julgada pela Justiça Federal, considerando que não mais existe competência delegada da Justiça Estadual para o julgamento desta causa.</w:t>
            </w:r>
          </w:p>
        </w:tc>
      </w:tr>
    </w:tbl>
    <w:p w14:paraId="2037BC69" w14:textId="5B5AD8EE"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4A49">
        <w:rPr>
          <w:rFonts w:ascii="Book Antiqua" w:eastAsia="Times New Roman" w:hAnsi="Book Antiqua" w:cs="Arial"/>
          <w:b/>
          <w:bCs/>
          <w:sz w:val="19"/>
          <w:szCs w:val="19"/>
          <w:highlight w:val="magenta"/>
          <w:lang w:eastAsia="pt-BR"/>
        </w:rPr>
        <w:t>§ 2º</w:t>
      </w:r>
      <w:r w:rsidRPr="00214A49">
        <w:rPr>
          <w:rFonts w:ascii="Book Antiqua" w:eastAsia="Times New Roman" w:hAnsi="Book Antiqua" w:cs="Arial"/>
          <w:b/>
          <w:bCs/>
          <w:sz w:val="19"/>
          <w:szCs w:val="19"/>
          <w:lang w:eastAsia="pt-BR"/>
        </w:rPr>
        <w:t xml:space="preserve"> - No caso de terras devolutas, em geral, a usucapião especial poderá ser reconhecida </w:t>
      </w:r>
      <w:r w:rsidRPr="00214A49">
        <w:rPr>
          <w:rFonts w:ascii="Book Antiqua" w:eastAsia="Times New Roman" w:hAnsi="Book Antiqua" w:cs="Arial"/>
          <w:b/>
          <w:bCs/>
          <w:sz w:val="19"/>
          <w:szCs w:val="19"/>
          <w:highlight w:val="cyan"/>
          <w:lang w:eastAsia="pt-BR"/>
        </w:rPr>
        <w:t>administrativamente</w:t>
      </w:r>
      <w:r w:rsidRPr="00214A49">
        <w:rPr>
          <w:rFonts w:ascii="Book Antiqua" w:eastAsia="Times New Roman" w:hAnsi="Book Antiqua" w:cs="Arial"/>
          <w:b/>
          <w:bCs/>
          <w:sz w:val="19"/>
          <w:szCs w:val="19"/>
          <w:lang w:eastAsia="pt-BR"/>
        </w:rPr>
        <w:t xml:space="preserve">, com a </w:t>
      </w:r>
      <w:proofErr w:type="spellStart"/>
      <w:r w:rsidRPr="00214A49">
        <w:rPr>
          <w:rFonts w:ascii="Book Antiqua" w:eastAsia="Times New Roman" w:hAnsi="Book Antiqua" w:cs="Arial"/>
          <w:b/>
          <w:bCs/>
          <w:sz w:val="19"/>
          <w:szCs w:val="19"/>
          <w:lang w:eastAsia="pt-BR"/>
        </w:rPr>
        <w:t>conseqüente</w:t>
      </w:r>
      <w:proofErr w:type="spellEnd"/>
      <w:r w:rsidRPr="00214A49">
        <w:rPr>
          <w:rFonts w:ascii="Book Antiqua" w:eastAsia="Times New Roman" w:hAnsi="Book Antiqua" w:cs="Arial"/>
          <w:b/>
          <w:bCs/>
          <w:sz w:val="19"/>
          <w:szCs w:val="19"/>
          <w:lang w:eastAsia="pt-BR"/>
        </w:rPr>
        <w:t xml:space="preserve"> expedição do título definitivo de domínio, para transcrição no Registro de Imóveis</w:t>
      </w:r>
      <w:r w:rsidRPr="00E85BC9">
        <w:rPr>
          <w:rFonts w:ascii="Book Antiqua" w:eastAsia="Times New Roman" w:hAnsi="Book Antiqua" w:cs="Arial"/>
          <w:sz w:val="19"/>
          <w:szCs w:val="19"/>
          <w:lang w:eastAsia="pt-BR"/>
        </w:rPr>
        <w:t xml:space="preserve">. </w:t>
      </w:r>
      <w:r w:rsidR="00214A49">
        <w:rPr>
          <w:rFonts w:ascii="Book Antiqua" w:eastAsia="Times New Roman" w:hAnsi="Book Antiqua" w:cs="Times New Roman"/>
          <w:b/>
          <w:bCs/>
          <w:color w:val="FF0000"/>
          <w:sz w:val="18"/>
          <w:szCs w:val="18"/>
          <w:u w:val="single"/>
          <w:lang w:eastAsia="pt-BR"/>
        </w:rPr>
        <w:t>(PCBA-2018)</w:t>
      </w:r>
    </w:p>
    <w:tbl>
      <w:tblPr>
        <w:tblStyle w:val="Tabelacomgrade"/>
        <w:tblW w:w="0" w:type="auto"/>
        <w:shd w:val="clear" w:color="auto" w:fill="CCFFFF"/>
        <w:tblLook w:val="04A0" w:firstRow="1" w:lastRow="0" w:firstColumn="1" w:lastColumn="0" w:noHBand="0" w:noVBand="1"/>
      </w:tblPr>
      <w:tblGrid>
        <w:gridCol w:w="8494"/>
      </w:tblGrid>
      <w:tr w:rsidR="009251DE" w:rsidRPr="00E85BC9" w14:paraId="65F6EC99" w14:textId="77777777" w:rsidTr="009251DE">
        <w:tc>
          <w:tcPr>
            <w:tcW w:w="8494" w:type="dxa"/>
            <w:shd w:val="clear" w:color="auto" w:fill="CCFFFF"/>
          </w:tcPr>
          <w:p w14:paraId="1543D2B3" w14:textId="38324DBA" w:rsidR="009251DE" w:rsidRPr="00E85BC9" w:rsidRDefault="009251DE" w:rsidP="009251DE">
            <w:pPr>
              <w:spacing w:before="100" w:beforeAutospacing="1" w:after="100" w:afterAutospacing="1"/>
              <w:jc w:val="both"/>
              <w:rPr>
                <w:rFonts w:ascii="Book Antiqua" w:eastAsia="Times New Roman" w:hAnsi="Book Antiqua" w:cs="Arial"/>
                <w:sz w:val="19"/>
                <w:szCs w:val="19"/>
                <w:lang w:eastAsia="pt-BR"/>
              </w:rPr>
            </w:pPr>
            <w:r w:rsidRPr="00E85BC9">
              <w:rPr>
                <w:rFonts w:ascii="Book Antiqua" w:eastAsia="Times New Roman" w:hAnsi="Book Antiqua" w:cs="Arial"/>
                <w:b/>
                <w:bCs/>
                <w:i/>
                <w:iCs/>
                <w:color w:val="FF0000"/>
                <w:sz w:val="19"/>
                <w:szCs w:val="19"/>
                <w:lang w:eastAsia="pt-BR"/>
              </w:rPr>
              <w:t>#</w:t>
            </w:r>
            <w:r w:rsidRPr="00E85BC9">
              <w:rPr>
                <w:rFonts w:ascii="Book Antiqua" w:eastAsia="Times New Roman" w:hAnsi="Book Antiqua" w:cs="Arial"/>
                <w:b/>
                <w:bCs/>
                <w:i/>
                <w:iCs/>
                <w:color w:val="FF0000"/>
                <w:sz w:val="19"/>
                <w:szCs w:val="19"/>
                <w:highlight w:val="green"/>
                <w:lang w:eastAsia="pt-BR"/>
              </w:rPr>
              <w:t>Atenção</w:t>
            </w:r>
            <w:r w:rsidRPr="00E85BC9">
              <w:rPr>
                <w:rFonts w:ascii="Book Antiqua" w:eastAsia="Times New Roman" w:hAnsi="Book Antiqua" w:cs="Arial"/>
                <w:b/>
                <w:bCs/>
                <w:i/>
                <w:iCs/>
                <w:color w:val="FF0000"/>
                <w:sz w:val="19"/>
                <w:szCs w:val="19"/>
                <w:lang w:eastAsia="pt-BR"/>
              </w:rPr>
              <w:t>: #</w:t>
            </w:r>
            <w:r w:rsidRPr="00E85BC9">
              <w:rPr>
                <w:rFonts w:ascii="Book Antiqua" w:eastAsia="Times New Roman" w:hAnsi="Book Antiqua" w:cs="Arial"/>
                <w:b/>
                <w:bCs/>
                <w:i/>
                <w:iCs/>
                <w:color w:val="FF0000"/>
                <w:sz w:val="19"/>
                <w:szCs w:val="19"/>
                <w:highlight w:val="green"/>
                <w:lang w:eastAsia="pt-BR"/>
              </w:rPr>
              <w:t>TJGO-2012</w:t>
            </w:r>
            <w:r w:rsidRPr="00E85BC9">
              <w:rPr>
                <w:rFonts w:ascii="Book Antiqua" w:eastAsia="Times New Roman" w:hAnsi="Book Antiqua" w:cs="Arial"/>
                <w:b/>
                <w:bCs/>
                <w:i/>
                <w:iCs/>
                <w:color w:val="FF0000"/>
                <w:sz w:val="19"/>
                <w:szCs w:val="19"/>
                <w:lang w:eastAsia="pt-BR"/>
              </w:rPr>
              <w:t>: #</w:t>
            </w:r>
            <w:r w:rsidRPr="00E85BC9">
              <w:rPr>
                <w:rFonts w:ascii="Book Antiqua" w:eastAsia="Times New Roman" w:hAnsi="Book Antiqua" w:cs="Arial"/>
                <w:b/>
                <w:bCs/>
                <w:i/>
                <w:iCs/>
                <w:color w:val="FF0000"/>
                <w:sz w:val="19"/>
                <w:szCs w:val="19"/>
                <w:highlight w:val="green"/>
                <w:lang w:eastAsia="pt-BR"/>
              </w:rPr>
              <w:t>FCC</w:t>
            </w:r>
            <w:r w:rsidRPr="00E85BC9">
              <w:rPr>
                <w:rFonts w:ascii="Book Antiqua" w:eastAsia="Times New Roman" w:hAnsi="Book Antiqua" w:cs="Arial"/>
                <w:sz w:val="19"/>
                <w:szCs w:val="19"/>
                <w:lang w:eastAsia="pt-BR"/>
              </w:rPr>
              <w:t xml:space="preserve">: A doutrina afirma que o art. 4º, §2º da Lei 6.969/81 é incompatível com o § único do art. 191, da CF, que veda a usucapião de imóveis públicos. Considerando que as terras devolutas, devidamente reconhecidas em processos discriminatórios, são bens públicos, portanto, </w:t>
            </w:r>
            <w:proofErr w:type="spellStart"/>
            <w:r w:rsidRPr="00E85BC9">
              <w:rPr>
                <w:rFonts w:ascii="Book Antiqua" w:eastAsia="Times New Roman" w:hAnsi="Book Antiqua" w:cs="Arial"/>
                <w:sz w:val="19"/>
                <w:szCs w:val="19"/>
                <w:lang w:eastAsia="pt-BR"/>
              </w:rPr>
              <w:t>inusucapíveis</w:t>
            </w:r>
            <w:proofErr w:type="spellEnd"/>
            <w:r w:rsidRPr="00E85BC9">
              <w:rPr>
                <w:rFonts w:ascii="Book Antiqua" w:eastAsia="Times New Roman" w:hAnsi="Book Antiqua" w:cs="Arial"/>
                <w:sz w:val="19"/>
                <w:szCs w:val="19"/>
                <w:lang w:eastAsia="pt-BR"/>
              </w:rPr>
              <w:t>. Além disso, quanto à decisão do STJ (05.01.10) acerca da possibilidade de usucapião em terras devolutas de fronteiras, tem a particularidade de mencionar que nestas terras não há presunção de reconhecimento como devolutas, face a ausência de registro. (Confira em http://www.stj.jus.br/portal_stj/publicacao/engine.wsp?tmp.area=398&amp;tmp.texto=95459).</w:t>
            </w:r>
          </w:p>
        </w:tc>
      </w:tr>
    </w:tbl>
    <w:p w14:paraId="4CDFA60A"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 3º - O Poder Executivo, dentro de 90 (noventa) dias, contados da publicação desta Lei, estabelecerá, por decreto, a forma do procedimento administrativo a que se refere o parágrafo anterior. </w:t>
      </w:r>
    </w:p>
    <w:p w14:paraId="3AF19C29"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 4º - Se, decorridos 90 (noventa) dias do pedido ao órgão administrativo, não houver a expedição do título de domínio, o interessado poderá ingressar com a ação de usucapião especial, na forma prevista nesta Lei, vedada a concomitância dos pedidos administrativo e judicial. </w:t>
      </w:r>
    </w:p>
    <w:p w14:paraId="62009228" w14:textId="1F02F86D" w:rsidR="00E66E73" w:rsidRPr="00231A2E" w:rsidRDefault="00E66E73" w:rsidP="00693C3A">
      <w:pPr>
        <w:spacing w:before="100" w:beforeAutospacing="1" w:after="100" w:afterAutospacing="1" w:line="240" w:lineRule="auto"/>
        <w:ind w:firstLine="525"/>
        <w:jc w:val="both"/>
        <w:rPr>
          <w:rFonts w:ascii="Book Antiqua" w:eastAsia="Times New Roman" w:hAnsi="Book Antiqua" w:cs="Arial"/>
          <w:b/>
          <w:sz w:val="18"/>
          <w:szCs w:val="18"/>
          <w:lang w:eastAsia="pt-BR"/>
        </w:rPr>
      </w:pPr>
      <w:r w:rsidRPr="00E85BC9">
        <w:rPr>
          <w:rFonts w:ascii="Book Antiqua" w:eastAsia="Times New Roman" w:hAnsi="Book Antiqua" w:cs="Arial"/>
          <w:b/>
          <w:sz w:val="19"/>
          <w:szCs w:val="19"/>
          <w:highlight w:val="magenta"/>
          <w:lang w:eastAsia="pt-BR"/>
        </w:rPr>
        <w:t>Art. 5º</w:t>
      </w:r>
      <w:r w:rsidR="00231A2E">
        <w:rPr>
          <w:rFonts w:ascii="Book Antiqua" w:eastAsia="Times New Roman" w:hAnsi="Book Antiqua" w:cs="Arial"/>
          <w:b/>
          <w:sz w:val="19"/>
          <w:szCs w:val="19"/>
          <w:lang w:eastAsia="pt-BR"/>
        </w:rPr>
        <w:t>.</w:t>
      </w:r>
      <w:r w:rsidRPr="00E85BC9">
        <w:rPr>
          <w:rFonts w:ascii="Book Antiqua" w:eastAsia="Times New Roman" w:hAnsi="Book Antiqua" w:cs="Arial"/>
          <w:sz w:val="19"/>
          <w:szCs w:val="19"/>
          <w:lang w:eastAsia="pt-BR"/>
        </w:rPr>
        <w:t xml:space="preserve"> </w:t>
      </w:r>
      <w:r w:rsidRPr="00231A2E">
        <w:rPr>
          <w:rFonts w:ascii="Book Antiqua" w:eastAsia="Times New Roman" w:hAnsi="Book Antiqua" w:cs="Arial"/>
          <w:b/>
          <w:bCs/>
          <w:caps/>
          <w:sz w:val="19"/>
          <w:szCs w:val="19"/>
          <w:highlight w:val="green"/>
          <w:lang w:eastAsia="pt-BR"/>
        </w:rPr>
        <w:t>Adotar-se-á</w:t>
      </w:r>
      <w:r w:rsidRPr="00231A2E">
        <w:rPr>
          <w:rFonts w:ascii="Book Antiqua" w:eastAsia="Times New Roman" w:hAnsi="Book Antiqua" w:cs="Arial"/>
          <w:b/>
          <w:bCs/>
          <w:sz w:val="19"/>
          <w:szCs w:val="19"/>
          <w:lang w:eastAsia="pt-BR"/>
        </w:rPr>
        <w:t xml:space="preserve">, </w:t>
      </w:r>
      <w:r w:rsidRPr="00231A2E">
        <w:rPr>
          <w:rFonts w:ascii="Book Antiqua" w:eastAsia="Times New Roman" w:hAnsi="Book Antiqua" w:cs="Arial"/>
          <w:b/>
          <w:bCs/>
          <w:sz w:val="19"/>
          <w:szCs w:val="19"/>
          <w:highlight w:val="cyan"/>
          <w:lang w:eastAsia="pt-BR"/>
        </w:rPr>
        <w:t>na ação de usucapião especial</w:t>
      </w:r>
      <w:r w:rsidRPr="00231A2E">
        <w:rPr>
          <w:rFonts w:ascii="Book Antiqua" w:eastAsia="Times New Roman" w:hAnsi="Book Antiqua" w:cs="Arial"/>
          <w:b/>
          <w:bCs/>
          <w:sz w:val="19"/>
          <w:szCs w:val="19"/>
          <w:lang w:eastAsia="pt-BR"/>
        </w:rPr>
        <w:t xml:space="preserve">, o </w:t>
      </w:r>
      <w:r w:rsidRPr="00231A2E">
        <w:rPr>
          <w:rFonts w:ascii="Book Antiqua" w:eastAsia="Times New Roman" w:hAnsi="Book Antiqua" w:cs="Arial"/>
          <w:b/>
          <w:bCs/>
          <w:caps/>
          <w:sz w:val="19"/>
          <w:szCs w:val="19"/>
          <w:shd w:val="clear" w:color="auto" w:fill="F7CAAC" w:themeFill="accent2" w:themeFillTint="66"/>
          <w:lang w:eastAsia="pt-BR"/>
        </w:rPr>
        <w:t>procedimento sumaríssimo</w:t>
      </w:r>
      <w:r w:rsidRPr="00231A2E">
        <w:rPr>
          <w:rFonts w:ascii="Book Antiqua" w:eastAsia="Times New Roman" w:hAnsi="Book Antiqua" w:cs="Arial"/>
          <w:b/>
          <w:bCs/>
          <w:sz w:val="19"/>
          <w:szCs w:val="19"/>
          <w:lang w:eastAsia="pt-BR"/>
        </w:rPr>
        <w:t xml:space="preserve">, </w:t>
      </w:r>
      <w:r w:rsidRPr="00231A2E">
        <w:rPr>
          <w:rFonts w:ascii="Book Antiqua" w:eastAsia="Times New Roman" w:hAnsi="Book Antiqua" w:cs="Arial"/>
          <w:b/>
          <w:bCs/>
          <w:caps/>
          <w:sz w:val="19"/>
          <w:szCs w:val="19"/>
          <w:highlight w:val="green"/>
          <w:lang w:eastAsia="pt-BR"/>
        </w:rPr>
        <w:t>assegurada</w:t>
      </w:r>
      <w:r w:rsidRPr="00231A2E">
        <w:rPr>
          <w:rFonts w:ascii="Book Antiqua" w:eastAsia="Times New Roman" w:hAnsi="Book Antiqua" w:cs="Arial"/>
          <w:b/>
          <w:bCs/>
          <w:sz w:val="19"/>
          <w:szCs w:val="19"/>
          <w:lang w:eastAsia="pt-BR"/>
        </w:rPr>
        <w:t xml:space="preserve"> </w:t>
      </w:r>
      <w:r w:rsidRPr="00231A2E">
        <w:rPr>
          <w:rFonts w:ascii="Book Antiqua" w:eastAsia="Times New Roman" w:hAnsi="Book Antiqua" w:cs="Arial"/>
          <w:b/>
          <w:bCs/>
          <w:sz w:val="19"/>
          <w:szCs w:val="19"/>
          <w:highlight w:val="yellow"/>
          <w:lang w:eastAsia="pt-BR"/>
        </w:rPr>
        <w:t>a preferência</w:t>
      </w:r>
      <w:r w:rsidRPr="00231A2E">
        <w:rPr>
          <w:rFonts w:ascii="Book Antiqua" w:eastAsia="Times New Roman" w:hAnsi="Book Antiqua" w:cs="Arial"/>
          <w:b/>
          <w:bCs/>
          <w:sz w:val="19"/>
          <w:szCs w:val="19"/>
          <w:lang w:eastAsia="pt-BR"/>
        </w:rPr>
        <w:t xml:space="preserve"> </w:t>
      </w:r>
      <w:r w:rsidRPr="00231A2E">
        <w:rPr>
          <w:rFonts w:ascii="Book Antiqua" w:eastAsia="Times New Roman" w:hAnsi="Book Antiqua" w:cs="Arial"/>
          <w:b/>
          <w:bCs/>
          <w:sz w:val="19"/>
          <w:szCs w:val="19"/>
          <w:highlight w:val="cyan"/>
          <w:lang w:eastAsia="pt-BR"/>
        </w:rPr>
        <w:t>à sua instrução e julgamento</w:t>
      </w:r>
      <w:r w:rsidRPr="00590D71">
        <w:rPr>
          <w:rFonts w:ascii="Book Antiqua" w:eastAsia="Times New Roman" w:hAnsi="Book Antiqua" w:cs="Arial"/>
          <w:sz w:val="18"/>
          <w:szCs w:val="18"/>
          <w:lang w:eastAsia="pt-BR"/>
        </w:rPr>
        <w:t xml:space="preserve">. </w:t>
      </w:r>
      <w:r w:rsidR="00384458" w:rsidRPr="00590D71">
        <w:rPr>
          <w:rFonts w:ascii="Book Antiqua" w:eastAsia="Times New Roman" w:hAnsi="Book Antiqua" w:cs="Arial"/>
          <w:b/>
          <w:color w:val="FF0000"/>
          <w:sz w:val="18"/>
          <w:szCs w:val="18"/>
          <w:u w:val="single"/>
          <w:lang w:eastAsia="pt-BR"/>
        </w:rPr>
        <w:t>(DPESP-2006)</w:t>
      </w:r>
      <w:r w:rsidR="00E17198" w:rsidRPr="00590D71">
        <w:rPr>
          <w:rFonts w:ascii="Book Antiqua" w:eastAsia="Times New Roman" w:hAnsi="Book Antiqua" w:cs="Arial"/>
          <w:b/>
          <w:color w:val="FF0000"/>
          <w:sz w:val="18"/>
          <w:szCs w:val="18"/>
          <w:lang w:eastAsia="pt-BR"/>
        </w:rPr>
        <w:t xml:space="preserve"> </w:t>
      </w:r>
      <w:bookmarkStart w:id="2" w:name="_Hlk76650597"/>
      <w:r w:rsidR="00E17198" w:rsidRPr="00590D71">
        <w:rPr>
          <w:rFonts w:ascii="Book Antiqua" w:eastAsia="Times New Roman" w:hAnsi="Book Antiqua" w:cs="Times New Roman"/>
          <w:b/>
          <w:color w:val="FF0000"/>
          <w:sz w:val="18"/>
          <w:szCs w:val="18"/>
          <w:u w:val="single"/>
          <w:lang w:eastAsia="pt-BR"/>
        </w:rPr>
        <w:t>(DPEMA-2011)</w:t>
      </w:r>
      <w:bookmarkEnd w:id="2"/>
      <w:r w:rsidR="009251DE" w:rsidRPr="00590D71">
        <w:rPr>
          <w:rFonts w:ascii="Book Antiqua" w:eastAsia="Times New Roman" w:hAnsi="Book Antiqua" w:cs="Arial"/>
          <w:b/>
          <w:color w:val="FF0000"/>
          <w:sz w:val="18"/>
          <w:szCs w:val="18"/>
          <w:lang w:eastAsia="pt-BR"/>
        </w:rPr>
        <w:t xml:space="preserve"> </w:t>
      </w:r>
      <w:r w:rsidR="009251DE" w:rsidRPr="00590D71">
        <w:rPr>
          <w:rFonts w:ascii="Book Antiqua" w:eastAsia="Times New Roman" w:hAnsi="Book Antiqua" w:cs="Arial"/>
          <w:b/>
          <w:color w:val="FF0000"/>
          <w:sz w:val="18"/>
          <w:szCs w:val="18"/>
          <w:u w:val="single"/>
          <w:lang w:eastAsia="pt-BR"/>
        </w:rPr>
        <w:t>(TJGO-2012)</w:t>
      </w:r>
      <w:r w:rsidR="00B24366" w:rsidRPr="00590D71">
        <w:rPr>
          <w:rFonts w:ascii="Book Antiqua" w:eastAsia="Times New Roman" w:hAnsi="Book Antiqua" w:cs="Arial"/>
          <w:b/>
          <w:color w:val="FF0000"/>
          <w:sz w:val="18"/>
          <w:szCs w:val="18"/>
          <w:lang w:eastAsia="pt-BR"/>
        </w:rPr>
        <w:t xml:space="preserve"> </w:t>
      </w:r>
      <w:r w:rsidR="00B24366" w:rsidRPr="00590D71">
        <w:rPr>
          <w:rFonts w:ascii="Book Antiqua" w:eastAsia="Times New Roman" w:hAnsi="Book Antiqua" w:cs="Times New Roman"/>
          <w:b/>
          <w:color w:val="FF0000"/>
          <w:sz w:val="18"/>
          <w:szCs w:val="18"/>
          <w:u w:val="single"/>
          <w:lang w:eastAsia="pt-BR"/>
        </w:rPr>
        <w:t>(DPESE-2012)</w:t>
      </w:r>
      <w:r w:rsidR="00231A2E">
        <w:rPr>
          <w:rFonts w:ascii="Book Antiqua" w:eastAsia="Times New Roman" w:hAnsi="Book Antiqua" w:cs="Times New Roman"/>
          <w:b/>
          <w:color w:val="FF0000"/>
          <w:sz w:val="18"/>
          <w:szCs w:val="18"/>
          <w:lang w:eastAsia="pt-BR"/>
        </w:rPr>
        <w:t xml:space="preserve"> </w:t>
      </w:r>
      <w:r w:rsidR="00231A2E">
        <w:rPr>
          <w:rFonts w:ascii="Book Antiqua" w:hAnsi="Book Antiqua"/>
          <w:b/>
          <w:color w:val="FF0000"/>
          <w:sz w:val="18"/>
          <w:szCs w:val="18"/>
          <w:u w:val="single"/>
        </w:rPr>
        <w:t>(PGEPI-2014)</w:t>
      </w:r>
    </w:p>
    <w:p w14:paraId="4AF3EA63" w14:textId="718D64C1" w:rsidR="00E66E73" w:rsidRPr="00231A2E" w:rsidRDefault="00E66E73" w:rsidP="00693C3A">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8066DD">
        <w:rPr>
          <w:rFonts w:ascii="Book Antiqua" w:eastAsia="Times New Roman" w:hAnsi="Book Antiqua" w:cs="Arial"/>
          <w:b/>
          <w:bCs/>
          <w:sz w:val="19"/>
          <w:szCs w:val="19"/>
          <w:highlight w:val="magenta"/>
          <w:lang w:eastAsia="pt-BR"/>
        </w:rPr>
        <w:t>§ 1º</w:t>
      </w:r>
      <w:r w:rsidRPr="008066DD">
        <w:rPr>
          <w:rFonts w:ascii="Book Antiqua" w:eastAsia="Times New Roman" w:hAnsi="Book Antiqua" w:cs="Arial"/>
          <w:b/>
          <w:bCs/>
          <w:sz w:val="19"/>
          <w:szCs w:val="19"/>
          <w:lang w:eastAsia="pt-BR"/>
        </w:rPr>
        <w:t xml:space="preserve"> </w:t>
      </w:r>
      <w:r w:rsidRPr="00E85BC9">
        <w:rPr>
          <w:rFonts w:ascii="Book Antiqua" w:eastAsia="Times New Roman" w:hAnsi="Book Antiqua" w:cs="Arial"/>
          <w:sz w:val="19"/>
          <w:szCs w:val="19"/>
          <w:lang w:eastAsia="pt-BR"/>
        </w:rPr>
        <w:t xml:space="preserve">- </w:t>
      </w:r>
      <w:r w:rsidRPr="00231A2E">
        <w:rPr>
          <w:rFonts w:ascii="Book Antiqua" w:eastAsia="Times New Roman" w:hAnsi="Book Antiqua" w:cs="Arial"/>
          <w:b/>
          <w:bCs/>
          <w:sz w:val="19"/>
          <w:szCs w:val="19"/>
          <w:lang w:eastAsia="pt-BR"/>
        </w:rPr>
        <w:t>O autor, expondo o fundamento do pedido e individualizando o imóvel, com dispensa da juntada da respectiva planta, poderá requerer, na petição inicial, designação de audiência preliminar, a fim de justificar a posse, e, se comprovada esta, será nela mantido, liminarmente, até a decisão final da causa.</w:t>
      </w:r>
      <w:r w:rsidR="00B24366" w:rsidRPr="00231A2E">
        <w:rPr>
          <w:rFonts w:ascii="Book Antiqua" w:eastAsia="Times New Roman" w:hAnsi="Book Antiqua" w:cs="Arial"/>
          <w:b/>
          <w:bCs/>
          <w:sz w:val="19"/>
          <w:szCs w:val="19"/>
          <w:lang w:eastAsia="pt-BR"/>
        </w:rPr>
        <w:t xml:space="preserve"> </w:t>
      </w:r>
      <w:r w:rsidR="00B24366" w:rsidRPr="00231A2E">
        <w:rPr>
          <w:rFonts w:ascii="Book Antiqua" w:eastAsia="Times New Roman" w:hAnsi="Book Antiqua" w:cs="Times New Roman"/>
          <w:b/>
          <w:bCs/>
          <w:color w:val="FF0000"/>
          <w:sz w:val="18"/>
          <w:szCs w:val="18"/>
          <w:u w:val="single"/>
          <w:lang w:eastAsia="pt-BR"/>
        </w:rPr>
        <w:t>(DPESE-2012)</w:t>
      </w:r>
      <w:r w:rsidRPr="00231A2E">
        <w:rPr>
          <w:rFonts w:ascii="Book Antiqua" w:eastAsia="Times New Roman" w:hAnsi="Book Antiqua" w:cs="Arial"/>
          <w:b/>
          <w:bCs/>
          <w:sz w:val="18"/>
          <w:szCs w:val="18"/>
          <w:lang w:eastAsia="pt-BR"/>
        </w:rPr>
        <w:t xml:space="preserve"> </w:t>
      </w:r>
      <w:r w:rsidR="008066DD" w:rsidRPr="00231A2E">
        <w:rPr>
          <w:rFonts w:ascii="Book Antiqua" w:hAnsi="Book Antiqua"/>
          <w:b/>
          <w:bCs/>
          <w:color w:val="FF0000"/>
          <w:sz w:val="18"/>
          <w:szCs w:val="18"/>
          <w:u w:val="single"/>
        </w:rPr>
        <w:t>(DPEMG-2019)</w:t>
      </w:r>
    </w:p>
    <w:p w14:paraId="0A73BA59"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 2º - O autor requererá também a citação pessoal daquele em cujo nome esteja transcrito o imóvel usucapiendo, bem como dos confinantes e, por edital, dos réus ausentes, incertos e desconhecidos, na forma do </w:t>
      </w:r>
      <w:hyperlink r:id="rId8" w:anchor="art232" w:history="1">
        <w:r w:rsidRPr="00E85BC9">
          <w:rPr>
            <w:rFonts w:ascii="Book Antiqua" w:eastAsia="Times New Roman" w:hAnsi="Book Antiqua" w:cs="Arial"/>
            <w:color w:val="0000FF"/>
            <w:sz w:val="19"/>
            <w:szCs w:val="19"/>
            <w:u w:val="single"/>
            <w:lang w:eastAsia="pt-BR"/>
          </w:rPr>
          <w:t>art. 232 do Código de Processo Civil</w:t>
        </w:r>
      </w:hyperlink>
      <w:r w:rsidRPr="00E85BC9">
        <w:rPr>
          <w:rFonts w:ascii="Book Antiqua" w:eastAsia="Times New Roman" w:hAnsi="Book Antiqua" w:cs="Arial"/>
          <w:sz w:val="19"/>
          <w:szCs w:val="19"/>
          <w:lang w:eastAsia="pt-BR"/>
        </w:rPr>
        <w:t xml:space="preserve">, valendo a citação para todos os atos do processo. </w:t>
      </w:r>
    </w:p>
    <w:p w14:paraId="14C0AEC5"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lastRenderedPageBreak/>
        <w:t xml:space="preserve">§ 3º - Serão cientificados por carta, para que manifestem interesse na causa, os representantes da Fazenda Pública da União, dos Estados, do Distrito Federal, dos Territórios e dos Municípios, no prazo de 45 (quarenta e cinco) dias. </w:t>
      </w:r>
    </w:p>
    <w:p w14:paraId="3EFD6527"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 4º - O prazo para contestar a ação correrá da intimação da decisão que declarar justificada a posse. </w:t>
      </w:r>
    </w:p>
    <w:p w14:paraId="1A1E5BBE" w14:textId="197F3A89" w:rsidR="00E66E73" w:rsidRDefault="00E66E73" w:rsidP="00693C3A">
      <w:pPr>
        <w:spacing w:before="100" w:beforeAutospacing="1" w:after="100" w:afterAutospacing="1" w:line="240" w:lineRule="auto"/>
        <w:ind w:firstLine="525"/>
        <w:jc w:val="both"/>
        <w:rPr>
          <w:rFonts w:ascii="Book Antiqua" w:hAnsi="Book Antiqua"/>
          <w:b/>
          <w:color w:val="FF0000"/>
          <w:sz w:val="18"/>
          <w:szCs w:val="18"/>
        </w:rPr>
      </w:pPr>
      <w:r w:rsidRPr="00E17198">
        <w:rPr>
          <w:rFonts w:ascii="Book Antiqua" w:eastAsia="Times New Roman" w:hAnsi="Book Antiqua" w:cs="Arial"/>
          <w:b/>
          <w:bCs/>
          <w:sz w:val="19"/>
          <w:szCs w:val="19"/>
          <w:highlight w:val="magenta"/>
          <w:lang w:eastAsia="pt-BR"/>
        </w:rPr>
        <w:t>§ 5º</w:t>
      </w:r>
      <w:r w:rsidRPr="00E85BC9">
        <w:rPr>
          <w:rFonts w:ascii="Book Antiqua" w:eastAsia="Times New Roman" w:hAnsi="Book Antiqua" w:cs="Arial"/>
          <w:sz w:val="19"/>
          <w:szCs w:val="19"/>
          <w:lang w:eastAsia="pt-BR"/>
        </w:rPr>
        <w:t xml:space="preserve"> - </w:t>
      </w:r>
      <w:r w:rsidRPr="00E17198">
        <w:rPr>
          <w:rFonts w:ascii="Book Antiqua" w:eastAsia="Times New Roman" w:hAnsi="Book Antiqua" w:cs="Arial"/>
          <w:b/>
          <w:bCs/>
          <w:caps/>
          <w:sz w:val="19"/>
          <w:szCs w:val="19"/>
          <w:highlight w:val="green"/>
          <w:lang w:eastAsia="pt-BR"/>
        </w:rPr>
        <w:t>Intervirá</w:t>
      </w:r>
      <w:r w:rsidRPr="00E85BC9">
        <w:rPr>
          <w:rFonts w:ascii="Book Antiqua" w:eastAsia="Times New Roman" w:hAnsi="Book Antiqua" w:cs="Arial"/>
          <w:sz w:val="19"/>
          <w:szCs w:val="19"/>
          <w:lang w:eastAsia="pt-BR"/>
        </w:rPr>
        <w:t xml:space="preserve">, </w:t>
      </w:r>
      <w:r w:rsidRPr="00E17198">
        <w:rPr>
          <w:rFonts w:ascii="Book Antiqua" w:eastAsia="Times New Roman" w:hAnsi="Book Antiqua" w:cs="Arial"/>
          <w:b/>
          <w:bCs/>
          <w:caps/>
          <w:sz w:val="19"/>
          <w:szCs w:val="19"/>
          <w:shd w:val="clear" w:color="auto" w:fill="F7CAAC" w:themeFill="accent2" w:themeFillTint="66"/>
          <w:lang w:eastAsia="pt-BR"/>
        </w:rPr>
        <w:t>obrigatoriamente</w:t>
      </w:r>
      <w:r w:rsidRPr="00E85BC9">
        <w:rPr>
          <w:rFonts w:ascii="Book Antiqua" w:eastAsia="Times New Roman" w:hAnsi="Book Antiqua" w:cs="Arial"/>
          <w:sz w:val="19"/>
          <w:szCs w:val="19"/>
          <w:lang w:eastAsia="pt-BR"/>
        </w:rPr>
        <w:t xml:space="preserve">, </w:t>
      </w:r>
      <w:r w:rsidRPr="00E17198">
        <w:rPr>
          <w:rFonts w:ascii="Book Antiqua" w:eastAsia="Times New Roman" w:hAnsi="Book Antiqua" w:cs="Arial"/>
          <w:b/>
          <w:bCs/>
          <w:sz w:val="19"/>
          <w:szCs w:val="19"/>
          <w:highlight w:val="cyan"/>
          <w:lang w:eastAsia="pt-BR"/>
        </w:rPr>
        <w:t>em todos os atos do processo</w:t>
      </w:r>
      <w:r w:rsidRPr="00E85BC9">
        <w:rPr>
          <w:rFonts w:ascii="Book Antiqua" w:eastAsia="Times New Roman" w:hAnsi="Book Antiqua" w:cs="Arial"/>
          <w:sz w:val="19"/>
          <w:szCs w:val="19"/>
          <w:lang w:eastAsia="pt-BR"/>
        </w:rPr>
        <w:t xml:space="preserve">, </w:t>
      </w:r>
      <w:r w:rsidRPr="00E17198">
        <w:rPr>
          <w:rFonts w:ascii="Book Antiqua" w:eastAsia="Times New Roman" w:hAnsi="Book Antiqua" w:cs="Arial"/>
          <w:b/>
          <w:bCs/>
          <w:sz w:val="19"/>
          <w:szCs w:val="19"/>
          <w:highlight w:val="yellow"/>
          <w:lang w:eastAsia="pt-BR"/>
        </w:rPr>
        <w:t>o Ministério Público</w:t>
      </w:r>
      <w:r w:rsidRPr="00590D71">
        <w:rPr>
          <w:rFonts w:ascii="Book Antiqua" w:eastAsia="Times New Roman" w:hAnsi="Book Antiqua" w:cs="Arial"/>
          <w:sz w:val="18"/>
          <w:szCs w:val="18"/>
          <w:lang w:eastAsia="pt-BR"/>
        </w:rPr>
        <w:t xml:space="preserve">. </w:t>
      </w:r>
      <w:r w:rsidR="00E17198" w:rsidRPr="00590D71">
        <w:rPr>
          <w:rFonts w:ascii="Book Antiqua" w:eastAsia="Times New Roman" w:hAnsi="Book Antiqua" w:cs="Times New Roman"/>
          <w:b/>
          <w:color w:val="FF0000"/>
          <w:sz w:val="18"/>
          <w:szCs w:val="18"/>
          <w:u w:val="single"/>
          <w:lang w:eastAsia="pt-BR"/>
        </w:rPr>
        <w:t>(DPEMA-2011)</w:t>
      </w:r>
      <w:r w:rsidR="00231A2E">
        <w:rPr>
          <w:rFonts w:ascii="Book Antiqua" w:eastAsia="Times New Roman" w:hAnsi="Book Antiqua" w:cs="Times New Roman"/>
          <w:b/>
          <w:color w:val="FF0000"/>
          <w:sz w:val="18"/>
          <w:szCs w:val="18"/>
          <w:lang w:eastAsia="pt-BR"/>
        </w:rPr>
        <w:t xml:space="preserve"> </w:t>
      </w:r>
      <w:bookmarkStart w:id="3" w:name="_Hlk121831710"/>
      <w:r w:rsidR="00231A2E">
        <w:rPr>
          <w:rFonts w:ascii="Book Antiqua" w:hAnsi="Book Antiqua"/>
          <w:b/>
          <w:color w:val="FF0000"/>
          <w:sz w:val="18"/>
          <w:szCs w:val="18"/>
          <w:u w:val="single"/>
        </w:rPr>
        <w:t>(PGEPI-2014)</w:t>
      </w:r>
      <w:bookmarkEnd w:id="3"/>
    </w:p>
    <w:tbl>
      <w:tblPr>
        <w:tblStyle w:val="Tabelacomgrade"/>
        <w:tblW w:w="0" w:type="auto"/>
        <w:tblLook w:val="04A0" w:firstRow="1" w:lastRow="0" w:firstColumn="1" w:lastColumn="0" w:noHBand="0" w:noVBand="1"/>
      </w:tblPr>
      <w:tblGrid>
        <w:gridCol w:w="8494"/>
      </w:tblGrid>
      <w:tr w:rsidR="00231A2E" w14:paraId="2CB959E8" w14:textId="77777777" w:rsidTr="00231A2E">
        <w:tc>
          <w:tcPr>
            <w:tcW w:w="8494" w:type="dxa"/>
            <w:shd w:val="clear" w:color="auto" w:fill="CCFFFF"/>
          </w:tcPr>
          <w:p w14:paraId="191DF128" w14:textId="3BCB84B2" w:rsidR="00231A2E" w:rsidRPr="00231A2E" w:rsidRDefault="00231A2E" w:rsidP="00231A2E">
            <w:pPr>
              <w:spacing w:before="100" w:beforeAutospacing="1" w:after="100" w:afterAutospacing="1"/>
              <w:jc w:val="both"/>
              <w:rPr>
                <w:rFonts w:ascii="Book Antiqua" w:eastAsia="Times New Roman" w:hAnsi="Book Antiqua" w:cs="Arial"/>
                <w:b/>
                <w:bCs/>
                <w:sz w:val="19"/>
                <w:szCs w:val="19"/>
                <w:lang w:eastAsia="pt-BR"/>
              </w:rPr>
            </w:pPr>
            <w:r w:rsidRPr="00231A2E">
              <w:rPr>
                <w:rFonts w:ascii="Book Antiqua" w:eastAsia="Times New Roman" w:hAnsi="Book Antiqua" w:cs="Arial"/>
                <w:b/>
                <w:bCs/>
                <w:sz w:val="19"/>
                <w:szCs w:val="19"/>
                <w:lang w:eastAsia="pt-BR"/>
              </w:rPr>
              <w:t>(</w:t>
            </w:r>
            <w:r w:rsidRPr="00231A2E">
              <w:rPr>
                <w:rFonts w:ascii="Book Antiqua" w:eastAsia="Times New Roman" w:hAnsi="Book Antiqua" w:cs="Arial"/>
                <w:b/>
                <w:bCs/>
                <w:sz w:val="19"/>
                <w:szCs w:val="19"/>
                <w:highlight w:val="yellow"/>
                <w:lang w:eastAsia="pt-BR"/>
              </w:rPr>
              <w:t>PGEPI-2014-CESPE</w:t>
            </w:r>
            <w:r w:rsidRPr="00231A2E">
              <w:rPr>
                <w:rFonts w:ascii="Book Antiqua" w:eastAsia="Times New Roman" w:hAnsi="Book Antiqua" w:cs="Arial"/>
                <w:b/>
                <w:bCs/>
                <w:sz w:val="19"/>
                <w:szCs w:val="19"/>
                <w:lang w:eastAsia="pt-BR"/>
              </w:rPr>
              <w:t>)</w:t>
            </w:r>
            <w:r w:rsidRPr="00231A2E">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231A2E">
              <w:rPr>
                <w:rFonts w:ascii="Book Antiqua" w:eastAsia="Times New Roman" w:hAnsi="Book Antiqua" w:cs="Arial"/>
                <w:sz w:val="19"/>
                <w:szCs w:val="19"/>
                <w:lang w:eastAsia="pt-BR"/>
              </w:rPr>
              <w:t>Em relação aos aspectos processuais da ação de usucapião rural, previstos na Lei n.º 6.969/1981, assinale a opção correta</w:t>
            </w:r>
            <w:r>
              <w:rPr>
                <w:rFonts w:ascii="Book Antiqua" w:eastAsia="Times New Roman" w:hAnsi="Book Antiqua" w:cs="Arial"/>
                <w:sz w:val="19"/>
                <w:szCs w:val="19"/>
                <w:lang w:eastAsia="pt-BR"/>
              </w:rPr>
              <w:t xml:space="preserve">: </w:t>
            </w:r>
            <w:r w:rsidRPr="00231A2E">
              <w:rPr>
                <w:rFonts w:ascii="Book Antiqua" w:eastAsia="Times New Roman" w:hAnsi="Book Antiqua" w:cs="Arial"/>
                <w:sz w:val="19"/>
                <w:szCs w:val="19"/>
                <w:lang w:eastAsia="pt-BR"/>
              </w:rPr>
              <w:t>O MP deverá, necessariamente, intervir no feito.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5º, §5º, Lei 6969/81.</w:t>
            </w:r>
          </w:p>
        </w:tc>
      </w:tr>
    </w:tbl>
    <w:p w14:paraId="19B241F2" w14:textId="2935302E" w:rsidR="00E66E73" w:rsidRPr="00214A49" w:rsidRDefault="00E66E73" w:rsidP="00693C3A">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4366">
        <w:rPr>
          <w:rFonts w:ascii="Book Antiqua" w:eastAsia="Times New Roman" w:hAnsi="Book Antiqua" w:cs="Arial"/>
          <w:b/>
          <w:bCs/>
          <w:sz w:val="19"/>
          <w:szCs w:val="19"/>
          <w:highlight w:val="magenta"/>
          <w:lang w:eastAsia="pt-BR"/>
        </w:rPr>
        <w:t>Art. 6º</w:t>
      </w:r>
      <w:r w:rsidRPr="00E85BC9">
        <w:rPr>
          <w:rFonts w:ascii="Book Antiqua" w:eastAsia="Times New Roman" w:hAnsi="Book Antiqua" w:cs="Arial"/>
          <w:sz w:val="19"/>
          <w:szCs w:val="19"/>
          <w:lang w:eastAsia="pt-BR"/>
        </w:rPr>
        <w:t xml:space="preserve"> - </w:t>
      </w:r>
      <w:r w:rsidRPr="00231A2E">
        <w:rPr>
          <w:rFonts w:ascii="Book Antiqua" w:eastAsia="Times New Roman" w:hAnsi="Book Antiqua" w:cs="Arial"/>
          <w:b/>
          <w:bCs/>
          <w:sz w:val="19"/>
          <w:szCs w:val="19"/>
          <w:lang w:eastAsia="pt-BR"/>
        </w:rPr>
        <w:t>O autor da ação de usucapião especial terá, se o pedir, o benefício da assistência judiciária gratuita, inclusive para o Registro de Imóveis</w:t>
      </w:r>
      <w:r w:rsidRPr="00231A2E">
        <w:rPr>
          <w:rFonts w:ascii="Book Antiqua" w:eastAsia="Times New Roman" w:hAnsi="Book Antiqua" w:cs="Arial"/>
          <w:sz w:val="18"/>
          <w:szCs w:val="18"/>
          <w:lang w:eastAsia="pt-BR"/>
        </w:rPr>
        <w:t xml:space="preserve">. </w:t>
      </w:r>
      <w:r w:rsidR="00B24366" w:rsidRPr="00231A2E">
        <w:rPr>
          <w:rFonts w:ascii="Book Antiqua" w:eastAsia="Times New Roman" w:hAnsi="Book Antiqua" w:cs="Times New Roman"/>
          <w:b/>
          <w:color w:val="FF0000"/>
          <w:sz w:val="18"/>
          <w:szCs w:val="18"/>
          <w:u w:val="single"/>
          <w:lang w:eastAsia="pt-BR"/>
        </w:rPr>
        <w:t>(DPESE-2012)</w:t>
      </w:r>
      <w:r w:rsidR="00214A49">
        <w:rPr>
          <w:rFonts w:ascii="Book Antiqua" w:eastAsia="Times New Roman" w:hAnsi="Book Antiqua" w:cs="Times New Roman"/>
          <w:b/>
          <w:color w:val="FF0000"/>
          <w:sz w:val="18"/>
          <w:szCs w:val="18"/>
          <w:lang w:eastAsia="pt-BR"/>
        </w:rPr>
        <w:t xml:space="preserve"> </w:t>
      </w:r>
      <w:r w:rsidR="00214A49">
        <w:rPr>
          <w:rFonts w:ascii="Book Antiqua" w:eastAsia="Times New Roman" w:hAnsi="Book Antiqua" w:cs="Times New Roman"/>
          <w:b/>
          <w:bCs/>
          <w:color w:val="FF0000"/>
          <w:sz w:val="18"/>
          <w:szCs w:val="18"/>
          <w:u w:val="single"/>
          <w:lang w:eastAsia="pt-BR"/>
        </w:rPr>
        <w:t>(PCBA-2018)</w:t>
      </w:r>
    </w:p>
    <w:p w14:paraId="6698A40C" w14:textId="01E21ABF"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4A49">
        <w:rPr>
          <w:rFonts w:ascii="Book Antiqua" w:eastAsia="Times New Roman" w:hAnsi="Book Antiqua" w:cs="Arial"/>
          <w:b/>
          <w:bCs/>
          <w:sz w:val="19"/>
          <w:szCs w:val="19"/>
          <w:highlight w:val="magenta"/>
          <w:lang w:eastAsia="pt-BR"/>
        </w:rPr>
        <w:t>Parágrafo único</w:t>
      </w:r>
      <w:r w:rsidRPr="00214A49">
        <w:rPr>
          <w:rFonts w:ascii="Book Antiqua" w:eastAsia="Times New Roman" w:hAnsi="Book Antiqua" w:cs="Arial"/>
          <w:b/>
          <w:bCs/>
          <w:sz w:val="19"/>
          <w:szCs w:val="19"/>
          <w:lang w:eastAsia="pt-BR"/>
        </w:rPr>
        <w:t xml:space="preserve">. Provado que o autor tinha situação econômica bastante para pagar </w:t>
      </w:r>
      <w:proofErr w:type="gramStart"/>
      <w:r w:rsidRPr="00214A49">
        <w:rPr>
          <w:rFonts w:ascii="Book Antiqua" w:eastAsia="Times New Roman" w:hAnsi="Book Antiqua" w:cs="Arial"/>
          <w:b/>
          <w:bCs/>
          <w:sz w:val="19"/>
          <w:szCs w:val="19"/>
          <w:lang w:eastAsia="pt-BR"/>
        </w:rPr>
        <w:t>as</w:t>
      </w:r>
      <w:proofErr w:type="gramEnd"/>
      <w:r w:rsidRPr="00214A49">
        <w:rPr>
          <w:rFonts w:ascii="Book Antiqua" w:eastAsia="Times New Roman" w:hAnsi="Book Antiqua" w:cs="Arial"/>
          <w:b/>
          <w:bCs/>
          <w:sz w:val="19"/>
          <w:szCs w:val="19"/>
          <w:lang w:eastAsia="pt-BR"/>
        </w:rPr>
        <w:t xml:space="preserve"> custas do processo e os honorários de advogado, sem prejuízo do sustento próprio e da família, o juiz lhe ordenará que pague, com correção monetária, o valor das isenções concedidas, ficando suspensa a transcrição da sentença até o pagamento devido</w:t>
      </w:r>
      <w:r w:rsidRPr="00E85BC9">
        <w:rPr>
          <w:rFonts w:ascii="Book Antiqua" w:eastAsia="Times New Roman" w:hAnsi="Book Antiqua" w:cs="Arial"/>
          <w:sz w:val="19"/>
          <w:szCs w:val="19"/>
          <w:lang w:eastAsia="pt-BR"/>
        </w:rPr>
        <w:t xml:space="preserve">. </w:t>
      </w:r>
      <w:r w:rsidR="00214A49">
        <w:rPr>
          <w:rFonts w:ascii="Book Antiqua" w:eastAsia="Times New Roman" w:hAnsi="Book Antiqua" w:cs="Times New Roman"/>
          <w:b/>
          <w:bCs/>
          <w:color w:val="FF0000"/>
          <w:sz w:val="18"/>
          <w:szCs w:val="18"/>
          <w:u w:val="single"/>
          <w:lang w:eastAsia="pt-BR"/>
        </w:rPr>
        <w:t>(PCBA-2018)</w:t>
      </w:r>
    </w:p>
    <w:p w14:paraId="08DA56F9" w14:textId="71AB8803" w:rsidR="00E66E73" w:rsidRPr="00231A2E" w:rsidRDefault="00E66E73" w:rsidP="00693C3A">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E85BC9">
        <w:rPr>
          <w:rFonts w:ascii="Book Antiqua" w:eastAsia="Times New Roman" w:hAnsi="Book Antiqua" w:cs="Arial"/>
          <w:b/>
          <w:sz w:val="19"/>
          <w:szCs w:val="19"/>
          <w:highlight w:val="magenta"/>
          <w:lang w:eastAsia="pt-BR"/>
        </w:rPr>
        <w:t>Art. 7º</w:t>
      </w:r>
      <w:r w:rsidRPr="00E85BC9">
        <w:rPr>
          <w:rFonts w:ascii="Book Antiqua" w:eastAsia="Times New Roman" w:hAnsi="Book Antiqua" w:cs="Arial"/>
          <w:sz w:val="19"/>
          <w:szCs w:val="19"/>
          <w:lang w:eastAsia="pt-BR"/>
        </w:rPr>
        <w:t xml:space="preserve"> - A </w:t>
      </w:r>
      <w:r w:rsidRPr="00E85BC9">
        <w:rPr>
          <w:rFonts w:ascii="Book Antiqua" w:eastAsia="Times New Roman" w:hAnsi="Book Antiqua" w:cs="Arial"/>
          <w:b/>
          <w:sz w:val="19"/>
          <w:szCs w:val="19"/>
          <w:highlight w:val="yellow"/>
          <w:lang w:eastAsia="pt-BR"/>
        </w:rPr>
        <w:t>usucapião especial</w:t>
      </w:r>
      <w:r w:rsidRPr="00E85BC9">
        <w:rPr>
          <w:rFonts w:ascii="Book Antiqua" w:eastAsia="Times New Roman" w:hAnsi="Book Antiqua" w:cs="Arial"/>
          <w:sz w:val="19"/>
          <w:szCs w:val="19"/>
          <w:lang w:eastAsia="pt-BR"/>
        </w:rPr>
        <w:t xml:space="preserve"> </w:t>
      </w:r>
      <w:r w:rsidRPr="00E85BC9">
        <w:rPr>
          <w:rFonts w:ascii="Book Antiqua" w:eastAsia="Times New Roman" w:hAnsi="Book Antiqua" w:cs="Arial"/>
          <w:b/>
          <w:caps/>
          <w:sz w:val="19"/>
          <w:szCs w:val="19"/>
          <w:highlight w:val="green"/>
          <w:lang w:eastAsia="pt-BR"/>
        </w:rPr>
        <w:t>poderá ser invocada</w:t>
      </w:r>
      <w:r w:rsidRPr="00E85BC9">
        <w:rPr>
          <w:rFonts w:ascii="Book Antiqua" w:eastAsia="Times New Roman" w:hAnsi="Book Antiqua" w:cs="Arial"/>
          <w:sz w:val="19"/>
          <w:szCs w:val="19"/>
          <w:lang w:eastAsia="pt-BR"/>
        </w:rPr>
        <w:t xml:space="preserve"> como </w:t>
      </w:r>
      <w:r w:rsidRPr="00E85BC9">
        <w:rPr>
          <w:rFonts w:ascii="Book Antiqua" w:eastAsia="Times New Roman" w:hAnsi="Book Antiqua" w:cs="Arial"/>
          <w:b/>
          <w:caps/>
          <w:sz w:val="19"/>
          <w:szCs w:val="19"/>
          <w:shd w:val="clear" w:color="auto" w:fill="F7CAAC" w:themeFill="accent2" w:themeFillTint="66"/>
          <w:lang w:eastAsia="pt-BR"/>
        </w:rPr>
        <w:t>matéria de defesa</w:t>
      </w:r>
      <w:r w:rsidRPr="00E85BC9">
        <w:rPr>
          <w:rFonts w:ascii="Book Antiqua" w:eastAsia="Times New Roman" w:hAnsi="Book Antiqua" w:cs="Arial"/>
          <w:sz w:val="19"/>
          <w:szCs w:val="19"/>
          <w:lang w:eastAsia="pt-BR"/>
        </w:rPr>
        <w:t xml:space="preserve">, </w:t>
      </w:r>
      <w:r w:rsidRPr="00E85BC9">
        <w:rPr>
          <w:rFonts w:ascii="Book Antiqua" w:eastAsia="Times New Roman" w:hAnsi="Book Antiqua" w:cs="Arial"/>
          <w:b/>
          <w:bCs/>
          <w:caps/>
          <w:sz w:val="19"/>
          <w:szCs w:val="19"/>
          <w:highlight w:val="green"/>
          <w:lang w:eastAsia="pt-BR"/>
        </w:rPr>
        <w:t>valendo</w:t>
      </w:r>
      <w:r w:rsidRPr="00E85BC9">
        <w:rPr>
          <w:rFonts w:ascii="Book Antiqua" w:eastAsia="Times New Roman" w:hAnsi="Book Antiqua" w:cs="Arial"/>
          <w:sz w:val="19"/>
          <w:szCs w:val="19"/>
          <w:lang w:eastAsia="pt-BR"/>
        </w:rPr>
        <w:t xml:space="preserve"> </w:t>
      </w:r>
      <w:r w:rsidRPr="00E85BC9">
        <w:rPr>
          <w:rFonts w:ascii="Book Antiqua" w:eastAsia="Times New Roman" w:hAnsi="Book Antiqua" w:cs="Arial"/>
          <w:b/>
          <w:bCs/>
          <w:sz w:val="19"/>
          <w:szCs w:val="19"/>
          <w:highlight w:val="yellow"/>
          <w:lang w:eastAsia="pt-BR"/>
        </w:rPr>
        <w:t>a sentença</w:t>
      </w:r>
      <w:r w:rsidRPr="00E85BC9">
        <w:rPr>
          <w:rFonts w:ascii="Book Antiqua" w:eastAsia="Times New Roman" w:hAnsi="Book Antiqua" w:cs="Arial"/>
          <w:sz w:val="19"/>
          <w:szCs w:val="19"/>
          <w:lang w:eastAsia="pt-BR"/>
        </w:rPr>
        <w:t xml:space="preserve"> que a reconhecer como </w:t>
      </w:r>
      <w:r w:rsidRPr="00E85BC9">
        <w:rPr>
          <w:rFonts w:ascii="Book Antiqua" w:eastAsia="Times New Roman" w:hAnsi="Book Antiqua" w:cs="Arial"/>
          <w:b/>
          <w:bCs/>
          <w:sz w:val="19"/>
          <w:szCs w:val="19"/>
          <w:highlight w:val="cyan"/>
          <w:lang w:eastAsia="pt-BR"/>
        </w:rPr>
        <w:t>título para transcrição no Registro de Imóveis</w:t>
      </w:r>
      <w:r w:rsidRPr="00E85BC9">
        <w:rPr>
          <w:rFonts w:ascii="Book Antiqua" w:eastAsia="Times New Roman" w:hAnsi="Book Antiqua" w:cs="Arial"/>
          <w:sz w:val="19"/>
          <w:szCs w:val="19"/>
          <w:lang w:eastAsia="pt-BR"/>
        </w:rPr>
        <w:t>.</w:t>
      </w:r>
      <w:r w:rsidR="00E17198">
        <w:rPr>
          <w:rFonts w:ascii="Book Antiqua" w:eastAsia="Times New Roman" w:hAnsi="Book Antiqua" w:cs="Arial"/>
          <w:sz w:val="19"/>
          <w:szCs w:val="19"/>
          <w:lang w:eastAsia="pt-BR"/>
        </w:rPr>
        <w:t xml:space="preserve"> </w:t>
      </w:r>
      <w:r w:rsidR="00E17198" w:rsidRPr="00590D71">
        <w:rPr>
          <w:rFonts w:ascii="Book Antiqua" w:eastAsia="Times New Roman" w:hAnsi="Book Antiqua" w:cs="Times New Roman"/>
          <w:b/>
          <w:color w:val="FF0000"/>
          <w:sz w:val="18"/>
          <w:szCs w:val="18"/>
          <w:u w:val="single"/>
          <w:lang w:eastAsia="pt-BR"/>
        </w:rPr>
        <w:t>(DPEMA-2011)</w:t>
      </w:r>
      <w:r w:rsidR="00840AA5" w:rsidRPr="00590D71">
        <w:rPr>
          <w:rFonts w:ascii="Book Antiqua" w:eastAsia="Times New Roman" w:hAnsi="Book Antiqua" w:cs="Arial"/>
          <w:sz w:val="18"/>
          <w:szCs w:val="18"/>
          <w:lang w:eastAsia="pt-BR"/>
        </w:rPr>
        <w:t xml:space="preserve"> </w:t>
      </w:r>
      <w:r w:rsidR="00840AA5" w:rsidRPr="00590D71">
        <w:rPr>
          <w:rFonts w:ascii="Book Antiqua" w:eastAsia="Times New Roman" w:hAnsi="Book Antiqua" w:cs="Arial"/>
          <w:b/>
          <w:bCs/>
          <w:color w:val="FF0000"/>
          <w:sz w:val="18"/>
          <w:szCs w:val="18"/>
          <w:u w:val="single"/>
          <w:lang w:eastAsia="pt-BR"/>
        </w:rPr>
        <w:t>(TRF5-2011)</w:t>
      </w:r>
      <w:r w:rsidR="00B24366" w:rsidRPr="00590D71">
        <w:rPr>
          <w:rFonts w:ascii="Book Antiqua" w:eastAsia="Times New Roman" w:hAnsi="Book Antiqua" w:cs="Arial"/>
          <w:b/>
          <w:bCs/>
          <w:color w:val="FF0000"/>
          <w:sz w:val="18"/>
          <w:szCs w:val="18"/>
          <w:lang w:eastAsia="pt-BR"/>
        </w:rPr>
        <w:t xml:space="preserve"> </w:t>
      </w:r>
      <w:r w:rsidR="00B24366" w:rsidRPr="00590D71">
        <w:rPr>
          <w:rFonts w:ascii="Book Antiqua" w:eastAsia="Times New Roman" w:hAnsi="Book Antiqua" w:cs="Times New Roman"/>
          <w:b/>
          <w:color w:val="FF0000"/>
          <w:sz w:val="18"/>
          <w:szCs w:val="18"/>
          <w:u w:val="single"/>
          <w:lang w:eastAsia="pt-BR"/>
        </w:rPr>
        <w:t>(DPESE-2012)</w:t>
      </w:r>
      <w:r w:rsidRPr="00590D71">
        <w:rPr>
          <w:rFonts w:ascii="Book Antiqua" w:eastAsia="Times New Roman" w:hAnsi="Book Antiqua" w:cs="Arial"/>
          <w:sz w:val="18"/>
          <w:szCs w:val="18"/>
          <w:lang w:eastAsia="pt-BR"/>
        </w:rPr>
        <w:t xml:space="preserve"> </w:t>
      </w:r>
      <w:r w:rsidR="009D2C52" w:rsidRPr="00590D71">
        <w:rPr>
          <w:rFonts w:ascii="Book Antiqua" w:eastAsia="Times New Roman" w:hAnsi="Book Antiqua" w:cs="Times New Roman"/>
          <w:b/>
          <w:color w:val="FF0000"/>
          <w:sz w:val="18"/>
          <w:szCs w:val="18"/>
          <w:u w:val="single"/>
          <w:lang w:eastAsia="pt-BR"/>
        </w:rPr>
        <w:t>(Cartórios/TJSP-2014)</w:t>
      </w:r>
      <w:r w:rsidR="00231A2E">
        <w:rPr>
          <w:rFonts w:ascii="Book Antiqua" w:eastAsia="Times New Roman" w:hAnsi="Book Antiqua" w:cs="Times New Roman"/>
          <w:b/>
          <w:color w:val="FF0000"/>
          <w:sz w:val="18"/>
          <w:szCs w:val="18"/>
          <w:lang w:eastAsia="pt-BR"/>
        </w:rPr>
        <w:t xml:space="preserve"> </w:t>
      </w:r>
      <w:r w:rsidR="00231A2E">
        <w:rPr>
          <w:rFonts w:ascii="Book Antiqua" w:hAnsi="Book Antiqua"/>
          <w:b/>
          <w:color w:val="FF0000"/>
          <w:sz w:val="18"/>
          <w:szCs w:val="18"/>
          <w:u w:val="single"/>
        </w:rPr>
        <w:t>(PGEPI-2014)</w:t>
      </w:r>
    </w:p>
    <w:p w14:paraId="3B47568A"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Art. 8º - Observar-se-á, quanto ao imóvel usucapido, a imunidade específica, estabelecida no </w:t>
      </w:r>
      <w:hyperlink r:id="rId9" w:anchor="art21§6" w:history="1">
        <w:r w:rsidRPr="00E85BC9">
          <w:rPr>
            <w:rFonts w:ascii="Book Antiqua" w:eastAsia="Times New Roman" w:hAnsi="Book Antiqua" w:cs="Arial"/>
            <w:color w:val="0000FF"/>
            <w:sz w:val="19"/>
            <w:szCs w:val="19"/>
            <w:u w:val="single"/>
            <w:lang w:eastAsia="pt-BR"/>
          </w:rPr>
          <w:t xml:space="preserve">§ 6º do art. 21 da Constituição Federal. </w:t>
        </w:r>
      </w:hyperlink>
    </w:p>
    <w:p w14:paraId="3ACFBBEF"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Parágrafo único. Quando prevalecer a área do módulo rural, de acordo com o previsto no parágrafo único do art. 1º desta Lei, o Imposto Territorial Rural não incidirá sobre o imóvel usucapido. </w:t>
      </w:r>
    </w:p>
    <w:p w14:paraId="4E698475"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Art. 9º - O juiz de causa, a requerimento do autor da ação de usucapião especial, determinará que a autoridade policial garanta a permanência no imóvel e a integridade física de seus ocupantes, sempre que necessário. </w:t>
      </w:r>
    </w:p>
    <w:p w14:paraId="410B6507"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 w:name="art10"/>
      <w:bookmarkEnd w:id="4"/>
      <w:r w:rsidRPr="00E85BC9">
        <w:rPr>
          <w:rFonts w:ascii="Book Antiqua" w:eastAsia="Times New Roman" w:hAnsi="Book Antiqua" w:cs="Arial"/>
          <w:sz w:val="19"/>
          <w:szCs w:val="19"/>
          <w:lang w:eastAsia="pt-BR"/>
        </w:rPr>
        <w:t xml:space="preserve">Art. 10 - O § 2º do art. 589 do Código Civil passa a vigorar com a seguinte redação: </w:t>
      </w:r>
    </w:p>
    <w:p w14:paraId="6D2FA64A" w14:textId="77777777" w:rsidR="00E66E73" w:rsidRPr="00E85BC9" w:rsidRDefault="00E66E73" w:rsidP="00693C3A">
      <w:pPr>
        <w:spacing w:beforeAutospacing="1" w:after="100" w:afterAutospacing="1" w:line="240" w:lineRule="auto"/>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"Art. 589................................. </w:t>
      </w:r>
    </w:p>
    <w:p w14:paraId="580B6289" w14:textId="77777777" w:rsidR="00E66E73" w:rsidRPr="00E85BC9" w:rsidRDefault="00000000" w:rsidP="00693C3A">
      <w:pPr>
        <w:spacing w:before="100" w:beforeAutospacing="1" w:after="100" w:afterAutospacing="1" w:line="240" w:lineRule="auto"/>
        <w:jc w:val="both"/>
        <w:rPr>
          <w:rFonts w:ascii="Book Antiqua" w:eastAsia="Times New Roman" w:hAnsi="Book Antiqua" w:cs="Arial"/>
          <w:sz w:val="19"/>
          <w:szCs w:val="19"/>
          <w:lang w:eastAsia="pt-BR"/>
        </w:rPr>
      </w:pPr>
      <w:hyperlink r:id="rId10" w:anchor="art589§2." w:history="1">
        <w:r w:rsidR="00E66E73" w:rsidRPr="00E85BC9">
          <w:rPr>
            <w:rFonts w:ascii="Book Antiqua" w:eastAsia="Times New Roman" w:hAnsi="Book Antiqua" w:cs="Arial"/>
            <w:color w:val="0000FF"/>
            <w:sz w:val="19"/>
            <w:szCs w:val="19"/>
            <w:u w:val="single"/>
            <w:lang w:eastAsia="pt-BR"/>
          </w:rPr>
          <w:t>§ 2º -</w:t>
        </w:r>
      </w:hyperlink>
      <w:r w:rsidR="00E66E73" w:rsidRPr="00E85BC9">
        <w:rPr>
          <w:rFonts w:ascii="Book Antiqua" w:eastAsia="Times New Roman" w:hAnsi="Book Antiqua" w:cs="Arial"/>
          <w:sz w:val="19"/>
          <w:szCs w:val="19"/>
          <w:lang w:eastAsia="pt-BR"/>
        </w:rPr>
        <w:t xml:space="preserve"> O imóvel abandonado arrecadar-se-á como bem vago e passará ao domínio do Estado, do Território ou do Distrito Federal se se achar nas respectivas circunscrições: </w:t>
      </w:r>
    </w:p>
    <w:p w14:paraId="47D01323" w14:textId="77777777" w:rsidR="00E66E73" w:rsidRPr="00E85BC9" w:rsidRDefault="00E66E73" w:rsidP="00693C3A">
      <w:pPr>
        <w:spacing w:before="100" w:beforeAutospacing="1" w:after="100" w:afterAutospacing="1" w:line="240" w:lineRule="auto"/>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a) 10 (dez) anos depois, quando se tratar de imóvel localizado em zona urbana; </w:t>
      </w:r>
    </w:p>
    <w:p w14:paraId="147AF8BD" w14:textId="77777777" w:rsidR="00E66E73" w:rsidRPr="00E85BC9" w:rsidRDefault="00E66E73" w:rsidP="00693C3A">
      <w:pPr>
        <w:spacing w:before="100" w:beforeAutospacing="1" w:after="100" w:afterAutospacing="1" w:line="240" w:lineRule="auto"/>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b) 3 (três) anos depois, quando se tratar de imóvel localizado em zona rural." </w:t>
      </w:r>
    </w:p>
    <w:p w14:paraId="4CA52807"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Art. 11 - Esta Lei entrará em vigor 45 (quarenta e cinco) dias após sua publicação. </w:t>
      </w:r>
    </w:p>
    <w:p w14:paraId="76FD6550" w14:textId="77777777" w:rsidR="00E66E73" w:rsidRPr="00E85BC9" w:rsidRDefault="00E66E73" w:rsidP="00693C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Art. 12 - Revogam-se as disposições em contrário. </w:t>
      </w:r>
    </w:p>
    <w:p w14:paraId="7224A6EB" w14:textId="77777777" w:rsidR="00E66E73" w:rsidRPr="00E85BC9" w:rsidRDefault="00E66E73" w:rsidP="00E66E73">
      <w:pPr>
        <w:spacing w:before="100" w:beforeAutospacing="1" w:after="100" w:afterAutospacing="1" w:line="240" w:lineRule="auto"/>
        <w:ind w:firstLine="525"/>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Brasília, em 10 de dezembro de 1981; 160º da Independência e 93º da República. </w:t>
      </w:r>
    </w:p>
    <w:p w14:paraId="03248521" w14:textId="77777777" w:rsidR="00E66E73" w:rsidRPr="00E85BC9" w:rsidRDefault="00E66E73" w:rsidP="00E66E73">
      <w:pPr>
        <w:spacing w:before="100" w:beforeAutospacing="1" w:after="100" w:afterAutospacing="1" w:line="240" w:lineRule="auto"/>
        <w:rPr>
          <w:rFonts w:ascii="Book Antiqua" w:eastAsia="Times New Roman" w:hAnsi="Book Antiqua" w:cs="Arial"/>
          <w:sz w:val="19"/>
          <w:szCs w:val="19"/>
          <w:lang w:eastAsia="pt-BR"/>
        </w:rPr>
      </w:pPr>
      <w:r w:rsidRPr="00E85BC9">
        <w:rPr>
          <w:rFonts w:ascii="Book Antiqua" w:eastAsia="Times New Roman" w:hAnsi="Book Antiqua" w:cs="Arial"/>
          <w:sz w:val="19"/>
          <w:szCs w:val="19"/>
          <w:lang w:eastAsia="pt-BR"/>
        </w:rPr>
        <w:t xml:space="preserve">JOÃO BAPTISTA DE FIGUEIREDO </w:t>
      </w:r>
      <w:r w:rsidRPr="00E85BC9">
        <w:rPr>
          <w:rFonts w:ascii="Book Antiqua" w:eastAsia="Times New Roman" w:hAnsi="Book Antiqua" w:cs="Arial"/>
          <w:sz w:val="19"/>
          <w:szCs w:val="19"/>
          <w:lang w:eastAsia="pt-BR"/>
        </w:rPr>
        <w:br/>
      </w:r>
      <w:r w:rsidRPr="00E85BC9">
        <w:rPr>
          <w:rFonts w:ascii="Book Antiqua" w:eastAsia="Times New Roman" w:hAnsi="Book Antiqua" w:cs="Arial"/>
          <w:i/>
          <w:iCs/>
          <w:sz w:val="19"/>
          <w:szCs w:val="19"/>
          <w:lang w:eastAsia="pt-BR"/>
        </w:rPr>
        <w:t>Ibrahim Abi-Ackel</w:t>
      </w:r>
      <w:r w:rsidRPr="00E85BC9">
        <w:rPr>
          <w:rFonts w:ascii="Book Antiqua" w:eastAsia="Times New Roman" w:hAnsi="Book Antiqua" w:cs="Arial"/>
          <w:i/>
          <w:iCs/>
          <w:sz w:val="19"/>
          <w:szCs w:val="19"/>
          <w:lang w:eastAsia="pt-BR"/>
        </w:rPr>
        <w:br/>
        <w:t>Amaury Stábile</w:t>
      </w:r>
      <w:r w:rsidRPr="00E85BC9">
        <w:rPr>
          <w:rFonts w:ascii="Book Antiqua" w:eastAsia="Times New Roman" w:hAnsi="Book Antiqua" w:cs="Arial"/>
          <w:i/>
          <w:iCs/>
          <w:sz w:val="19"/>
          <w:szCs w:val="19"/>
          <w:lang w:eastAsia="pt-BR"/>
        </w:rPr>
        <w:br/>
        <w:t>Danilo Venturini</w:t>
      </w:r>
    </w:p>
    <w:p w14:paraId="0156544B" w14:textId="70A07869" w:rsidR="00B74709" w:rsidRPr="00E85BC9" w:rsidRDefault="00E66E73" w:rsidP="00E85BC9">
      <w:pPr>
        <w:spacing w:before="100" w:beforeAutospacing="1" w:after="100" w:afterAutospacing="1" w:line="240" w:lineRule="auto"/>
        <w:rPr>
          <w:rFonts w:ascii="Book Antiqua" w:eastAsia="Times New Roman" w:hAnsi="Book Antiqua" w:cs="Times New Roman"/>
          <w:sz w:val="19"/>
          <w:szCs w:val="19"/>
          <w:lang w:eastAsia="pt-BR"/>
        </w:rPr>
      </w:pPr>
      <w:r w:rsidRPr="00E85BC9">
        <w:rPr>
          <w:rFonts w:ascii="Book Antiqua" w:eastAsia="Times New Roman" w:hAnsi="Book Antiqua" w:cs="Arial"/>
          <w:color w:val="FF0000"/>
          <w:sz w:val="19"/>
          <w:szCs w:val="19"/>
          <w:lang w:eastAsia="pt-BR"/>
        </w:rPr>
        <w:t>Este texto não substitui o publicado no DOU de 11.12.1980</w:t>
      </w:r>
      <w:r w:rsidR="00E85BC9">
        <w:rPr>
          <w:rFonts w:ascii="Book Antiqua" w:eastAsia="Times New Roman" w:hAnsi="Book Antiqua" w:cs="Arial"/>
          <w:color w:val="FF0000"/>
          <w:sz w:val="19"/>
          <w:szCs w:val="19"/>
          <w:lang w:eastAsia="pt-BR"/>
        </w:rPr>
        <w:t>.</w:t>
      </w:r>
    </w:p>
    <w:sectPr w:rsidR="00B74709" w:rsidRPr="00E85BC9" w:rsidSect="00384458">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8C993" w14:textId="77777777" w:rsidR="007376E9" w:rsidRDefault="007376E9" w:rsidP="00693C3A">
      <w:pPr>
        <w:spacing w:after="0" w:line="240" w:lineRule="auto"/>
      </w:pPr>
      <w:r>
        <w:separator/>
      </w:r>
    </w:p>
  </w:endnote>
  <w:endnote w:type="continuationSeparator" w:id="0">
    <w:p w14:paraId="20CA4AE7" w14:textId="77777777" w:rsidR="007376E9" w:rsidRDefault="007376E9" w:rsidP="00693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4A917" w14:textId="77777777" w:rsidR="007376E9" w:rsidRDefault="007376E9" w:rsidP="00693C3A">
      <w:pPr>
        <w:spacing w:after="0" w:line="240" w:lineRule="auto"/>
      </w:pPr>
      <w:r>
        <w:separator/>
      </w:r>
    </w:p>
  </w:footnote>
  <w:footnote w:type="continuationSeparator" w:id="0">
    <w:p w14:paraId="49D614F7" w14:textId="77777777" w:rsidR="007376E9" w:rsidRDefault="007376E9" w:rsidP="00693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D9E84D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01959042">
    <w:abstractNumId w:val="2"/>
  </w:num>
  <w:num w:numId="2" w16cid:durableId="1554853497">
    <w:abstractNumId w:val="1"/>
  </w:num>
  <w:num w:numId="3" w16cid:durableId="506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CFB"/>
    <w:rsid w:val="00026618"/>
    <w:rsid w:val="00033CFB"/>
    <w:rsid w:val="00113725"/>
    <w:rsid w:val="00146326"/>
    <w:rsid w:val="00152C58"/>
    <w:rsid w:val="001C54C8"/>
    <w:rsid w:val="00214A49"/>
    <w:rsid w:val="00231A2E"/>
    <w:rsid w:val="002436D7"/>
    <w:rsid w:val="002B1148"/>
    <w:rsid w:val="00384458"/>
    <w:rsid w:val="0041018E"/>
    <w:rsid w:val="004539E2"/>
    <w:rsid w:val="004640CD"/>
    <w:rsid w:val="00487E84"/>
    <w:rsid w:val="00511A16"/>
    <w:rsid w:val="00590D71"/>
    <w:rsid w:val="005E72DC"/>
    <w:rsid w:val="00613EB9"/>
    <w:rsid w:val="006612CA"/>
    <w:rsid w:val="00693C3A"/>
    <w:rsid w:val="006B0E28"/>
    <w:rsid w:val="006C42DA"/>
    <w:rsid w:val="00700EBC"/>
    <w:rsid w:val="00733DB1"/>
    <w:rsid w:val="007376E9"/>
    <w:rsid w:val="00741AE0"/>
    <w:rsid w:val="007603C4"/>
    <w:rsid w:val="00795837"/>
    <w:rsid w:val="007E31D8"/>
    <w:rsid w:val="008066DD"/>
    <w:rsid w:val="00840AA5"/>
    <w:rsid w:val="00907E29"/>
    <w:rsid w:val="0092430A"/>
    <w:rsid w:val="009251DE"/>
    <w:rsid w:val="0095461A"/>
    <w:rsid w:val="00954B68"/>
    <w:rsid w:val="009A103F"/>
    <w:rsid w:val="009D2C52"/>
    <w:rsid w:val="00A16B39"/>
    <w:rsid w:val="00AF3A2F"/>
    <w:rsid w:val="00B24366"/>
    <w:rsid w:val="00B74709"/>
    <w:rsid w:val="00C039FE"/>
    <w:rsid w:val="00C12136"/>
    <w:rsid w:val="00E17198"/>
    <w:rsid w:val="00E66E73"/>
    <w:rsid w:val="00E8283E"/>
    <w:rsid w:val="00E85BC9"/>
    <w:rsid w:val="00EA26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1C8FF"/>
  <w15:chartTrackingRefBased/>
  <w15:docId w15:val="{F2D6D8FE-43C0-443E-BEBF-FDE4460E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93C3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3C3A"/>
  </w:style>
  <w:style w:type="paragraph" w:styleId="Rodap">
    <w:name w:val="footer"/>
    <w:basedOn w:val="Normal"/>
    <w:link w:val="RodapChar"/>
    <w:uiPriority w:val="99"/>
    <w:unhideWhenUsed/>
    <w:rsid w:val="00693C3A"/>
    <w:pPr>
      <w:tabs>
        <w:tab w:val="center" w:pos="4252"/>
        <w:tab w:val="right" w:pos="8504"/>
      </w:tabs>
      <w:spacing w:after="0" w:line="240" w:lineRule="auto"/>
    </w:pPr>
  </w:style>
  <w:style w:type="character" w:customStyle="1" w:styleId="RodapChar">
    <w:name w:val="Rodapé Char"/>
    <w:basedOn w:val="Fontepargpadro"/>
    <w:link w:val="Rodap"/>
    <w:uiPriority w:val="99"/>
    <w:rsid w:val="00693C3A"/>
  </w:style>
  <w:style w:type="table" w:styleId="Tabelacomgrade">
    <w:name w:val="Table Grid"/>
    <w:basedOn w:val="Tabelanormal"/>
    <w:uiPriority w:val="39"/>
    <w:rsid w:val="00925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251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410382">
      <w:bodyDiv w:val="1"/>
      <w:marLeft w:val="0"/>
      <w:marRight w:val="0"/>
      <w:marTop w:val="0"/>
      <w:marBottom w:val="0"/>
      <w:divBdr>
        <w:top w:val="none" w:sz="0" w:space="0" w:color="auto"/>
        <w:left w:val="none" w:sz="0" w:space="0" w:color="auto"/>
        <w:bottom w:val="none" w:sz="0" w:space="0" w:color="auto"/>
        <w:right w:val="none" w:sz="0" w:space="0" w:color="auto"/>
      </w:divBdr>
      <w:divsChild>
        <w:div w:id="433861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956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3071.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6.969-1981?OpenDocu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planalto.gov.br/ccivil_03/lEiS/L3071.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6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1632</Words>
  <Characters>8817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23</cp:revision>
  <dcterms:created xsi:type="dcterms:W3CDTF">2015-05-01T14:26:00Z</dcterms:created>
  <dcterms:modified xsi:type="dcterms:W3CDTF">2023-11-01T17:08:00Z</dcterms:modified>
</cp:coreProperties>
</file>