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A87BB" w14:textId="4A67D3C0" w:rsidR="009C5AA1" w:rsidRDefault="009C5AA1" w:rsidP="009C5AA1">
      <w:pPr>
        <w:spacing w:before="100" w:beforeAutospacing="1" w:after="100" w:afterAutospacing="1" w:line="240" w:lineRule="auto"/>
        <w:jc w:val="center"/>
        <w:rPr>
          <w:rFonts w:ascii="Book Antiqua" w:eastAsia="Times New Roman" w:hAnsi="Book Antiqua" w:cs="Arial"/>
          <w:b/>
          <w:bCs/>
          <w:color w:val="000080"/>
          <w:kern w:val="0"/>
          <w:sz w:val="19"/>
          <w:szCs w:val="19"/>
          <w:lang w:eastAsia="pt-BR"/>
          <w14:ligatures w14:val="none"/>
        </w:rPr>
      </w:pPr>
      <w:bookmarkStart w:id="0" w:name="_Hlk157426628"/>
      <w:r w:rsidRPr="005A5833">
        <w:rPr>
          <w:rFonts w:ascii="Book Antiqua" w:eastAsia="Times New Roman" w:hAnsi="Book Antiqua" w:cs="Times New Roman"/>
          <w:b/>
          <w:bCs/>
          <w:color w:val="FF0000"/>
          <w:sz w:val="19"/>
          <w:szCs w:val="19"/>
          <w:lang w:eastAsia="pt-BR"/>
        </w:rPr>
        <w:t xml:space="preserve">(Atualização em </w:t>
      </w:r>
      <w:r w:rsidR="001A1AA1">
        <w:rPr>
          <w:rFonts w:ascii="Book Antiqua" w:eastAsia="Times New Roman" w:hAnsi="Book Antiqua" w:cs="Times New Roman"/>
          <w:b/>
          <w:bCs/>
          <w:color w:val="FF0000"/>
          <w:sz w:val="19"/>
          <w:szCs w:val="19"/>
          <w:lang w:eastAsia="pt-BR"/>
        </w:rPr>
        <w:t>15</w:t>
      </w:r>
      <w:r w:rsidR="004E6BE2">
        <w:rPr>
          <w:rFonts w:ascii="Book Antiqua" w:eastAsia="Times New Roman" w:hAnsi="Book Antiqua" w:cs="Times New Roman"/>
          <w:b/>
          <w:bCs/>
          <w:color w:val="FF0000"/>
          <w:sz w:val="19"/>
          <w:szCs w:val="19"/>
          <w:lang w:eastAsia="pt-BR"/>
        </w:rPr>
        <w:t>/02</w:t>
      </w:r>
      <w:r>
        <w:rPr>
          <w:rFonts w:ascii="Book Antiqua" w:eastAsia="Times New Roman" w:hAnsi="Book Antiqua" w:cs="Times New Roman"/>
          <w:b/>
          <w:bCs/>
          <w:color w:val="FF0000"/>
          <w:sz w:val="19"/>
          <w:szCs w:val="19"/>
          <w:lang w:eastAsia="pt-BR"/>
        </w:rPr>
        <w:t>/2024</w:t>
      </w:r>
      <w:r w:rsidRPr="005A5833">
        <w:rPr>
          <w:rFonts w:ascii="Book Antiqua" w:eastAsia="Times New Roman" w:hAnsi="Book Antiqua" w:cs="Times New Roman"/>
          <w:b/>
          <w:bCs/>
          <w:color w:val="FF0000"/>
          <w:sz w:val="19"/>
          <w:szCs w:val="19"/>
          <w:lang w:eastAsia="pt-BR"/>
        </w:rPr>
        <w:t>: questões de concurso)</w:t>
      </w:r>
      <w:bookmarkEnd w:id="0"/>
    </w:p>
    <w:p w14:paraId="2F194F17" w14:textId="7ABB8C19" w:rsidR="009C5AA1" w:rsidRPr="009C5AA1" w:rsidRDefault="00000000" w:rsidP="009C5AA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009C5AA1" w:rsidRPr="009C5AA1">
          <w:rPr>
            <w:rFonts w:ascii="Book Antiqua" w:eastAsia="Times New Roman" w:hAnsi="Book Antiqua" w:cs="Arial"/>
            <w:b/>
            <w:bCs/>
            <w:color w:val="000080"/>
            <w:kern w:val="0"/>
            <w:sz w:val="19"/>
            <w:szCs w:val="19"/>
            <w:u w:val="single"/>
            <w:lang w:eastAsia="pt-BR"/>
            <w14:ligatures w14:val="none"/>
          </w:rPr>
          <w:t>DECRETO Nº 6.975, DE 7 DE OUTUBRO DE 2009.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9C5AA1" w:rsidRPr="009C5AA1" w14:paraId="3640B835" w14:textId="77777777" w:rsidTr="009C5AA1">
        <w:trPr>
          <w:trHeight w:val="200"/>
          <w:tblCellSpacing w:w="0" w:type="dxa"/>
        </w:trPr>
        <w:tc>
          <w:tcPr>
            <w:tcW w:w="1167" w:type="pct"/>
            <w:vAlign w:val="center"/>
            <w:hideMark/>
          </w:tcPr>
          <w:p w14:paraId="78FBE318" w14:textId="77777777" w:rsidR="009C5AA1" w:rsidRPr="009C5AA1" w:rsidRDefault="009C5AA1" w:rsidP="009C5AA1">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9C5AA1">
              <w:rPr>
                <w:rFonts w:ascii="Book Antiqua" w:eastAsia="Times New Roman" w:hAnsi="Book Antiqua" w:cs="Times New Roman"/>
                <w:kern w:val="0"/>
                <w:sz w:val="18"/>
                <w:szCs w:val="18"/>
                <w:lang w:eastAsia="pt-BR"/>
                <w14:ligatures w14:val="none"/>
              </w:rPr>
              <w:t> </w:t>
            </w:r>
          </w:p>
        </w:tc>
        <w:tc>
          <w:tcPr>
            <w:tcW w:w="3833" w:type="pct"/>
            <w:vAlign w:val="center"/>
            <w:hideMark/>
          </w:tcPr>
          <w:p w14:paraId="72440355" w14:textId="77777777" w:rsidR="009C5AA1" w:rsidRPr="009C5AA1" w:rsidRDefault="009C5AA1" w:rsidP="009C5AA1">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9C5AA1">
              <w:rPr>
                <w:rFonts w:ascii="Book Antiqua" w:eastAsia="Times New Roman" w:hAnsi="Book Antiqua" w:cs="Arial"/>
                <w:color w:val="800000"/>
                <w:kern w:val="0"/>
                <w:sz w:val="18"/>
                <w:szCs w:val="18"/>
                <w:lang w:eastAsia="pt-BR"/>
                <w14:ligatures w14:val="none"/>
              </w:rPr>
              <w:t>Promulga o Acordo sobre Residência para Nacionais dos Estados Partes do Mercado Comum do Sul – Mercosul, Bolívia e Chile, assinado por ocasião da XXIII Reunião do Conselho do Mercado Comum, realizada em Brasília nos dias 5 e 6 de dezembro de 2002.</w:t>
            </w:r>
          </w:p>
        </w:tc>
      </w:tr>
    </w:tbl>
    <w:p w14:paraId="6BE7AB7C" w14:textId="77777777" w:rsidR="009C5AA1" w:rsidRPr="009C5AA1" w:rsidRDefault="009C5AA1" w:rsidP="009C5AA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b/>
          <w:bCs/>
          <w:color w:val="000000"/>
          <w:kern w:val="0"/>
          <w:sz w:val="19"/>
          <w:szCs w:val="19"/>
          <w:lang w:eastAsia="pt-BR"/>
          <w14:ligatures w14:val="none"/>
        </w:rPr>
        <w:t>O PRESIDENTE DA REPÚBLICA</w:t>
      </w:r>
      <w:r w:rsidRPr="009C5AA1">
        <w:rPr>
          <w:rFonts w:ascii="Book Antiqua" w:eastAsia="Times New Roman" w:hAnsi="Book Antiqua" w:cs="Arial"/>
          <w:color w:val="000000"/>
          <w:kern w:val="0"/>
          <w:sz w:val="19"/>
          <w:szCs w:val="19"/>
          <w:lang w:eastAsia="pt-BR"/>
          <w14:ligatures w14:val="none"/>
        </w:rPr>
        <w:t>, no uso da atribuição que lhe confere o art. 84, inciso IV, da Constituição, e</w:t>
      </w:r>
    </w:p>
    <w:p w14:paraId="31AA92E8" w14:textId="77777777" w:rsidR="009C5AA1" w:rsidRPr="009C5AA1" w:rsidRDefault="009C5AA1" w:rsidP="009C5AA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Considerando que o Congresso Nacional aprovou, por meio do Decreto Legislativo n</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925, de 15 de setembro de 2005, o Acordo sobre Residência para Nacionais dos Estados Partes do Mercado Comum do Sul - Mercosul, Bolívia e Chile, assinado por ocasião da XXIII Reunião do Conselho do Mercado Comum, realizada em Brasília, nos dias 5 e 6 de dezembro de 2002;</w:t>
      </w:r>
    </w:p>
    <w:p w14:paraId="77D2A69E" w14:textId="77777777" w:rsidR="009C5AA1" w:rsidRPr="009C5AA1" w:rsidRDefault="009C5AA1" w:rsidP="009C5AA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Considerando que o Governo brasileiro depositou o instrumento de ratificação do referido Acordo junto ao Departamento de Tratados do Ministério das Relações Exteriores do Paraguai, em 18 de outubro de 2005;</w:t>
      </w:r>
    </w:p>
    <w:p w14:paraId="674F0185" w14:textId="77777777" w:rsidR="009C5AA1" w:rsidRPr="009C5AA1" w:rsidRDefault="009C5AA1" w:rsidP="009C5AA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Considerando que o Acordo entrou em vigor para o Brasil, no plano jurídico externo, em 28 de julho de 2009;</w:t>
      </w:r>
    </w:p>
    <w:p w14:paraId="5CFA2A8C" w14:textId="77777777" w:rsidR="009C5AA1" w:rsidRPr="009C5AA1" w:rsidRDefault="009C5AA1" w:rsidP="009C5AA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b/>
          <w:bCs/>
          <w:color w:val="000000"/>
          <w:kern w:val="0"/>
          <w:sz w:val="19"/>
          <w:szCs w:val="19"/>
          <w:lang w:eastAsia="pt-BR"/>
          <w14:ligatures w14:val="none"/>
        </w:rPr>
        <w:t>DECRETA:</w:t>
      </w:r>
    </w:p>
    <w:p w14:paraId="043F37E5" w14:textId="77777777" w:rsidR="009C5AA1" w:rsidRPr="009C5AA1" w:rsidRDefault="009C5AA1" w:rsidP="009C5AA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 1</w:t>
      </w:r>
      <w:proofErr w:type="gramStart"/>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O</w:t>
      </w:r>
      <w:proofErr w:type="gramEnd"/>
      <w:r w:rsidRPr="009C5AA1">
        <w:rPr>
          <w:rFonts w:ascii="Book Antiqua" w:eastAsia="Times New Roman" w:hAnsi="Book Antiqua" w:cs="Arial"/>
          <w:color w:val="000000"/>
          <w:kern w:val="0"/>
          <w:sz w:val="19"/>
          <w:szCs w:val="19"/>
          <w:lang w:eastAsia="pt-BR"/>
          <w14:ligatures w14:val="none"/>
        </w:rPr>
        <w:t xml:space="preserve"> Acordo sobre Residência para Nacionais dos Estados Partes do Mercado Comum do Sul - Mercosul, Bolívia e Chile, assinado por ocasião da XXIII Reunião do Conselho do Mercado Comum, realizada em Brasília nos dias 5 e 6 de dezembro de 2002, apenso por cópia ao presente Decreto, será executado e cumprido tão inteiramente como nele se contém.</w:t>
      </w:r>
    </w:p>
    <w:p w14:paraId="08500969" w14:textId="77777777" w:rsidR="009C5AA1" w:rsidRPr="009C5AA1" w:rsidRDefault="009C5AA1" w:rsidP="009C5AA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 2</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São sujeitos à aprovação do Congresso Nacional quaisquer atos que possam resultar em revisão do referido Acordo, bem como quaisquer ajustes complementares que, nos termos do </w:t>
      </w:r>
      <w:hyperlink r:id="rId5" w:anchor="art49i" w:history="1">
        <w:r w:rsidRPr="009C5AA1">
          <w:rPr>
            <w:rFonts w:ascii="Book Antiqua" w:eastAsia="Times New Roman" w:hAnsi="Book Antiqua" w:cs="Arial"/>
            <w:color w:val="0000FF"/>
            <w:kern w:val="0"/>
            <w:sz w:val="19"/>
            <w:szCs w:val="19"/>
            <w:u w:val="single"/>
            <w:lang w:eastAsia="pt-BR"/>
            <w14:ligatures w14:val="none"/>
          </w:rPr>
          <w:t>inciso I do art. 49 da Constituição</w:t>
        </w:r>
      </w:hyperlink>
      <w:r w:rsidRPr="009C5AA1">
        <w:rPr>
          <w:rFonts w:ascii="Book Antiqua" w:eastAsia="Times New Roman" w:hAnsi="Book Antiqua" w:cs="Arial"/>
          <w:color w:val="000000"/>
          <w:kern w:val="0"/>
          <w:sz w:val="19"/>
          <w:szCs w:val="19"/>
          <w:lang w:eastAsia="pt-BR"/>
          <w14:ligatures w14:val="none"/>
        </w:rPr>
        <w:t>, acarretem encargos ou compromissos gravosos ao patrimônio nacional.</w:t>
      </w:r>
    </w:p>
    <w:p w14:paraId="0185C3FC" w14:textId="77777777" w:rsidR="009C5AA1" w:rsidRPr="009C5AA1" w:rsidRDefault="009C5AA1" w:rsidP="009C5AA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 3</w:t>
      </w:r>
      <w:proofErr w:type="gramStart"/>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Este</w:t>
      </w:r>
      <w:proofErr w:type="gramEnd"/>
      <w:r w:rsidRPr="009C5AA1">
        <w:rPr>
          <w:rFonts w:ascii="Book Antiqua" w:eastAsia="Times New Roman" w:hAnsi="Book Antiqua" w:cs="Arial"/>
          <w:color w:val="000000"/>
          <w:kern w:val="0"/>
          <w:sz w:val="19"/>
          <w:szCs w:val="19"/>
          <w:lang w:eastAsia="pt-BR"/>
          <w14:ligatures w14:val="none"/>
        </w:rPr>
        <w:t xml:space="preserve"> Decreto entra em vigor na data de sua publicação.</w:t>
      </w:r>
    </w:p>
    <w:p w14:paraId="03BC4EED" w14:textId="77777777" w:rsidR="009C5AA1" w:rsidRPr="009C5AA1" w:rsidRDefault="009C5AA1" w:rsidP="009C5AA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Brasília, 7 de outubro de 2009; 188</w:t>
      </w:r>
      <w:r w:rsidRPr="009C5AA1">
        <w:rPr>
          <w:rFonts w:ascii="Book Antiqua" w:eastAsia="Times New Roman" w:hAnsi="Book Antiqua" w:cs="Arial"/>
          <w:strike/>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da Independência e 121</w:t>
      </w:r>
      <w:r w:rsidRPr="009C5AA1">
        <w:rPr>
          <w:rFonts w:ascii="Book Antiqua" w:eastAsia="Times New Roman" w:hAnsi="Book Antiqua" w:cs="Arial"/>
          <w:strike/>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da República.</w:t>
      </w:r>
    </w:p>
    <w:p w14:paraId="6A2C8C4C" w14:textId="77777777" w:rsidR="009C5AA1" w:rsidRPr="009C5AA1" w:rsidRDefault="009C5AA1" w:rsidP="009C5AA1">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LUIZ INÁCIO LULA DA SILVA</w:t>
      </w:r>
      <w:r w:rsidRPr="009C5AA1">
        <w:rPr>
          <w:rFonts w:ascii="Book Antiqua" w:eastAsia="Times New Roman" w:hAnsi="Book Antiqua" w:cs="Arial"/>
          <w:color w:val="000000"/>
          <w:kern w:val="0"/>
          <w:sz w:val="19"/>
          <w:szCs w:val="19"/>
          <w:lang w:eastAsia="pt-BR"/>
          <w14:ligatures w14:val="none"/>
        </w:rPr>
        <w:br/>
      </w:r>
      <w:r w:rsidRPr="009C5AA1">
        <w:rPr>
          <w:rFonts w:ascii="Book Antiqua" w:eastAsia="Times New Roman" w:hAnsi="Book Antiqua" w:cs="Arial"/>
          <w:i/>
          <w:iCs/>
          <w:color w:val="000000"/>
          <w:kern w:val="0"/>
          <w:sz w:val="19"/>
          <w:szCs w:val="19"/>
          <w:lang w:eastAsia="pt-BR"/>
          <w14:ligatures w14:val="none"/>
        </w:rPr>
        <w:t>Celso Luiz Nunes Amorim</w:t>
      </w:r>
    </w:p>
    <w:p w14:paraId="4A0F3FC5" w14:textId="77777777" w:rsidR="009C5AA1" w:rsidRPr="009C5AA1" w:rsidRDefault="009C5AA1" w:rsidP="009C5AA1">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FF0000"/>
          <w:kern w:val="0"/>
          <w:sz w:val="19"/>
          <w:szCs w:val="19"/>
          <w:lang w:eastAsia="pt-BR"/>
          <w14:ligatures w14:val="none"/>
        </w:rPr>
        <w:t>Este texto não substitui o publicado no DOU de 8.10.2009</w:t>
      </w:r>
    </w:p>
    <w:p w14:paraId="460E4255" w14:textId="77777777" w:rsidR="009C5AA1" w:rsidRPr="009C5AA1" w:rsidRDefault="009C5AA1" w:rsidP="009C5AA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ACORDO SOBRE RESIDÊNCIA PARA NACIONAIS</w:t>
      </w:r>
    </w:p>
    <w:p w14:paraId="2C138195" w14:textId="77777777" w:rsidR="009C5AA1" w:rsidRPr="009C5AA1" w:rsidRDefault="009C5AA1" w:rsidP="009C5AA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DOS ESTADOS PARTES DO MERCOSUL, BOLÍVIA E CHILE</w:t>
      </w:r>
    </w:p>
    <w:p w14:paraId="035F0EA5"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 República Argentina, a República Federativa do Brasil, República do Paraguai e a República Oriental do Uruguai, Estados Partes do MERCOSUL, a República da Bolívia e a República do Chile, Estados Associados,</w:t>
      </w:r>
    </w:p>
    <w:p w14:paraId="70C1776D"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CONSIDERANDO o Tratado de Assunção, assinado em 26 de março de 1991 entre a República Argentina, a República Federativa do Brasil, a República do Paraguai e a República Oriental do Uruguai e o Protocolo de Ouro Preto, sobre a estrutura institucional do MERCOSUL assinado em 17 de dezembro de 1994 por esses mesmos Estados,</w:t>
      </w:r>
    </w:p>
    <w:p w14:paraId="490F863C"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lastRenderedPageBreak/>
        <w:t>ATENDENDO a decisão do Conselho Mercado Comum do MERCOSUL N</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14/96 ''Participação de Terceiros Países Associados em Reuniões de MERCOSUL'' e a N</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12/97 ''Participação do Chile em Reuniões do MERCOSUL''.</w:t>
      </w:r>
    </w:p>
    <w:p w14:paraId="739D8C87"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EM CONCORDÂNCIA com a Decisão N</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07/96 (XI CMC - Fortaleza, 17/ 96) que motivou a necessidade de avançar na elaboração de mecanismos comuns, para aprofundar a cooperação nas áreas de competência dos respectivos Ministérios do Interior ou equivalentes.</w:t>
      </w:r>
    </w:p>
    <w:p w14:paraId="7E2503FC"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REAFIRMANDO o desejo dos Estados Partes do MERCOSUL e dos Países Associados de fortalecer e aprofundar o processo de integração, assim como os fraternais vínculos existentes entre eles.</w:t>
      </w:r>
    </w:p>
    <w:p w14:paraId="6D16DEF1"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TENDO PRESENTE que a implementação de uma política de livre circulação de pessoas na Região é essencial para a consecução desses objetivos;</w:t>
      </w:r>
    </w:p>
    <w:p w14:paraId="2173C242"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VISANDO a solucionar a situação migratória dos nacionais dos Estados Partes e Países Associados na região, a fim de fortalecer os laços que unem a comunidade regional;</w:t>
      </w:r>
    </w:p>
    <w:p w14:paraId="70F01772"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CONVENCIDOS da importância de combater o tráfico de pessoas para fins exploração de mão-de-obra e aquelas situações que impliquem degradação da dignidade humana, buscando soluções conjuntas e conciliadoras aos graves problemas que assolam os Estados Partes, os Países Associados e a comunidade como um todo, consoante compromisso firmado no Plano Geral de Cooperação e Coordenação de Segurança Regional;</w:t>
      </w:r>
    </w:p>
    <w:p w14:paraId="45C05677"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RECONHECENDO o compromisso dos Estados Partes de harmonizar suas legislações para lograr o fortalecimento do processo de integração, tal qual disposto no artigo 1</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do Tratado de Assunção;</w:t>
      </w:r>
    </w:p>
    <w:p w14:paraId="7EC1FC5A"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BUSCANDO estabelecer regras comuns para a tramitação da autorização de residências aos nacionais dos Estados Partes e Associados do MERCOSUL;</w:t>
      </w:r>
    </w:p>
    <w:p w14:paraId="72FB02D3"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ACORDAM:</w:t>
      </w:r>
    </w:p>
    <w:p w14:paraId="22A85BDB" w14:textId="77777777" w:rsidR="009C5AA1" w:rsidRPr="004E6BE2"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4E6BE2">
        <w:rPr>
          <w:rFonts w:ascii="Book Antiqua" w:eastAsia="Times New Roman" w:hAnsi="Book Antiqua" w:cs="Arial"/>
          <w:b/>
          <w:bCs/>
          <w:color w:val="000000"/>
          <w:kern w:val="0"/>
          <w:sz w:val="19"/>
          <w:szCs w:val="19"/>
          <w:highlight w:val="magenta"/>
          <w:lang w:eastAsia="pt-BR"/>
          <w14:ligatures w14:val="none"/>
        </w:rPr>
        <w:t>Artigo 1</w:t>
      </w:r>
    </w:p>
    <w:p w14:paraId="2FD89622"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OBJETO</w:t>
      </w:r>
    </w:p>
    <w:p w14:paraId="23046B53" w14:textId="1F227375" w:rsidR="009C5AA1" w:rsidRPr="004C42C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4E6BE2">
        <w:rPr>
          <w:rFonts w:ascii="Book Antiqua" w:eastAsia="Times New Roman" w:hAnsi="Book Antiqua" w:cs="Arial"/>
          <w:b/>
          <w:bCs/>
          <w:color w:val="000000"/>
          <w:kern w:val="0"/>
          <w:sz w:val="19"/>
          <w:szCs w:val="19"/>
          <w:lang w:eastAsia="pt-BR"/>
          <w14:ligatures w14:val="none"/>
        </w:rPr>
        <w:t>Os nacionais de um Estado Parte que desejem residir no território de outro Estado Parte poderão obter residência legal neste último, conforme os termos deste Acordo, mediante a comprovação de sua nacionalidade e apresentação dos requisitos previsto no artigo 4</w:t>
      </w:r>
      <w:r w:rsidRPr="004E6BE2">
        <w:rPr>
          <w:rFonts w:ascii="Book Antiqua" w:eastAsia="Times New Roman" w:hAnsi="Book Antiqua" w:cs="Arial"/>
          <w:b/>
          <w:bCs/>
          <w:color w:val="000000"/>
          <w:kern w:val="0"/>
          <w:sz w:val="19"/>
          <w:szCs w:val="19"/>
          <w:u w:val="single"/>
          <w:vertAlign w:val="superscript"/>
          <w:lang w:eastAsia="pt-BR"/>
          <w14:ligatures w14:val="none"/>
        </w:rPr>
        <w:t>o</w:t>
      </w:r>
      <w:r w:rsidRPr="004E6BE2">
        <w:rPr>
          <w:rFonts w:ascii="Book Antiqua" w:eastAsia="Times New Roman" w:hAnsi="Book Antiqua" w:cs="Arial"/>
          <w:b/>
          <w:bCs/>
          <w:color w:val="000000"/>
          <w:kern w:val="0"/>
          <w:sz w:val="19"/>
          <w:szCs w:val="19"/>
          <w:lang w:eastAsia="pt-BR"/>
          <w14:ligatures w14:val="none"/>
        </w:rPr>
        <w:t> do presente</w:t>
      </w:r>
      <w:r w:rsidRPr="009C5AA1">
        <w:rPr>
          <w:rFonts w:ascii="Book Antiqua" w:eastAsia="Times New Roman" w:hAnsi="Book Antiqua" w:cs="Arial"/>
          <w:color w:val="000000"/>
          <w:kern w:val="0"/>
          <w:sz w:val="19"/>
          <w:szCs w:val="19"/>
          <w:lang w:eastAsia="pt-BR"/>
          <w14:ligatures w14:val="none"/>
        </w:rPr>
        <w:t>.</w:t>
      </w:r>
      <w:r w:rsidR="004E6BE2">
        <w:rPr>
          <w:rFonts w:ascii="Book Antiqua" w:eastAsia="Times New Roman" w:hAnsi="Book Antiqua" w:cs="Arial"/>
          <w:color w:val="000000"/>
          <w:kern w:val="0"/>
          <w:sz w:val="19"/>
          <w:szCs w:val="19"/>
          <w:lang w:eastAsia="pt-BR"/>
          <w14:ligatures w14:val="none"/>
        </w:rPr>
        <w:t xml:space="preserve"> </w:t>
      </w:r>
      <w:r w:rsidR="004E6BE2" w:rsidRPr="00E263F8">
        <w:rPr>
          <w:rFonts w:ascii="Book Antiqua" w:eastAsia="Times New Roman" w:hAnsi="Book Antiqua" w:cs="Arial"/>
          <w:b/>
          <w:bCs/>
          <w:color w:val="FF0000"/>
          <w:sz w:val="16"/>
          <w:szCs w:val="16"/>
          <w:u w:val="single"/>
          <w:lang w:eastAsia="pt-BR"/>
        </w:rPr>
        <w:t>(TRT</w:t>
      </w:r>
      <w:r w:rsidR="004E6BE2">
        <w:rPr>
          <w:rFonts w:ascii="Book Antiqua" w:eastAsia="Times New Roman" w:hAnsi="Book Antiqua" w:cs="Arial"/>
          <w:b/>
          <w:bCs/>
          <w:color w:val="FF0000"/>
          <w:sz w:val="16"/>
          <w:szCs w:val="16"/>
          <w:u w:val="single"/>
          <w:lang w:eastAsia="pt-BR"/>
        </w:rPr>
        <w:t>21</w:t>
      </w:r>
      <w:r w:rsidR="004E6BE2" w:rsidRPr="00E263F8">
        <w:rPr>
          <w:rFonts w:ascii="Book Antiqua" w:eastAsia="Times New Roman" w:hAnsi="Book Antiqua" w:cs="Arial"/>
          <w:b/>
          <w:bCs/>
          <w:color w:val="FF0000"/>
          <w:sz w:val="16"/>
          <w:szCs w:val="16"/>
          <w:u w:val="single"/>
          <w:lang w:eastAsia="pt-BR"/>
        </w:rPr>
        <w:t>-2012)</w:t>
      </w:r>
      <w:r w:rsidR="004C42C1">
        <w:rPr>
          <w:rFonts w:ascii="Book Antiqua" w:eastAsia="Times New Roman" w:hAnsi="Book Antiqua" w:cs="Arial"/>
          <w:b/>
          <w:bCs/>
          <w:color w:val="FF0000"/>
          <w:sz w:val="16"/>
          <w:szCs w:val="16"/>
          <w:lang w:eastAsia="pt-BR"/>
        </w:rPr>
        <w:t xml:space="preserve"> </w:t>
      </w:r>
      <w:r w:rsidR="004C42C1">
        <w:rPr>
          <w:rFonts w:ascii="Book Antiqua" w:eastAsia="Times New Roman" w:hAnsi="Book Antiqua" w:cs="Arial"/>
          <w:b/>
          <w:bCs/>
          <w:color w:val="FF0000"/>
          <w:sz w:val="16"/>
          <w:szCs w:val="16"/>
          <w:u w:val="single"/>
          <w:lang w:eastAsia="pt-BR"/>
        </w:rPr>
        <w:t>(TRT1-2013)</w:t>
      </w:r>
    </w:p>
    <w:p w14:paraId="7B9601E0" w14:textId="77777777" w:rsidR="009C5AA1" w:rsidRPr="001A1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1A1AA1">
        <w:rPr>
          <w:rFonts w:ascii="Book Antiqua" w:eastAsia="Times New Roman" w:hAnsi="Book Antiqua" w:cs="Arial"/>
          <w:b/>
          <w:bCs/>
          <w:color w:val="000000"/>
          <w:kern w:val="0"/>
          <w:sz w:val="19"/>
          <w:szCs w:val="19"/>
          <w:highlight w:val="magenta"/>
          <w:lang w:eastAsia="pt-BR"/>
          <w14:ligatures w14:val="none"/>
        </w:rPr>
        <w:t>Artigo 2</w:t>
      </w:r>
    </w:p>
    <w:p w14:paraId="44D2ED74"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DEFINIÇÕES</w:t>
      </w:r>
    </w:p>
    <w:p w14:paraId="6AEC5760" w14:textId="77777777" w:rsidR="009C5AA1" w:rsidRPr="001A1AA1" w:rsidRDefault="009C5AA1" w:rsidP="009C5AA1">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1A1AA1">
        <w:rPr>
          <w:rFonts w:ascii="Book Antiqua" w:eastAsia="Times New Roman" w:hAnsi="Book Antiqua" w:cs="Arial"/>
          <w:b/>
          <w:bCs/>
          <w:color w:val="000000"/>
          <w:kern w:val="0"/>
          <w:sz w:val="19"/>
          <w:szCs w:val="19"/>
          <w:lang w:eastAsia="pt-BR"/>
          <w14:ligatures w14:val="none"/>
        </w:rPr>
        <w:t>Os termos utilizados no presente Acordo terão a seguinte interpretação:</w:t>
      </w:r>
    </w:p>
    <w:p w14:paraId="07E0EEB9"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''Estados Partes'': Estados membros e Países Associados do MERCOSUL;</w:t>
      </w:r>
    </w:p>
    <w:p w14:paraId="5B32D199" w14:textId="3F1A182E" w:rsidR="009C5AA1" w:rsidRPr="001A1AA1" w:rsidRDefault="009C5AA1" w:rsidP="009C5AA1">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1A1AA1">
        <w:rPr>
          <w:rFonts w:ascii="Book Antiqua" w:eastAsia="Times New Roman" w:hAnsi="Book Antiqua" w:cs="Arial"/>
          <w:b/>
          <w:bCs/>
          <w:color w:val="000000"/>
          <w:kern w:val="0"/>
          <w:sz w:val="19"/>
          <w:szCs w:val="19"/>
          <w:lang w:eastAsia="pt-BR"/>
          <w14:ligatures w14:val="none"/>
        </w:rPr>
        <w:t>''</w:t>
      </w:r>
      <w:r w:rsidRPr="001A1AA1">
        <w:rPr>
          <w:rFonts w:ascii="Book Antiqua" w:eastAsia="Times New Roman" w:hAnsi="Book Antiqua" w:cs="Arial"/>
          <w:b/>
          <w:bCs/>
          <w:caps/>
          <w:color w:val="000000"/>
          <w:kern w:val="0"/>
          <w:sz w:val="19"/>
          <w:szCs w:val="19"/>
          <w:shd w:val="clear" w:color="auto" w:fill="F7CAAC" w:themeFill="accent2" w:themeFillTint="66"/>
          <w:lang w:eastAsia="pt-BR"/>
          <w14:ligatures w14:val="none"/>
        </w:rPr>
        <w:t>Nacionais de uma Parte</w:t>
      </w:r>
      <w:r w:rsidRPr="001A1AA1">
        <w:rPr>
          <w:rFonts w:ascii="Book Antiqua" w:eastAsia="Times New Roman" w:hAnsi="Book Antiqua" w:cs="Arial"/>
          <w:b/>
          <w:bCs/>
          <w:color w:val="000000"/>
          <w:kern w:val="0"/>
          <w:sz w:val="19"/>
          <w:szCs w:val="19"/>
          <w:lang w:eastAsia="pt-BR"/>
          <w14:ligatures w14:val="none"/>
        </w:rPr>
        <w:t>'': são as pessoas que possuem a nacionalidade originária de um dos Estados Partes ou a nacionalidade adquirida por naturalização há pelo menos cinco anos;</w:t>
      </w:r>
      <w:r w:rsidR="001A1AA1" w:rsidRPr="001A1AA1">
        <w:rPr>
          <w:rFonts w:ascii="Book Antiqua" w:eastAsia="Times New Roman" w:hAnsi="Book Antiqua" w:cs="Arial"/>
          <w:b/>
          <w:bCs/>
          <w:color w:val="000000"/>
          <w:kern w:val="0"/>
          <w:sz w:val="19"/>
          <w:szCs w:val="19"/>
          <w:lang w:eastAsia="pt-BR"/>
          <w14:ligatures w14:val="none"/>
        </w:rPr>
        <w:t xml:space="preserve"> </w:t>
      </w:r>
      <w:r w:rsidR="001A1AA1" w:rsidRPr="001A1AA1">
        <w:rPr>
          <w:rFonts w:ascii="Book Antiqua" w:hAnsi="Book Antiqua"/>
          <w:b/>
          <w:bCs/>
          <w:color w:val="FF0000"/>
          <w:sz w:val="16"/>
          <w:szCs w:val="16"/>
          <w:u w:val="single"/>
        </w:rPr>
        <w:t>(TRT6-2015)</w:t>
      </w:r>
    </w:p>
    <w:p w14:paraId="479FC2BB"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''Imigrantes'': são os nacionais das Partes que desejem estabelecer-se no território da outra Parte;</w:t>
      </w:r>
    </w:p>
    <w:p w14:paraId="56FE6C34"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''País de origem'': é o país de nacionalidade dos imigrantes;</w:t>
      </w:r>
    </w:p>
    <w:p w14:paraId="7989F2C9"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lastRenderedPageBreak/>
        <w:t>''País de recepção'': é o país da nova residência dos imigrantes.</w:t>
      </w:r>
    </w:p>
    <w:p w14:paraId="3C33F870"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3</w:t>
      </w:r>
    </w:p>
    <w:p w14:paraId="30CEBE6D"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ÂMBITO DE APLICAÇÃO</w:t>
      </w:r>
    </w:p>
    <w:p w14:paraId="066C17FE"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O presente Acordo aplica-se a:</w:t>
      </w:r>
    </w:p>
    <w:p w14:paraId="7BE12E2E"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1) Nacionais de uma Parte, que desejem estabelecer-se no território de outra e que apresentem perante o consulado respectivo sua solicitação de ingresso no país e a documentação determinada no artigo seguinte;</w:t>
      </w:r>
    </w:p>
    <w:p w14:paraId="08B5A2C9" w14:textId="77777777" w:rsidR="009C5AA1" w:rsidRPr="009C5AA1" w:rsidRDefault="009C5AA1" w:rsidP="004E6BE2">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2) Nacionais de uma Parte, que se encontrem no território de outra Parte, desejando estabelecer-se no mesmo e apresentem perante aos serviços de migração sua solicitação de regularização e a documentação determinada no artigo seguinte.</w:t>
      </w:r>
    </w:p>
    <w:p w14:paraId="3B32A71A"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O procedimento previsto no parágrafo 2 aplicar-se-á independente da condição migratória em que houver ingressado o peticionante no território do país de recepção e implicará a isenção de multas e outras sanções administrativas mais gravosas.</w:t>
      </w:r>
    </w:p>
    <w:p w14:paraId="21415F1F"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b/>
          <w:bCs/>
          <w:color w:val="000000"/>
          <w:kern w:val="0"/>
          <w:sz w:val="19"/>
          <w:szCs w:val="19"/>
          <w:highlight w:val="magenta"/>
          <w:lang w:eastAsia="pt-BR"/>
          <w14:ligatures w14:val="none"/>
        </w:rPr>
        <w:t>Artigo 4</w:t>
      </w:r>
    </w:p>
    <w:p w14:paraId="63EAF776"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TIPO DE RESIDÊNCIA A OUTORGAR E REQUISITOS</w:t>
      </w:r>
    </w:p>
    <w:p w14:paraId="4824437B" w14:textId="1A44E130"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b/>
          <w:bCs/>
          <w:color w:val="000000"/>
          <w:kern w:val="0"/>
          <w:sz w:val="19"/>
          <w:szCs w:val="19"/>
          <w:highlight w:val="magenta"/>
          <w:lang w:eastAsia="pt-BR"/>
          <w14:ligatures w14:val="none"/>
        </w:rPr>
        <w:t>1</w:t>
      </w:r>
      <w:r w:rsidRPr="009C5AA1">
        <w:rPr>
          <w:rFonts w:ascii="Book Antiqua" w:eastAsia="Times New Roman" w:hAnsi="Book Antiqua" w:cs="Arial"/>
          <w:b/>
          <w:bCs/>
          <w:color w:val="000000"/>
          <w:kern w:val="0"/>
          <w:sz w:val="19"/>
          <w:szCs w:val="19"/>
          <w:lang w:eastAsia="pt-BR"/>
          <w14:ligatures w14:val="none"/>
        </w:rPr>
        <w:t>. Aos peticionantes compreendidos nos parágrafos 1 e 2 do Artigo 3</w:t>
      </w:r>
      <w:r w:rsidRPr="009C5AA1">
        <w:rPr>
          <w:rFonts w:ascii="Book Antiqua" w:eastAsia="Times New Roman" w:hAnsi="Book Antiqua" w:cs="Arial"/>
          <w:b/>
          <w:bCs/>
          <w:color w:val="000000"/>
          <w:kern w:val="0"/>
          <w:sz w:val="19"/>
          <w:szCs w:val="19"/>
          <w:u w:val="single"/>
          <w:vertAlign w:val="superscript"/>
          <w:lang w:eastAsia="pt-BR"/>
          <w14:ligatures w14:val="none"/>
        </w:rPr>
        <w:t>o</w:t>
      </w:r>
      <w:r w:rsidRPr="009C5AA1">
        <w:rPr>
          <w:rFonts w:ascii="Book Antiqua" w:eastAsia="Times New Roman" w:hAnsi="Book Antiqua" w:cs="Arial"/>
          <w:b/>
          <w:bCs/>
          <w:color w:val="000000"/>
          <w:kern w:val="0"/>
          <w:sz w:val="19"/>
          <w:szCs w:val="19"/>
          <w:lang w:eastAsia="pt-BR"/>
          <w14:ligatures w14:val="none"/>
        </w:rPr>
        <w:t xml:space="preserve">, a representação consular ou os serviços de migração correspondentes, segundo seja o caso, </w:t>
      </w:r>
      <w:r w:rsidRPr="009C5AA1">
        <w:rPr>
          <w:rFonts w:ascii="Book Antiqua" w:eastAsia="Times New Roman" w:hAnsi="Book Antiqua" w:cs="Arial"/>
          <w:b/>
          <w:bCs/>
          <w:caps/>
          <w:color w:val="000000"/>
          <w:kern w:val="0"/>
          <w:sz w:val="19"/>
          <w:szCs w:val="19"/>
          <w:highlight w:val="green"/>
          <w:lang w:eastAsia="pt-BR"/>
          <w14:ligatures w14:val="none"/>
        </w:rPr>
        <w:t>poderá outorgar</w:t>
      </w:r>
      <w:r w:rsidRPr="009C5AA1">
        <w:rPr>
          <w:rFonts w:ascii="Book Antiqua" w:eastAsia="Times New Roman" w:hAnsi="Book Antiqua" w:cs="Arial"/>
          <w:b/>
          <w:bCs/>
          <w:color w:val="000000"/>
          <w:kern w:val="0"/>
          <w:sz w:val="19"/>
          <w:szCs w:val="19"/>
          <w:lang w:eastAsia="pt-BR"/>
          <w14:ligatures w14:val="none"/>
        </w:rPr>
        <w:t xml:space="preserve"> </w:t>
      </w:r>
      <w:r w:rsidRPr="009C5AA1">
        <w:rPr>
          <w:rFonts w:ascii="Book Antiqua" w:eastAsia="Times New Roman" w:hAnsi="Book Antiqua" w:cs="Arial"/>
          <w:b/>
          <w:bCs/>
          <w:color w:val="000000"/>
          <w:kern w:val="0"/>
          <w:sz w:val="19"/>
          <w:szCs w:val="19"/>
          <w:highlight w:val="yellow"/>
          <w:lang w:eastAsia="pt-BR"/>
          <w14:ligatures w14:val="none"/>
        </w:rPr>
        <w:t>uma residência temporária</w:t>
      </w:r>
      <w:r w:rsidRPr="009C5AA1">
        <w:rPr>
          <w:rFonts w:ascii="Book Antiqua" w:eastAsia="Times New Roman" w:hAnsi="Book Antiqua" w:cs="Arial"/>
          <w:b/>
          <w:bCs/>
          <w:color w:val="000000"/>
          <w:kern w:val="0"/>
          <w:sz w:val="19"/>
          <w:szCs w:val="19"/>
          <w:lang w:eastAsia="pt-BR"/>
          <w14:ligatures w14:val="none"/>
        </w:rPr>
        <w:t xml:space="preserve"> </w:t>
      </w:r>
      <w:r w:rsidRPr="009C5AA1">
        <w:rPr>
          <w:rFonts w:ascii="Book Antiqua" w:eastAsia="Times New Roman" w:hAnsi="Book Antiqua" w:cs="Arial"/>
          <w:b/>
          <w:bCs/>
          <w:color w:val="000000"/>
          <w:kern w:val="0"/>
          <w:sz w:val="19"/>
          <w:szCs w:val="19"/>
          <w:highlight w:val="cyan"/>
          <w:lang w:eastAsia="pt-BR"/>
          <w14:ligatures w14:val="none"/>
        </w:rPr>
        <w:t>de até dois anos</w:t>
      </w:r>
      <w:r w:rsidRPr="009C5AA1">
        <w:rPr>
          <w:rFonts w:ascii="Book Antiqua" w:eastAsia="Times New Roman" w:hAnsi="Book Antiqua" w:cs="Arial"/>
          <w:b/>
          <w:bCs/>
          <w:color w:val="000000"/>
          <w:kern w:val="0"/>
          <w:sz w:val="19"/>
          <w:szCs w:val="19"/>
          <w:lang w:eastAsia="pt-BR"/>
          <w14:ligatures w14:val="none"/>
        </w:rPr>
        <w:t>, mediante prévia apresentação da seguinte documentação:</w:t>
      </w:r>
      <w:r w:rsidR="004C42C1">
        <w:rPr>
          <w:rFonts w:ascii="Book Antiqua" w:eastAsia="Times New Roman" w:hAnsi="Book Antiqua" w:cs="Arial"/>
          <w:b/>
          <w:bCs/>
          <w:color w:val="000000"/>
          <w:kern w:val="0"/>
          <w:sz w:val="19"/>
          <w:szCs w:val="19"/>
          <w:lang w:eastAsia="pt-BR"/>
          <w14:ligatures w14:val="none"/>
        </w:rPr>
        <w:t xml:space="preserve"> </w:t>
      </w:r>
      <w:r w:rsidR="004C42C1">
        <w:rPr>
          <w:rFonts w:ascii="Book Antiqua" w:eastAsia="Times New Roman" w:hAnsi="Book Antiqua" w:cs="Arial"/>
          <w:b/>
          <w:bCs/>
          <w:color w:val="FF0000"/>
          <w:sz w:val="16"/>
          <w:szCs w:val="16"/>
          <w:u w:val="single"/>
          <w:lang w:eastAsia="pt-BR"/>
        </w:rPr>
        <w:t>(TRT1-2013)</w:t>
      </w:r>
      <w:r w:rsidR="001A1AA1">
        <w:rPr>
          <w:rFonts w:ascii="Book Antiqua" w:eastAsia="Times New Roman" w:hAnsi="Book Antiqua" w:cs="Arial"/>
          <w:b/>
          <w:bCs/>
          <w:color w:val="FF0000"/>
          <w:sz w:val="16"/>
          <w:szCs w:val="16"/>
          <w:lang w:eastAsia="pt-BR"/>
        </w:rPr>
        <w:t xml:space="preserve"> </w:t>
      </w:r>
      <w:r w:rsidR="001A1AA1">
        <w:rPr>
          <w:rFonts w:ascii="Book Antiqua" w:hAnsi="Book Antiqua"/>
          <w:b/>
          <w:color w:val="FF0000"/>
          <w:sz w:val="16"/>
          <w:szCs w:val="16"/>
          <w:u w:val="single"/>
        </w:rPr>
        <w:t>(TRT6-2015)</w:t>
      </w:r>
      <w:r w:rsidRPr="009C5AA1">
        <w:rPr>
          <w:rFonts w:ascii="Book Antiqua" w:eastAsia="Times New Roman" w:hAnsi="Book Antiqua" w:cs="Arial"/>
          <w:b/>
          <w:bCs/>
          <w:color w:val="000000"/>
          <w:kern w:val="0"/>
          <w:sz w:val="19"/>
          <w:szCs w:val="19"/>
          <w:lang w:eastAsia="pt-BR"/>
          <w14:ligatures w14:val="none"/>
        </w:rPr>
        <w:t xml:space="preserve"> </w:t>
      </w:r>
      <w:r w:rsidRPr="009C5AA1">
        <w:rPr>
          <w:rFonts w:ascii="Book Antiqua" w:eastAsia="Times New Roman" w:hAnsi="Book Antiqua" w:cs="Arial"/>
          <w:b/>
          <w:bCs/>
          <w:color w:val="FF0000"/>
          <w:sz w:val="16"/>
          <w:szCs w:val="16"/>
          <w:u w:val="single"/>
          <w:lang w:eastAsia="pt-BR"/>
        </w:rPr>
        <w:t>(MPT-2020)</w:t>
      </w:r>
    </w:p>
    <w:p w14:paraId="323DA8D1" w14:textId="0FE28FBB"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b/>
          <w:bCs/>
          <w:color w:val="000000"/>
          <w:kern w:val="0"/>
          <w:sz w:val="19"/>
          <w:szCs w:val="19"/>
          <w:lang w:eastAsia="pt-BR"/>
          <w14:ligatures w14:val="none"/>
        </w:rPr>
        <w:t xml:space="preserve">a) </w:t>
      </w:r>
      <w:r w:rsidRPr="009C5AA1">
        <w:rPr>
          <w:rFonts w:ascii="Book Antiqua" w:eastAsia="Times New Roman" w:hAnsi="Book Antiqua" w:cs="Arial"/>
          <w:b/>
          <w:bCs/>
          <w:color w:val="000000"/>
          <w:kern w:val="0"/>
          <w:sz w:val="19"/>
          <w:szCs w:val="19"/>
          <w:highlight w:val="yellow"/>
          <w:lang w:eastAsia="pt-BR"/>
          <w14:ligatures w14:val="none"/>
        </w:rPr>
        <w:t>Passaporte válido e vigente</w:t>
      </w:r>
      <w:r w:rsidRPr="009C5AA1">
        <w:rPr>
          <w:rFonts w:ascii="Book Antiqua" w:eastAsia="Times New Roman" w:hAnsi="Book Antiqua" w:cs="Arial"/>
          <w:b/>
          <w:bCs/>
          <w:color w:val="000000"/>
          <w:kern w:val="0"/>
          <w:sz w:val="19"/>
          <w:szCs w:val="19"/>
          <w:lang w:eastAsia="pt-BR"/>
          <w14:ligatures w14:val="none"/>
        </w:rPr>
        <w:t xml:space="preserve"> ou </w:t>
      </w:r>
      <w:r w:rsidRPr="009C5AA1">
        <w:rPr>
          <w:rFonts w:ascii="Book Antiqua" w:eastAsia="Times New Roman" w:hAnsi="Book Antiqua" w:cs="Arial"/>
          <w:b/>
          <w:bCs/>
          <w:color w:val="000000"/>
          <w:kern w:val="0"/>
          <w:sz w:val="19"/>
          <w:szCs w:val="19"/>
          <w:highlight w:val="yellow"/>
          <w:lang w:eastAsia="pt-BR"/>
          <w14:ligatures w14:val="none"/>
        </w:rPr>
        <w:t>carteira de identidade</w:t>
      </w:r>
      <w:r w:rsidRPr="009C5AA1">
        <w:rPr>
          <w:rFonts w:ascii="Book Antiqua" w:eastAsia="Times New Roman" w:hAnsi="Book Antiqua" w:cs="Arial"/>
          <w:b/>
          <w:bCs/>
          <w:color w:val="000000"/>
          <w:kern w:val="0"/>
          <w:sz w:val="19"/>
          <w:szCs w:val="19"/>
          <w:lang w:eastAsia="pt-BR"/>
          <w14:ligatures w14:val="none"/>
        </w:rPr>
        <w:t xml:space="preserve"> ou </w:t>
      </w:r>
      <w:r w:rsidRPr="009C5AA1">
        <w:rPr>
          <w:rFonts w:ascii="Book Antiqua" w:eastAsia="Times New Roman" w:hAnsi="Book Antiqua" w:cs="Arial"/>
          <w:b/>
          <w:bCs/>
          <w:color w:val="000000"/>
          <w:kern w:val="0"/>
          <w:sz w:val="19"/>
          <w:szCs w:val="19"/>
          <w:highlight w:val="yellow"/>
          <w:lang w:eastAsia="pt-BR"/>
          <w14:ligatures w14:val="none"/>
        </w:rPr>
        <w:t>certidão de nacionalidade</w:t>
      </w:r>
      <w:r w:rsidRPr="009C5AA1">
        <w:rPr>
          <w:rFonts w:ascii="Book Antiqua" w:eastAsia="Times New Roman" w:hAnsi="Book Antiqua" w:cs="Arial"/>
          <w:b/>
          <w:bCs/>
          <w:color w:val="000000"/>
          <w:kern w:val="0"/>
          <w:sz w:val="19"/>
          <w:szCs w:val="19"/>
          <w:lang w:eastAsia="pt-BR"/>
          <w14:ligatures w14:val="none"/>
        </w:rPr>
        <w:t xml:space="preserve"> expedida pelo agente consular do país de origem, credenciado no país de recepção, de modo que reste provada a identidade e a nacionalidade do peticionante; </w:t>
      </w:r>
      <w:r w:rsidRPr="009C5AA1">
        <w:rPr>
          <w:rFonts w:ascii="Book Antiqua" w:eastAsia="Times New Roman" w:hAnsi="Book Antiqua" w:cs="Arial"/>
          <w:b/>
          <w:bCs/>
          <w:color w:val="FF0000"/>
          <w:sz w:val="16"/>
          <w:szCs w:val="16"/>
          <w:u w:val="single"/>
          <w:lang w:eastAsia="pt-BR"/>
        </w:rPr>
        <w:t>(MPT-2020)</w:t>
      </w:r>
    </w:p>
    <w:p w14:paraId="02821952"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b) Certidão de nascimento e comprovação de estado civil da pessoa e certificado de nacionalização ou naturalização, quando for o caso;</w:t>
      </w:r>
    </w:p>
    <w:p w14:paraId="54120587"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c) Certidão negativa de antecedentes judiciais e/ou penais e/ou policiais no país de origem ou nos que houver residido o peticionante nos cinco anos anteriores à sua chegada ao país de recepção ou seu pedido ao consulado, segundo seja o caso;</w:t>
      </w:r>
    </w:p>
    <w:p w14:paraId="526AE25D"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d) Declaração, sob as penas da lei, de ausência de antecedentes internacionais penais ou policiais;</w:t>
      </w:r>
    </w:p>
    <w:p w14:paraId="697ADDDA" w14:textId="77777777" w:rsidR="009C5AA1" w:rsidRPr="009C5AA1" w:rsidRDefault="009C5AA1" w:rsidP="009C5AA1">
      <w:pPr>
        <w:spacing w:before="100" w:beforeAutospacing="1" w:after="100" w:afterAutospacing="1" w:line="240" w:lineRule="auto"/>
        <w:ind w:firstLine="525"/>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e) Certificado de antecedentes judiciais e/ou penais e/ou policiais do peticionante no país de recepção, quando se tratar de nacionais compreendidos no parágrafo 2 do Artigo 3</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do presente Acordo;</w:t>
      </w:r>
    </w:p>
    <w:p w14:paraId="299DECC2"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f) Se exigido pela legislação interna do Estado Parte de ingresso, certificado médico expedido por autoridade médica migratória ou outra autoridade sanitária oficial do país de origem ou de recepção, segundo equivalha, no qual conste a aptidão psicofísica do peticionante, em conformidade com as normas internas do país de recepção;</w:t>
      </w:r>
    </w:p>
    <w:p w14:paraId="2A908BEB"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g) Pagamento de uma taxa de serviço, conforme disposto nas respectivas legislações internas.</w:t>
      </w:r>
    </w:p>
    <w:p w14:paraId="06548E1E"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 xml:space="preserve">2. Para efeitos de legalização dos documentos, quando a solicitação tramitar no consulado, bastará a notificação de sua autenticidade, conforme os procedimentos estabelecidos no país do qual o documento procede. Quando a solicitação tramitar pelos serviços migratórios, tais documentos </w:t>
      </w:r>
      <w:r w:rsidRPr="009C5AA1">
        <w:rPr>
          <w:rFonts w:ascii="Book Antiqua" w:eastAsia="Times New Roman" w:hAnsi="Book Antiqua" w:cs="Arial"/>
          <w:color w:val="000000"/>
          <w:kern w:val="0"/>
          <w:sz w:val="19"/>
          <w:szCs w:val="19"/>
          <w:lang w:eastAsia="pt-BR"/>
          <w14:ligatures w14:val="none"/>
        </w:rPr>
        <w:lastRenderedPageBreak/>
        <w:t>deverão somente ser certificados pelo agente consular do país de origem do peticionante, credenciado no país de recepção, sem outro cuidado.</w:t>
      </w:r>
    </w:p>
    <w:p w14:paraId="74DCBCE8" w14:textId="77777777" w:rsidR="009C5AA1" w:rsidRPr="004C42C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4C42C1">
        <w:rPr>
          <w:rFonts w:ascii="Book Antiqua" w:eastAsia="Times New Roman" w:hAnsi="Book Antiqua" w:cs="Arial"/>
          <w:b/>
          <w:bCs/>
          <w:color w:val="000000"/>
          <w:kern w:val="0"/>
          <w:sz w:val="19"/>
          <w:szCs w:val="19"/>
          <w:highlight w:val="magenta"/>
          <w:lang w:eastAsia="pt-BR"/>
          <w14:ligatures w14:val="none"/>
        </w:rPr>
        <w:t>Artigo 5</w:t>
      </w:r>
    </w:p>
    <w:p w14:paraId="53481055"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RESIDÊNCIA PERMANENTE</w:t>
      </w:r>
    </w:p>
    <w:p w14:paraId="0EA7770E" w14:textId="26D458C5" w:rsidR="009C5AA1" w:rsidRPr="001A1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4C42C1">
        <w:rPr>
          <w:rFonts w:ascii="Book Antiqua" w:eastAsia="Times New Roman" w:hAnsi="Book Antiqua" w:cs="Arial"/>
          <w:b/>
          <w:bCs/>
          <w:color w:val="000000"/>
          <w:kern w:val="0"/>
          <w:sz w:val="19"/>
          <w:szCs w:val="19"/>
          <w:highlight w:val="magenta"/>
          <w:lang w:eastAsia="pt-BR"/>
          <w14:ligatures w14:val="none"/>
        </w:rPr>
        <w:t>1</w:t>
      </w:r>
      <w:r w:rsidRPr="004C42C1">
        <w:rPr>
          <w:rFonts w:ascii="Book Antiqua" w:eastAsia="Times New Roman" w:hAnsi="Book Antiqua" w:cs="Arial"/>
          <w:b/>
          <w:bCs/>
          <w:color w:val="000000"/>
          <w:kern w:val="0"/>
          <w:sz w:val="19"/>
          <w:szCs w:val="19"/>
          <w:lang w:eastAsia="pt-BR"/>
          <w14:ligatures w14:val="none"/>
        </w:rPr>
        <w:t>. A residência temporária poderá ser transformada em permanente, mediante a apresentação do peticionante, perante a autoridade migratória do país de recepção, 90 (noventa) dias antes do vencimento da mesma, acompanhado da seguinte documentação</w:t>
      </w:r>
      <w:r w:rsidRPr="009C5AA1">
        <w:rPr>
          <w:rFonts w:ascii="Book Antiqua" w:eastAsia="Times New Roman" w:hAnsi="Book Antiqua" w:cs="Arial"/>
          <w:color w:val="000000"/>
          <w:kern w:val="0"/>
          <w:sz w:val="19"/>
          <w:szCs w:val="19"/>
          <w:lang w:eastAsia="pt-BR"/>
          <w14:ligatures w14:val="none"/>
        </w:rPr>
        <w:t>:</w:t>
      </w:r>
      <w:r w:rsidR="004C42C1">
        <w:rPr>
          <w:rFonts w:ascii="Book Antiqua" w:eastAsia="Times New Roman" w:hAnsi="Book Antiqua" w:cs="Arial"/>
          <w:color w:val="000000"/>
          <w:kern w:val="0"/>
          <w:sz w:val="19"/>
          <w:szCs w:val="19"/>
          <w:lang w:eastAsia="pt-BR"/>
          <w14:ligatures w14:val="none"/>
        </w:rPr>
        <w:t xml:space="preserve"> </w:t>
      </w:r>
      <w:r w:rsidR="004C42C1">
        <w:rPr>
          <w:rFonts w:ascii="Book Antiqua" w:eastAsia="Times New Roman" w:hAnsi="Book Antiqua" w:cs="Arial"/>
          <w:b/>
          <w:bCs/>
          <w:color w:val="FF0000"/>
          <w:sz w:val="16"/>
          <w:szCs w:val="16"/>
          <w:u w:val="single"/>
          <w:lang w:eastAsia="pt-BR"/>
        </w:rPr>
        <w:t>(TRT1-2013)</w:t>
      </w:r>
      <w:r w:rsidR="001A1AA1">
        <w:rPr>
          <w:rFonts w:ascii="Book Antiqua" w:eastAsia="Times New Roman" w:hAnsi="Book Antiqua" w:cs="Arial"/>
          <w:b/>
          <w:bCs/>
          <w:color w:val="FF0000"/>
          <w:sz w:val="16"/>
          <w:szCs w:val="16"/>
          <w:lang w:eastAsia="pt-BR"/>
        </w:rPr>
        <w:t xml:space="preserve"> </w:t>
      </w:r>
      <w:r w:rsidR="001A1AA1">
        <w:rPr>
          <w:rFonts w:ascii="Book Antiqua" w:hAnsi="Book Antiqua"/>
          <w:b/>
          <w:color w:val="FF0000"/>
          <w:sz w:val="16"/>
          <w:szCs w:val="16"/>
          <w:u w:val="single"/>
        </w:rPr>
        <w:t>(TRT6-2015)</w:t>
      </w:r>
    </w:p>
    <w:p w14:paraId="498F1653"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 Certidão de residência temporária obtida em conformidade com os termos do presente Acordo;</w:t>
      </w:r>
    </w:p>
    <w:p w14:paraId="11583783"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b) Passaporte válido e vigente ou carteira de identidade ou certificado de nacionalidade expedida pelo agente consular do país de origem do peticionante, credenciado no país de recepção, de modo que se prove a identidade do peticionante;</w:t>
      </w:r>
    </w:p>
    <w:p w14:paraId="00564967"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c) Certidão negativa de antecedentes judiciais e/ou penais e/ou policiais, no país de recepção;</w:t>
      </w:r>
    </w:p>
    <w:p w14:paraId="094A995C" w14:textId="2AAB60B8"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1A1AA1">
        <w:rPr>
          <w:rFonts w:ascii="Book Antiqua" w:eastAsia="Times New Roman" w:hAnsi="Book Antiqua" w:cs="Arial"/>
          <w:b/>
          <w:bCs/>
          <w:color w:val="000000"/>
          <w:kern w:val="0"/>
          <w:sz w:val="19"/>
          <w:szCs w:val="19"/>
          <w:lang w:eastAsia="pt-BR"/>
          <w14:ligatures w14:val="none"/>
        </w:rPr>
        <w:t>d) Comprovação de meios de vida lícitos que permitam a subsistência do peticionante e de seu grupo familiar de convívio</w:t>
      </w:r>
      <w:r w:rsidRPr="009C5AA1">
        <w:rPr>
          <w:rFonts w:ascii="Book Antiqua" w:eastAsia="Times New Roman" w:hAnsi="Book Antiqua" w:cs="Arial"/>
          <w:color w:val="000000"/>
          <w:kern w:val="0"/>
          <w:sz w:val="19"/>
          <w:szCs w:val="19"/>
          <w:lang w:eastAsia="pt-BR"/>
          <w14:ligatures w14:val="none"/>
        </w:rPr>
        <w:t>;</w:t>
      </w:r>
      <w:r w:rsidR="001A1AA1">
        <w:rPr>
          <w:rFonts w:ascii="Book Antiqua" w:eastAsia="Times New Roman" w:hAnsi="Book Antiqua" w:cs="Arial"/>
          <w:color w:val="000000"/>
          <w:kern w:val="0"/>
          <w:sz w:val="19"/>
          <w:szCs w:val="19"/>
          <w:lang w:eastAsia="pt-BR"/>
          <w14:ligatures w14:val="none"/>
        </w:rPr>
        <w:t xml:space="preserve"> </w:t>
      </w:r>
      <w:r w:rsidR="001A1AA1">
        <w:rPr>
          <w:rFonts w:ascii="Book Antiqua" w:hAnsi="Book Antiqua"/>
          <w:b/>
          <w:color w:val="FF0000"/>
          <w:sz w:val="16"/>
          <w:szCs w:val="16"/>
          <w:u w:val="single"/>
        </w:rPr>
        <w:t>(TRT6-2015)</w:t>
      </w:r>
    </w:p>
    <w:p w14:paraId="0DEA26F5"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e) Pagamento de uma taxa perante o respectivo serviço de migração, conforme disposto nas respectivas legislações internas.</w:t>
      </w:r>
    </w:p>
    <w:p w14:paraId="6AE54043"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6</w:t>
      </w:r>
    </w:p>
    <w:p w14:paraId="77DF2EEE"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NÃO APRESENTAÇÃO NO PRAZO</w:t>
      </w:r>
    </w:p>
    <w:p w14:paraId="481847F0"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Os imigrantes que, uma vez vencida a residência temporária de até dois anos, outorgada em virtude do artigo 4</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do presente, não se apresentarem à autoridade migratória do país de recepção, ficam submetidos à legislação migratória interna de cada Estado Parte.</w:t>
      </w:r>
    </w:p>
    <w:p w14:paraId="668C962E"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7</w:t>
      </w:r>
    </w:p>
    <w:p w14:paraId="3A6A544E"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INTERCÂMBIO DE INFORMAÇÕES</w:t>
      </w:r>
    </w:p>
    <w:p w14:paraId="1C30F5E7"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As partes apresentarão suas respectivas regulamentações nacionais sobre imigração, assim como, no caso de elaboração, suas últimas modificações, e garantirão aos cidadãos de outros Estados Partes que tiverem obtido sua residência, um tratamento igualitário quanto a direitos civis, de acordo com as respectivas legislações internas.</w:t>
      </w:r>
    </w:p>
    <w:p w14:paraId="1D564FEC"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8</w:t>
      </w:r>
    </w:p>
    <w:p w14:paraId="1344E2A2"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NORMAS GERAIS SOBRE ENTRADA E PERMANÊNCIA</w:t>
      </w:r>
    </w:p>
    <w:p w14:paraId="54B728C8" w14:textId="77777777" w:rsidR="009C5AA1" w:rsidRPr="009C5AA1" w:rsidRDefault="009C5AA1" w:rsidP="009C5AA1">
      <w:pPr>
        <w:spacing w:before="100" w:beforeAutospacing="1" w:after="100" w:afterAutospacing="1" w:line="240" w:lineRule="auto"/>
        <w:ind w:firstLine="525"/>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1. As pessoas que tenham obtido sua residência conforme o disposto nos artigos 4</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e 5</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do presente Acordo têm direito a entrar, sair, circular e permanecer livremente no território do país de recepção, mediante prévio cumprimento das formalidades previstas neste, e sem prejuízo de restrições excepcionais impostas por razões de ordem pública e segurança pública.</w:t>
      </w:r>
    </w:p>
    <w:p w14:paraId="11A468E2"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2. Têm ainda, direito a exercer qualquer atividade, tanto por conta própria, como por conta de terceiros, nas mesmas condições que os nacionais do país de recepção, de acordo com as normas legais de cada país.</w:t>
      </w:r>
    </w:p>
    <w:p w14:paraId="6B5872FA" w14:textId="77777777" w:rsidR="009C5AA1" w:rsidRPr="004E6BE2"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4E6BE2">
        <w:rPr>
          <w:rFonts w:ascii="Book Antiqua" w:eastAsia="Times New Roman" w:hAnsi="Book Antiqua" w:cs="Arial"/>
          <w:b/>
          <w:bCs/>
          <w:color w:val="000000"/>
          <w:kern w:val="0"/>
          <w:sz w:val="19"/>
          <w:szCs w:val="19"/>
          <w:highlight w:val="magenta"/>
          <w:lang w:eastAsia="pt-BR"/>
          <w14:ligatures w14:val="none"/>
        </w:rPr>
        <w:t>Artigo 9</w:t>
      </w:r>
    </w:p>
    <w:p w14:paraId="3B3FC899"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lastRenderedPageBreak/>
        <w:t>DIREITO DOS IMIGRANTES E DOS MEMBROS DE SUAS FAMÍLIAS</w:t>
      </w:r>
    </w:p>
    <w:p w14:paraId="18FF5F17" w14:textId="5BAB49EE"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4E6BE2">
        <w:rPr>
          <w:rFonts w:ascii="Book Antiqua" w:eastAsia="Times New Roman" w:hAnsi="Book Antiqua" w:cs="Arial"/>
          <w:b/>
          <w:bCs/>
          <w:color w:val="000000"/>
          <w:kern w:val="0"/>
          <w:sz w:val="19"/>
          <w:szCs w:val="19"/>
          <w:highlight w:val="magenta"/>
          <w:lang w:eastAsia="pt-BR"/>
          <w14:ligatures w14:val="none"/>
        </w:rPr>
        <w:t>1</w:t>
      </w:r>
      <w:r w:rsidRPr="004E6BE2">
        <w:rPr>
          <w:rFonts w:ascii="Book Antiqua" w:eastAsia="Times New Roman" w:hAnsi="Book Antiqua" w:cs="Arial"/>
          <w:b/>
          <w:bCs/>
          <w:color w:val="000000"/>
          <w:kern w:val="0"/>
          <w:sz w:val="19"/>
          <w:szCs w:val="19"/>
          <w:lang w:eastAsia="pt-BR"/>
          <w14:ligatures w14:val="none"/>
        </w:rPr>
        <w:t>. IGUALDADE DE DIREITOS CIVIS: Os nacionais das Partes e suas famílias, que houverem obtido residência, nos termos do presente Acordo, gozarão dos mesmos direitos e liberdades civis, sociais, culturais e econômicas dos nacionais do país de recepção, em particular o direito a trabalhar e exercer toda atividade lícita, nas condições que dispõem as leis; peticionar às autoridades; entrar, permanecer, transitar e sair do território das Partes; associar-se para fins lícitos e professar livremente seu culto, conforme as leis que regulamentam seu exercício</w:t>
      </w:r>
      <w:r w:rsidRPr="009C5AA1">
        <w:rPr>
          <w:rFonts w:ascii="Book Antiqua" w:eastAsia="Times New Roman" w:hAnsi="Book Antiqua" w:cs="Arial"/>
          <w:color w:val="000000"/>
          <w:kern w:val="0"/>
          <w:sz w:val="19"/>
          <w:szCs w:val="19"/>
          <w:lang w:eastAsia="pt-BR"/>
          <w14:ligatures w14:val="none"/>
        </w:rPr>
        <w:t>.</w:t>
      </w:r>
      <w:r w:rsidR="004E6BE2">
        <w:rPr>
          <w:rFonts w:ascii="Book Antiqua" w:eastAsia="Times New Roman" w:hAnsi="Book Antiqua" w:cs="Arial"/>
          <w:color w:val="000000"/>
          <w:kern w:val="0"/>
          <w:sz w:val="19"/>
          <w:szCs w:val="19"/>
          <w:lang w:eastAsia="pt-BR"/>
          <w14:ligatures w14:val="none"/>
        </w:rPr>
        <w:t xml:space="preserve"> </w:t>
      </w:r>
      <w:bookmarkStart w:id="1" w:name="_Hlk157772831"/>
      <w:r w:rsidR="004E6BE2" w:rsidRPr="00E263F8">
        <w:rPr>
          <w:rFonts w:ascii="Book Antiqua" w:eastAsia="Times New Roman" w:hAnsi="Book Antiqua" w:cs="Arial"/>
          <w:b/>
          <w:bCs/>
          <w:color w:val="FF0000"/>
          <w:sz w:val="16"/>
          <w:szCs w:val="16"/>
          <w:u w:val="single"/>
          <w:lang w:eastAsia="pt-BR"/>
        </w:rPr>
        <w:t>(TRT</w:t>
      </w:r>
      <w:r w:rsidR="004E6BE2">
        <w:rPr>
          <w:rFonts w:ascii="Book Antiqua" w:eastAsia="Times New Roman" w:hAnsi="Book Antiqua" w:cs="Arial"/>
          <w:b/>
          <w:bCs/>
          <w:color w:val="FF0000"/>
          <w:sz w:val="16"/>
          <w:szCs w:val="16"/>
          <w:u w:val="single"/>
          <w:lang w:eastAsia="pt-BR"/>
        </w:rPr>
        <w:t>21</w:t>
      </w:r>
      <w:r w:rsidR="004E6BE2" w:rsidRPr="00E263F8">
        <w:rPr>
          <w:rFonts w:ascii="Book Antiqua" w:eastAsia="Times New Roman" w:hAnsi="Book Antiqua" w:cs="Arial"/>
          <w:b/>
          <w:bCs/>
          <w:color w:val="FF0000"/>
          <w:sz w:val="16"/>
          <w:szCs w:val="16"/>
          <w:u w:val="single"/>
          <w:lang w:eastAsia="pt-BR"/>
        </w:rPr>
        <w:t>-2012)</w:t>
      </w:r>
      <w:bookmarkEnd w:id="1"/>
    </w:p>
    <w:p w14:paraId="17EFB01A"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2. REUNIÃO FAMILIAR: Aos membros da família que não tenham a nacionalidade de um dos Estados Partes, será concedida uma autorização de residência de idêntica vigência a da pessoa da qual dependam, sempre e quando apresentem a documentação que estabelece o artigo 3</w:t>
      </w:r>
      <w:r w:rsidRPr="009C5AA1">
        <w:rPr>
          <w:rFonts w:ascii="Book Antiqua" w:eastAsia="Times New Roman" w:hAnsi="Book Antiqua" w:cs="Arial"/>
          <w:color w:val="000000"/>
          <w:kern w:val="0"/>
          <w:sz w:val="19"/>
          <w:szCs w:val="19"/>
          <w:u w:val="single"/>
          <w:vertAlign w:val="superscript"/>
          <w:lang w:eastAsia="pt-BR"/>
          <w14:ligatures w14:val="none"/>
        </w:rPr>
        <w:t>o</w:t>
      </w:r>
      <w:r w:rsidRPr="009C5AA1">
        <w:rPr>
          <w:rFonts w:ascii="Book Antiqua" w:eastAsia="Times New Roman" w:hAnsi="Book Antiqua" w:cs="Arial"/>
          <w:color w:val="000000"/>
          <w:kern w:val="0"/>
          <w:sz w:val="19"/>
          <w:szCs w:val="19"/>
          <w:lang w:eastAsia="pt-BR"/>
          <w14:ligatures w14:val="none"/>
        </w:rPr>
        <w:t> e não possuam impedimentos. Se, por sua nacionalidade, os membros da família necessitarem de vistos para ingressar no país, deverão tramitar a residência ante a autoridade consular, salvo quando, nos termos das normas internas do país de recepção, este último requisito não seja necessário.</w:t>
      </w:r>
    </w:p>
    <w:p w14:paraId="61439881"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3. IGUALDADE DE TRATAMENTO COM OS NACIONAIS: Os imigrantes gozarão, no território das Partes, de tratamento não menos favorável do que recebem os nacionais do país de recepção, no que concerne à aplicação da legislação trabalhista, especialmente em matéria de remuneração, condições de trabalho e seguro social.</w:t>
      </w:r>
    </w:p>
    <w:p w14:paraId="793E7C81"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 xml:space="preserve">4. COMPROMISSO EM MATÉRIA PREVIDÊNCIÁRIA: As partes </w:t>
      </w:r>
      <w:proofErr w:type="spellStart"/>
      <w:r w:rsidRPr="009C5AA1">
        <w:rPr>
          <w:rFonts w:ascii="Book Antiqua" w:eastAsia="Times New Roman" w:hAnsi="Book Antiqua" w:cs="Arial"/>
          <w:color w:val="000000"/>
          <w:kern w:val="0"/>
          <w:sz w:val="19"/>
          <w:szCs w:val="19"/>
          <w:lang w:eastAsia="pt-BR"/>
          <w14:ligatures w14:val="none"/>
        </w:rPr>
        <w:t>analizarão</w:t>
      </w:r>
      <w:proofErr w:type="spellEnd"/>
      <w:r w:rsidRPr="009C5AA1">
        <w:rPr>
          <w:rFonts w:ascii="Book Antiqua" w:eastAsia="Times New Roman" w:hAnsi="Book Antiqua" w:cs="Arial"/>
          <w:color w:val="000000"/>
          <w:kern w:val="0"/>
          <w:sz w:val="19"/>
          <w:szCs w:val="19"/>
          <w:lang w:eastAsia="pt-BR"/>
          <w14:ligatures w14:val="none"/>
        </w:rPr>
        <w:t xml:space="preserve"> a exequibilidade de firmar acordos de reciprocidade em matéria </w:t>
      </w:r>
      <w:proofErr w:type="spellStart"/>
      <w:r w:rsidRPr="009C5AA1">
        <w:rPr>
          <w:rFonts w:ascii="Book Antiqua" w:eastAsia="Times New Roman" w:hAnsi="Book Antiqua" w:cs="Arial"/>
          <w:color w:val="000000"/>
          <w:kern w:val="0"/>
          <w:sz w:val="19"/>
          <w:szCs w:val="19"/>
          <w:lang w:eastAsia="pt-BR"/>
          <w14:ligatures w14:val="none"/>
        </w:rPr>
        <w:t>previdênciária</w:t>
      </w:r>
      <w:proofErr w:type="spellEnd"/>
      <w:r w:rsidRPr="009C5AA1">
        <w:rPr>
          <w:rFonts w:ascii="Book Antiqua" w:eastAsia="Times New Roman" w:hAnsi="Book Antiqua" w:cs="Arial"/>
          <w:color w:val="000000"/>
          <w:kern w:val="0"/>
          <w:sz w:val="19"/>
          <w:szCs w:val="19"/>
          <w:lang w:eastAsia="pt-BR"/>
          <w14:ligatures w14:val="none"/>
        </w:rPr>
        <w:t>.</w:t>
      </w:r>
    </w:p>
    <w:p w14:paraId="6D3B536D"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5. DIREITO DE TRANSFERIR RECURSOS: Os imigrantes das Partes terão direito a transferir livremente, ao seu país de origem, sua renda e suas economias pessoais, em particular os valores necessários ao sustento de seus familiares, em conformidade com as normativas e legislação interna de cada uma das Partes.</w:t>
      </w:r>
    </w:p>
    <w:p w14:paraId="17FC7276"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6. DIREITO DOS FILHOS DOS IMIGRANTES: Os filhos dos imigrantes, que houverem nascido no território de uma das Partes, terão direito a ter um nome, ao registro de seu nascimento e a ter uma nacionalidade, em conformidade com as respectivas legislações internas.</w:t>
      </w:r>
    </w:p>
    <w:p w14:paraId="4ABFE811"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Os filhos dos imigrantes gozarão, no território das Partes, do direito fundamental de acesso à educação em condições de igualdade com os nacionais do país de recepção. O acesso às instituições de ensino pré-escolar ou às escolas públicas não poderá ser negado ou limitar-se a circunstancial situação irregular de permanência dos pais.</w:t>
      </w:r>
    </w:p>
    <w:p w14:paraId="3F36ADCA"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10</w:t>
      </w:r>
    </w:p>
    <w:p w14:paraId="2FB60184" w14:textId="77777777" w:rsidR="009C5AA1" w:rsidRPr="009C5AA1" w:rsidRDefault="009C5AA1" w:rsidP="009C5AA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PROMOÇÃO DE MEDIDAS RELATIVAS A CONDIÇÕES LEGAIS DE MIGRAÇÃO</w:t>
      </w:r>
    </w:p>
    <w:p w14:paraId="7464E457" w14:textId="77777777" w:rsidR="009C5AA1" w:rsidRPr="009C5AA1" w:rsidRDefault="009C5AA1" w:rsidP="009C5AA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E EMPREGO NAS PARTES</w:t>
      </w:r>
    </w:p>
    <w:p w14:paraId="5D98D112"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As partes estabelecerão mecanismos de cooperação permanentes tendentes a impedir o emprego ilegal dos imigrantes no território da outra, para tal efeito, adotarão entre outras, as seguintes medidas:</w:t>
      </w:r>
    </w:p>
    <w:p w14:paraId="4A9975EE"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 Mecanismos de cooperação entre os organismos de inspeção migratória e trabalhista, destinados à detecção e sanção do emprego ilegal de imigrantes;</w:t>
      </w:r>
    </w:p>
    <w:p w14:paraId="7C4E15DB"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b) Sanções efetivas às pessoas físicas ou jurídicas que empreguem nacionais das Partes em condições ilegais. Tais medidas não afetarão os direitos que correspondam aos trabalhadores imigrantes, como consequência dos trabalhos realizados nestas condições;</w:t>
      </w:r>
    </w:p>
    <w:p w14:paraId="5AA97010"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c) Mecanismos para a detecção e punição de pessoas individuais ou organizações que lucrem com os movimentos ilegais ou clandestinos de trabalhadores imigrantes, cujo objetivo seja o ingresso, a permanência e o trabalho em condições abusivas destas pessoas ou de seus familiares;</w:t>
      </w:r>
    </w:p>
    <w:p w14:paraId="313CF93E"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lastRenderedPageBreak/>
        <w:t>d) As Partes intensificarão as campanhas de difusão e informação pública, a fim de que potenciais migrantes conheçam seus direitos.</w:t>
      </w:r>
    </w:p>
    <w:p w14:paraId="0B329ACA"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11</w:t>
      </w:r>
    </w:p>
    <w:p w14:paraId="2F68F400"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APLICAÇÃO DA NORMA MAIS BENÉFICA</w:t>
      </w:r>
    </w:p>
    <w:p w14:paraId="68657BD0"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O presente Acordo será aplicado sem prejuízo de normas ou dispositivos internos de cada Estado Parte que sejam mais favoráveis aos imigrantes.</w:t>
      </w:r>
    </w:p>
    <w:p w14:paraId="184BD646"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12</w:t>
      </w:r>
    </w:p>
    <w:p w14:paraId="3067EAA3"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RELAÇÃO COM A NORMATIVA ADUANEIRA</w:t>
      </w:r>
    </w:p>
    <w:p w14:paraId="1DA13354"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As disposições do presente Acordo não incluem a regularização dos eventuais bens e valores que tenham ingressado provisoriamente no território dos Estados Partes.</w:t>
      </w:r>
    </w:p>
    <w:p w14:paraId="4C3AD543"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13</w:t>
      </w:r>
    </w:p>
    <w:p w14:paraId="08144A94"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INTERPRETAÇÃO E APLICAÇÃO</w:t>
      </w:r>
    </w:p>
    <w:p w14:paraId="0D7DBE13"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Os conflitos que surjam quanto ao alcance, interpretação e aplicação do presente Acordo se solucionarão conforme o mecanismo que se encontre vigente no momento em que se apresentar o problema e que tiver sido consensuado entre as Partes.</w:t>
      </w:r>
    </w:p>
    <w:p w14:paraId="2BF19C1F"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14</w:t>
      </w:r>
    </w:p>
    <w:p w14:paraId="6EFF1418"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VIGÊNCIA</w:t>
      </w:r>
    </w:p>
    <w:p w14:paraId="4AB2DDD2" w14:textId="77777777" w:rsidR="009C5AA1" w:rsidRPr="009C5AA1" w:rsidRDefault="009C5AA1" w:rsidP="009C5AA1">
      <w:pPr>
        <w:spacing w:before="100" w:beforeAutospacing="1" w:after="100" w:afterAutospacing="1" w:line="240" w:lineRule="auto"/>
        <w:ind w:firstLine="525"/>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O presente Acordo entrará em vigor após a comunicação pelos seis Estados Partes à República do Paraguai do cumprimento das formalidades internas necessárias à entrada em vigor do presente instrumento.</w:t>
      </w:r>
    </w:p>
    <w:p w14:paraId="4AF499EE"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15</w:t>
      </w:r>
    </w:p>
    <w:p w14:paraId="24C214BB"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DEPÓSITO</w:t>
      </w:r>
    </w:p>
    <w:p w14:paraId="44A21889"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 República do Paraguai será depositária do presente Acordo e das notificações dos demais Estados Partes quanto à vigência e denúncia. A República do Paraguai enviará cópia, devidamente autenticada do presente Acordo às demais Partes.</w:t>
      </w:r>
    </w:p>
    <w:p w14:paraId="19940801"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Artigo 16</w:t>
      </w:r>
    </w:p>
    <w:p w14:paraId="5F03C5BC"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DENÚNCIA</w:t>
      </w:r>
    </w:p>
    <w:p w14:paraId="2EC5A00E"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Os Estados Partes podem, a qualquer momento, denunciar o presente Acordo mediante notificação escrita dirigida ao depositário, que notificará as demais Partes. A denúncia produzirá seus efeitos cento e oitenta (180) dias, após a referida notificação.</w:t>
      </w:r>
    </w:p>
    <w:p w14:paraId="6E99FBFF" w14:textId="77777777" w:rsidR="009C5AA1" w:rsidRPr="009C5AA1" w:rsidRDefault="009C5AA1" w:rsidP="009C5A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Feito na cidade de Brasília, República Federativa do Brasil, aos seis (6) dias do mês de dezembro de 2002, em um original, nos idiomas português e espanhol, sendo ambos os textos igualmente autênticos.</w:t>
      </w:r>
    </w:p>
    <w:p w14:paraId="24654758" w14:textId="77777777" w:rsidR="009C5AA1" w:rsidRPr="009C5AA1" w:rsidRDefault="009C5AA1" w:rsidP="009C5AA1">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Eduardo Duhalde</w:t>
      </w:r>
      <w:r w:rsidRPr="009C5AA1">
        <w:rPr>
          <w:rFonts w:ascii="Book Antiqua" w:eastAsia="Times New Roman" w:hAnsi="Book Antiqua" w:cs="Arial"/>
          <w:color w:val="000000"/>
          <w:kern w:val="0"/>
          <w:sz w:val="19"/>
          <w:szCs w:val="19"/>
          <w:lang w:eastAsia="pt-BR"/>
          <w14:ligatures w14:val="none"/>
        </w:rPr>
        <w:br/>
        <w:t>República Argentina</w:t>
      </w:r>
    </w:p>
    <w:p w14:paraId="5C6ECF69" w14:textId="77777777" w:rsidR="009C5AA1" w:rsidRPr="009C5AA1" w:rsidRDefault="009C5AA1" w:rsidP="009C5AA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lastRenderedPageBreak/>
        <w:t>Fernando Henrique Cardoso</w:t>
      </w:r>
      <w:r w:rsidRPr="009C5AA1">
        <w:rPr>
          <w:rFonts w:ascii="Book Antiqua" w:eastAsia="Times New Roman" w:hAnsi="Book Antiqua" w:cs="Arial"/>
          <w:color w:val="000000"/>
          <w:kern w:val="0"/>
          <w:sz w:val="19"/>
          <w:szCs w:val="19"/>
          <w:lang w:eastAsia="pt-BR"/>
          <w14:ligatures w14:val="none"/>
        </w:rPr>
        <w:br/>
        <w:t>República Federativa do Brasil</w:t>
      </w:r>
    </w:p>
    <w:p w14:paraId="2217E42F" w14:textId="77777777" w:rsidR="009C5AA1" w:rsidRPr="009C5AA1" w:rsidRDefault="009C5AA1" w:rsidP="009C5AA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val="es-ES_tradnl" w:eastAsia="pt-BR"/>
          <w14:ligatures w14:val="none"/>
        </w:rPr>
        <w:t xml:space="preserve">Luis </w:t>
      </w:r>
      <w:proofErr w:type="spellStart"/>
      <w:r w:rsidRPr="009C5AA1">
        <w:rPr>
          <w:rFonts w:ascii="Book Antiqua" w:eastAsia="Times New Roman" w:hAnsi="Book Antiqua" w:cs="Arial"/>
          <w:color w:val="000000"/>
          <w:kern w:val="0"/>
          <w:sz w:val="19"/>
          <w:szCs w:val="19"/>
          <w:lang w:val="es-ES_tradnl" w:eastAsia="pt-BR"/>
          <w14:ligatures w14:val="none"/>
        </w:rPr>
        <w:t>Angel</w:t>
      </w:r>
      <w:proofErr w:type="spellEnd"/>
      <w:r w:rsidRPr="009C5AA1">
        <w:rPr>
          <w:rFonts w:ascii="Book Antiqua" w:eastAsia="Times New Roman" w:hAnsi="Book Antiqua" w:cs="Arial"/>
          <w:color w:val="000000"/>
          <w:kern w:val="0"/>
          <w:sz w:val="19"/>
          <w:szCs w:val="19"/>
          <w:lang w:val="es-ES_tradnl" w:eastAsia="pt-BR"/>
          <w14:ligatures w14:val="none"/>
        </w:rPr>
        <w:t xml:space="preserve"> González Macchi</w:t>
      </w:r>
      <w:r w:rsidRPr="009C5AA1">
        <w:rPr>
          <w:rFonts w:ascii="Book Antiqua" w:eastAsia="Times New Roman" w:hAnsi="Book Antiqua" w:cs="Arial"/>
          <w:color w:val="000000"/>
          <w:kern w:val="0"/>
          <w:sz w:val="19"/>
          <w:szCs w:val="19"/>
          <w:lang w:val="es-ES_tradnl" w:eastAsia="pt-BR"/>
          <w14:ligatures w14:val="none"/>
        </w:rPr>
        <w:br/>
      </w:r>
      <w:r w:rsidRPr="009C5AA1">
        <w:rPr>
          <w:rFonts w:ascii="Book Antiqua" w:eastAsia="Times New Roman" w:hAnsi="Book Antiqua" w:cs="Arial"/>
          <w:color w:val="000000"/>
          <w:kern w:val="0"/>
          <w:sz w:val="19"/>
          <w:szCs w:val="19"/>
          <w:lang w:eastAsia="pt-BR"/>
          <w14:ligatures w14:val="none"/>
        </w:rPr>
        <w:t>República do Paraguai</w:t>
      </w:r>
    </w:p>
    <w:p w14:paraId="0999AE47" w14:textId="77777777" w:rsidR="009C5AA1" w:rsidRPr="009C5AA1" w:rsidRDefault="009C5AA1" w:rsidP="009C5AA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 xml:space="preserve">Jorge </w:t>
      </w:r>
      <w:proofErr w:type="spellStart"/>
      <w:r w:rsidRPr="009C5AA1">
        <w:rPr>
          <w:rFonts w:ascii="Book Antiqua" w:eastAsia="Times New Roman" w:hAnsi="Book Antiqua" w:cs="Arial"/>
          <w:color w:val="000000"/>
          <w:kern w:val="0"/>
          <w:sz w:val="19"/>
          <w:szCs w:val="19"/>
          <w:lang w:eastAsia="pt-BR"/>
          <w14:ligatures w14:val="none"/>
        </w:rPr>
        <w:t>Batlle</w:t>
      </w:r>
      <w:proofErr w:type="spellEnd"/>
      <w:r w:rsidRPr="009C5AA1">
        <w:rPr>
          <w:rFonts w:ascii="Book Antiqua" w:eastAsia="Times New Roman" w:hAnsi="Book Antiqua" w:cs="Arial"/>
          <w:color w:val="000000"/>
          <w:kern w:val="0"/>
          <w:sz w:val="19"/>
          <w:szCs w:val="19"/>
          <w:lang w:eastAsia="pt-BR"/>
          <w14:ligatures w14:val="none"/>
        </w:rPr>
        <w:t xml:space="preserve"> </w:t>
      </w:r>
      <w:proofErr w:type="spellStart"/>
      <w:r w:rsidRPr="009C5AA1">
        <w:rPr>
          <w:rFonts w:ascii="Book Antiqua" w:eastAsia="Times New Roman" w:hAnsi="Book Antiqua" w:cs="Arial"/>
          <w:color w:val="000000"/>
          <w:kern w:val="0"/>
          <w:sz w:val="19"/>
          <w:szCs w:val="19"/>
          <w:lang w:eastAsia="pt-BR"/>
          <w14:ligatures w14:val="none"/>
        </w:rPr>
        <w:t>Ibáñez</w:t>
      </w:r>
      <w:proofErr w:type="spellEnd"/>
      <w:r w:rsidRPr="009C5AA1">
        <w:rPr>
          <w:rFonts w:ascii="Book Antiqua" w:eastAsia="Times New Roman" w:hAnsi="Book Antiqua" w:cs="Arial"/>
          <w:color w:val="000000"/>
          <w:kern w:val="0"/>
          <w:sz w:val="19"/>
          <w:szCs w:val="19"/>
          <w:lang w:eastAsia="pt-BR"/>
          <w14:ligatures w14:val="none"/>
        </w:rPr>
        <w:br/>
        <w:t>República Oriental do Uruguai</w:t>
      </w:r>
    </w:p>
    <w:p w14:paraId="67BF8D0B" w14:textId="77777777" w:rsidR="009C5AA1" w:rsidRPr="009C5AA1" w:rsidRDefault="009C5AA1" w:rsidP="009C5AA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val="es-ES_tradnl" w:eastAsia="pt-BR"/>
          <w14:ligatures w14:val="none"/>
        </w:rPr>
        <w:t>Gonzalo Sánchez de Lozada</w:t>
      </w:r>
      <w:r w:rsidRPr="009C5AA1">
        <w:rPr>
          <w:rFonts w:ascii="Book Antiqua" w:eastAsia="Times New Roman" w:hAnsi="Book Antiqua" w:cs="Arial"/>
          <w:color w:val="000000"/>
          <w:kern w:val="0"/>
          <w:sz w:val="19"/>
          <w:szCs w:val="19"/>
          <w:lang w:val="es-ES_tradnl" w:eastAsia="pt-BR"/>
          <w14:ligatures w14:val="none"/>
        </w:rPr>
        <w:br/>
      </w:r>
      <w:r w:rsidRPr="009C5AA1">
        <w:rPr>
          <w:rFonts w:ascii="Book Antiqua" w:eastAsia="Times New Roman" w:hAnsi="Book Antiqua" w:cs="Arial"/>
          <w:color w:val="000000"/>
          <w:kern w:val="0"/>
          <w:sz w:val="19"/>
          <w:szCs w:val="19"/>
          <w:lang w:eastAsia="pt-BR"/>
          <w14:ligatures w14:val="none"/>
        </w:rPr>
        <w:t>República da Bolívia</w:t>
      </w:r>
    </w:p>
    <w:p w14:paraId="3A92C220" w14:textId="77777777" w:rsidR="009C5AA1" w:rsidRPr="009C5AA1" w:rsidRDefault="009C5AA1" w:rsidP="009C5AA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C5AA1">
        <w:rPr>
          <w:rFonts w:ascii="Book Antiqua" w:eastAsia="Times New Roman" w:hAnsi="Book Antiqua" w:cs="Arial"/>
          <w:color w:val="000000"/>
          <w:kern w:val="0"/>
          <w:sz w:val="19"/>
          <w:szCs w:val="19"/>
          <w:lang w:eastAsia="pt-BR"/>
          <w14:ligatures w14:val="none"/>
        </w:rPr>
        <w:t>Ricardo Lagos Escobar</w:t>
      </w:r>
      <w:r w:rsidRPr="009C5AA1">
        <w:rPr>
          <w:rFonts w:ascii="Book Antiqua" w:eastAsia="Times New Roman" w:hAnsi="Book Antiqua" w:cs="Arial"/>
          <w:color w:val="000000"/>
          <w:kern w:val="0"/>
          <w:sz w:val="19"/>
          <w:szCs w:val="19"/>
          <w:lang w:eastAsia="pt-BR"/>
          <w14:ligatures w14:val="none"/>
        </w:rPr>
        <w:br/>
        <w:t>República do Chile</w:t>
      </w:r>
    </w:p>
    <w:p w14:paraId="454326C3" w14:textId="77777777" w:rsidR="00BB7FE6" w:rsidRPr="009C5AA1" w:rsidRDefault="00BB7FE6" w:rsidP="009C5AA1">
      <w:pPr>
        <w:spacing w:before="100" w:beforeAutospacing="1" w:after="100" w:afterAutospacing="1" w:line="240" w:lineRule="auto"/>
        <w:rPr>
          <w:rFonts w:ascii="Book Antiqua" w:hAnsi="Book Antiqua"/>
          <w:sz w:val="19"/>
          <w:szCs w:val="19"/>
        </w:rPr>
      </w:pPr>
    </w:p>
    <w:sectPr w:rsidR="00BB7FE6" w:rsidRPr="009C5AA1" w:rsidSect="005366FF">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A9"/>
    <w:rsid w:val="001A1AA1"/>
    <w:rsid w:val="003204A9"/>
    <w:rsid w:val="004C42C1"/>
    <w:rsid w:val="004E4A42"/>
    <w:rsid w:val="004E6BE2"/>
    <w:rsid w:val="005366FF"/>
    <w:rsid w:val="005E7BF8"/>
    <w:rsid w:val="007D2B91"/>
    <w:rsid w:val="009C5AA1"/>
    <w:rsid w:val="00A55AA2"/>
    <w:rsid w:val="00B06631"/>
    <w:rsid w:val="00BB7FE6"/>
    <w:rsid w:val="00CD1967"/>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633A"/>
  <w15:chartTrackingRefBased/>
  <w15:docId w15:val="{1184D943-EEB0-4DC4-9110-B30C9912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79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3%A7ao.htm" TargetMode="External"/><Relationship Id="rId4" Type="http://schemas.openxmlformats.org/officeDocument/2006/relationships/hyperlink" Target="http://legislacao.planalto.gov.br/legisla/legislacao.nsf/Viw_Identificacao/DEC%206.975-2009?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2524</Words>
  <Characters>13630</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2024-01-29T16:12:00Z</dcterms:created>
  <dcterms:modified xsi:type="dcterms:W3CDTF">2024-02-15T16:35:00Z</dcterms:modified>
</cp:coreProperties>
</file>