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6CFB6" w14:textId="77777777" w:rsidR="006D3EE3" w:rsidRPr="006D3EE3" w:rsidRDefault="006D3EE3" w:rsidP="006D3EE3">
      <w:pPr>
        <w:spacing w:before="100" w:beforeAutospacing="1" w:after="100" w:afterAutospacing="1" w:line="240" w:lineRule="auto"/>
        <w:jc w:val="center"/>
        <w:rPr>
          <w:rFonts w:ascii="Book Antiqua" w:eastAsia="Times New Roman" w:hAnsi="Book Antiqua" w:cs="Arial"/>
          <w:b/>
          <w:bCs/>
          <w:caps/>
          <w:color w:val="000080"/>
          <w:kern w:val="0"/>
          <w:sz w:val="19"/>
          <w:szCs w:val="19"/>
          <w:lang w:eastAsia="pt-BR"/>
          <w14:ligatures w14:val="none"/>
        </w:rPr>
      </w:pPr>
      <w:r w:rsidRPr="006D3EE3">
        <w:rPr>
          <w:rFonts w:ascii="Book Antiqua" w:eastAsia="Times New Roman" w:hAnsi="Book Antiqua" w:cs="Arial"/>
          <w:b/>
          <w:bCs/>
          <w:caps/>
          <w:color w:val="000080"/>
          <w:kern w:val="0"/>
          <w:sz w:val="19"/>
          <w:szCs w:val="19"/>
          <w:lang w:eastAsia="pt-BR"/>
          <w14:ligatures w14:val="none"/>
        </w:rPr>
        <w:fldChar w:fldCharType="begin"/>
      </w:r>
      <w:r w:rsidRPr="006D3EE3">
        <w:rPr>
          <w:rFonts w:ascii="Book Antiqua" w:eastAsia="Times New Roman" w:hAnsi="Book Antiqua" w:cs="Arial"/>
          <w:b/>
          <w:bCs/>
          <w:caps/>
          <w:color w:val="000080"/>
          <w:kern w:val="0"/>
          <w:sz w:val="19"/>
          <w:szCs w:val="19"/>
          <w:lang w:eastAsia="pt-BR"/>
          <w14:ligatures w14:val="none"/>
        </w:rPr>
        <w:instrText>HYPERLINK "http://legislacao.planalto.gov.br/legisla/legislacao.nsf/Viw_Identificacao/DEC%207.944-2013?OpenDocument"</w:instrText>
      </w:r>
      <w:r w:rsidRPr="006D3EE3">
        <w:rPr>
          <w:rFonts w:ascii="Book Antiqua" w:eastAsia="Times New Roman" w:hAnsi="Book Antiqua" w:cs="Arial"/>
          <w:b/>
          <w:bCs/>
          <w:caps/>
          <w:color w:val="000080"/>
          <w:kern w:val="0"/>
          <w:sz w:val="19"/>
          <w:szCs w:val="19"/>
          <w:lang w:eastAsia="pt-BR"/>
          <w14:ligatures w14:val="none"/>
        </w:rPr>
      </w:r>
      <w:r w:rsidRPr="006D3EE3">
        <w:rPr>
          <w:rFonts w:ascii="Book Antiqua" w:eastAsia="Times New Roman" w:hAnsi="Book Antiqua" w:cs="Arial"/>
          <w:b/>
          <w:bCs/>
          <w:caps/>
          <w:color w:val="000080"/>
          <w:kern w:val="0"/>
          <w:sz w:val="19"/>
          <w:szCs w:val="19"/>
          <w:lang w:eastAsia="pt-BR"/>
          <w14:ligatures w14:val="none"/>
        </w:rPr>
        <w:fldChar w:fldCharType="separate"/>
      </w:r>
      <w:r w:rsidRPr="006D3EE3">
        <w:rPr>
          <w:rFonts w:ascii="Book Antiqua" w:eastAsia="Times New Roman" w:hAnsi="Book Antiqua" w:cs="Arial"/>
          <w:b/>
          <w:bCs/>
          <w:caps/>
          <w:color w:val="000080"/>
          <w:kern w:val="0"/>
          <w:sz w:val="19"/>
          <w:szCs w:val="19"/>
          <w:u w:val="single"/>
          <w:lang w:eastAsia="pt-BR"/>
          <w14:ligatures w14:val="none"/>
        </w:rPr>
        <w:t>DECRETO Nº 7.944, DE 6 DE MARÇO DE 2013</w:t>
      </w:r>
      <w:r w:rsidRPr="006D3EE3">
        <w:rPr>
          <w:rFonts w:ascii="Book Antiqua" w:eastAsia="Times New Roman" w:hAnsi="Book Antiqua" w:cs="Arial"/>
          <w:b/>
          <w:bCs/>
          <w:caps/>
          <w:color w:val="000080"/>
          <w:kern w:val="0"/>
          <w:sz w:val="19"/>
          <w:szCs w:val="19"/>
          <w:lang w:eastAsia="pt-BR"/>
          <w14:ligatures w14:val="none"/>
        </w:rPr>
        <w:fldChar w:fldCharType="end"/>
      </w:r>
    </w:p>
    <w:p w14:paraId="3E1B495E"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color w:val="800000"/>
          <w:kern w:val="0"/>
          <w:sz w:val="19"/>
          <w:szCs w:val="19"/>
          <w:lang w:eastAsia="pt-BR"/>
          <w14:ligatures w14:val="none"/>
        </w:rPr>
      </w:pPr>
      <w:r w:rsidRPr="006D3EE3">
        <w:rPr>
          <w:rFonts w:ascii="Book Antiqua" w:eastAsia="Times New Roman" w:hAnsi="Book Antiqua" w:cs="Arial"/>
          <w:color w:val="800000"/>
          <w:kern w:val="0"/>
          <w:sz w:val="19"/>
          <w:szCs w:val="19"/>
          <w:lang w:eastAsia="pt-BR"/>
          <w14:ligatures w14:val="none"/>
        </w:rPr>
        <w:t>Promulga a Convenção nº 151 e a Recomendação nº 159 da Organização Internacional do Trabalho sobre as Relações de Trabalho na Administração Pública, firmadas em 1978.</w:t>
      </w:r>
    </w:p>
    <w:p w14:paraId="37DA633B" w14:textId="77777777" w:rsidR="006D3EE3" w:rsidRPr="006D3EE3" w:rsidRDefault="006D3EE3" w:rsidP="006D3EE3">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r w:rsidRPr="006D3EE3">
        <w:rPr>
          <w:rFonts w:ascii="Book Antiqua" w:eastAsia="Times New Roman" w:hAnsi="Book Antiqua" w:cs="Arial"/>
          <w:kern w:val="0"/>
          <w:sz w:val="19"/>
          <w:szCs w:val="19"/>
          <w:lang w:eastAsia="pt-BR"/>
          <w14:ligatures w14:val="none"/>
        </w:rPr>
        <w:t>Ver mais...</w:t>
      </w:r>
    </w:p>
    <w:p w14:paraId="501D9E3B" w14:textId="77777777" w:rsidR="006D3EE3" w:rsidRPr="006D3EE3" w:rsidRDefault="006D3EE3" w:rsidP="006D3EE3">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p>
    <w:p w14:paraId="1B4C286F" w14:textId="77777777" w:rsidR="006D3EE3" w:rsidRPr="006D3EE3" w:rsidRDefault="00000000" w:rsidP="006D3EE3">
      <w:pPr>
        <w:numPr>
          <w:ilvl w:val="0"/>
          <w:numId w:val="1"/>
        </w:numPr>
        <w:spacing w:before="100" w:beforeAutospacing="1" w:after="100" w:afterAutospacing="1" w:line="240" w:lineRule="auto"/>
        <w:rPr>
          <w:rFonts w:ascii="Book Antiqua" w:eastAsia="Times New Roman" w:hAnsi="Book Antiqua" w:cs="Arial"/>
          <w:kern w:val="0"/>
          <w:sz w:val="19"/>
          <w:szCs w:val="19"/>
          <w:lang w:eastAsia="pt-BR"/>
          <w14:ligatures w14:val="none"/>
        </w:rPr>
      </w:pPr>
      <w:hyperlink r:id="rId5" w:anchor="art5" w:history="1">
        <w:r w:rsidR="006D3EE3" w:rsidRPr="006D3EE3">
          <w:rPr>
            <w:rFonts w:ascii="Book Antiqua" w:eastAsia="Times New Roman" w:hAnsi="Book Antiqua" w:cs="Arial"/>
            <w:color w:val="000080"/>
            <w:kern w:val="0"/>
            <w:sz w:val="19"/>
            <w:szCs w:val="19"/>
            <w:u w:val="single"/>
            <w:lang w:eastAsia="pt-BR"/>
            <w14:ligatures w14:val="none"/>
          </w:rPr>
          <w:t>Revogado pelo Decreto nº 10.088, de 2019 </w:t>
        </w:r>
      </w:hyperlink>
      <w:r w:rsidR="006D3EE3" w:rsidRPr="006D3EE3">
        <w:rPr>
          <w:rFonts w:ascii="Book Antiqua" w:eastAsia="Times New Roman" w:hAnsi="Book Antiqua" w:cs="Arial"/>
          <w:kern w:val="0"/>
          <w:sz w:val="19"/>
          <w:szCs w:val="19"/>
          <w:lang w:eastAsia="pt-BR"/>
          <w14:ligatures w14:val="none"/>
        </w:rPr>
        <w:t>  </w:t>
      </w:r>
      <w:hyperlink r:id="rId6" w:anchor="art6" w:history="1">
        <w:r w:rsidR="006D3EE3" w:rsidRPr="006D3EE3">
          <w:rPr>
            <w:rFonts w:ascii="Book Antiqua" w:eastAsia="Times New Roman" w:hAnsi="Book Antiqua" w:cs="Arial"/>
            <w:color w:val="000080"/>
            <w:kern w:val="0"/>
            <w:sz w:val="19"/>
            <w:szCs w:val="19"/>
            <w:u w:val="single"/>
            <w:lang w:eastAsia="pt-BR"/>
            <w14:ligatures w14:val="none"/>
          </w:rPr>
          <w:t>(Vigência)</w:t>
        </w:r>
      </w:hyperlink>
    </w:p>
    <w:p w14:paraId="53B7EC7C"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b/>
          <w:bCs/>
          <w:color w:val="000000"/>
          <w:kern w:val="0"/>
          <w:sz w:val="19"/>
          <w:szCs w:val="19"/>
          <w:lang w:eastAsia="pt-BR"/>
          <w14:ligatures w14:val="none"/>
        </w:rPr>
        <w:t xml:space="preserve">A PRESIDENTA DA </w:t>
      </w:r>
      <w:proofErr w:type="gramStart"/>
      <w:r w:rsidRPr="006D3EE3">
        <w:rPr>
          <w:rFonts w:ascii="Book Antiqua" w:eastAsia="Times New Roman" w:hAnsi="Book Antiqua" w:cs="Arial"/>
          <w:b/>
          <w:bCs/>
          <w:color w:val="000000"/>
          <w:kern w:val="0"/>
          <w:sz w:val="19"/>
          <w:szCs w:val="19"/>
          <w:lang w:eastAsia="pt-BR"/>
          <w14:ligatures w14:val="none"/>
        </w:rPr>
        <w:t>REPÚBLICA </w:t>
      </w:r>
      <w:r w:rsidRPr="006D3EE3">
        <w:rPr>
          <w:rFonts w:ascii="Book Antiqua" w:eastAsia="Times New Roman" w:hAnsi="Book Antiqua" w:cs="Arial"/>
          <w:color w:val="000000"/>
          <w:kern w:val="0"/>
          <w:sz w:val="19"/>
          <w:szCs w:val="19"/>
          <w:lang w:eastAsia="pt-BR"/>
          <w14:ligatures w14:val="none"/>
        </w:rPr>
        <w:t>,</w:t>
      </w:r>
      <w:proofErr w:type="gramEnd"/>
      <w:r w:rsidRPr="006D3EE3">
        <w:rPr>
          <w:rFonts w:ascii="Book Antiqua" w:eastAsia="Times New Roman" w:hAnsi="Book Antiqua" w:cs="Arial"/>
          <w:color w:val="000000"/>
          <w:kern w:val="0"/>
          <w:sz w:val="19"/>
          <w:szCs w:val="19"/>
          <w:lang w:eastAsia="pt-BR"/>
          <w14:ligatures w14:val="none"/>
        </w:rPr>
        <w:t xml:space="preserve"> no uso da atribuição que lhe confere o art. 84, </w:t>
      </w:r>
      <w:r w:rsidRPr="006D3EE3">
        <w:rPr>
          <w:rFonts w:ascii="Book Antiqua" w:eastAsia="Times New Roman" w:hAnsi="Book Antiqua" w:cs="Arial"/>
          <w:b/>
          <w:bCs/>
          <w:color w:val="000000"/>
          <w:kern w:val="0"/>
          <w:sz w:val="19"/>
          <w:szCs w:val="19"/>
          <w:lang w:eastAsia="pt-BR"/>
          <w14:ligatures w14:val="none"/>
        </w:rPr>
        <w:t>caput, </w:t>
      </w:r>
      <w:r w:rsidRPr="006D3EE3">
        <w:rPr>
          <w:rFonts w:ascii="Book Antiqua" w:eastAsia="Times New Roman" w:hAnsi="Book Antiqua" w:cs="Arial"/>
          <w:color w:val="000000"/>
          <w:kern w:val="0"/>
          <w:sz w:val="19"/>
          <w:szCs w:val="19"/>
          <w:lang w:eastAsia="pt-BR"/>
          <w14:ligatures w14:val="none"/>
        </w:rPr>
        <w:t>inciso IV, da Constituição, e</w:t>
      </w:r>
    </w:p>
    <w:p w14:paraId="51F839CC"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Considerando que o Congresso Nacional aprovou a Convenção nº 151 e a Recomendação nº 159 da Organização Internacional do Trabalho - OIT sobre as Relações de Trabalho na Administração Pública, por meio do Decreto Legislativo nº 206, de 7 de abril de 2010;</w:t>
      </w:r>
    </w:p>
    <w:p w14:paraId="3ACE1E6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Considerando que o Governo brasileiro depositou o instrumento de ratificação referente à Convenção nº 151 e à Recomendação nº 159 junto ao Diretor-Geral da OIT, na qualidade de depositário do ato, em 15 de junho de 2010, tendo, na ocasião, apresentado declaração interpretativa das expressões “pessoas empregadas pelas autoridades públicas” e “organizações de trabalhadores” abrangidas pela Convenção; e</w:t>
      </w:r>
    </w:p>
    <w:p w14:paraId="1071205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Considerando que a Convenção nº 151 e a Recomendação nº 159 entraram em vigor para a República Federativa do Brasil, no plano jurídico externo em 15 de junho de 2011, nos termos do item 3 do Artigo 11 da Convenção nº 151;</w:t>
      </w:r>
    </w:p>
    <w:p w14:paraId="5EF2C262"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b/>
          <w:bCs/>
          <w:color w:val="000000"/>
          <w:kern w:val="0"/>
          <w:sz w:val="19"/>
          <w:szCs w:val="19"/>
          <w:lang w:eastAsia="pt-BR"/>
          <w14:ligatures w14:val="none"/>
        </w:rPr>
        <w:t>DECRETA:</w:t>
      </w:r>
    </w:p>
    <w:p w14:paraId="22181174"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6D3EE3">
        <w:rPr>
          <w:rFonts w:ascii="Book Antiqua" w:eastAsia="Times New Roman" w:hAnsi="Book Antiqua" w:cs="Arial"/>
          <w:color w:val="000000"/>
          <w:kern w:val="0"/>
          <w:sz w:val="19"/>
          <w:szCs w:val="19"/>
          <w:lang w:eastAsia="pt-BR"/>
          <w14:ligatures w14:val="none"/>
        </w:rPr>
        <w:t>Art. 1º Ficam promulgadas a Convenção nº 151 e a Recomendação nº 159 da Organização Internacional do Trabalho sobre as Relações de Trabalho na Administração Pública, firmadas em 1978, anexas a este Decreto, com as seguintes declarações interpretativas:</w:t>
      </w:r>
    </w:p>
    <w:p w14:paraId="10625F8B"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I - a expressão “pessoas empregadas pelas autoridades públicas”, constante do item 1 do Artigo 1 da Convenção nº 151, abrange tanto os empregados públicos, ingressos na Administração Pública mediante concurso público, regidos pela Consolidação das Leis do Trabalho - CLT, aprovada pelo </w:t>
      </w:r>
      <w:hyperlink r:id="rId7" w:history="1">
        <w:r w:rsidRPr="006D3EE3">
          <w:rPr>
            <w:rFonts w:ascii="Book Antiqua" w:eastAsia="Times New Roman" w:hAnsi="Book Antiqua" w:cs="Arial"/>
            <w:color w:val="000080"/>
            <w:kern w:val="0"/>
            <w:sz w:val="19"/>
            <w:szCs w:val="19"/>
            <w:u w:val="single"/>
            <w:lang w:eastAsia="pt-BR"/>
            <w14:ligatures w14:val="none"/>
          </w:rPr>
          <w:t>Decreto-Lei nº 5.452, de 1º de maio de 1943, </w:t>
        </w:r>
      </w:hyperlink>
      <w:r w:rsidRPr="006D3EE3">
        <w:rPr>
          <w:rFonts w:ascii="Book Antiqua" w:eastAsia="Times New Roman" w:hAnsi="Book Antiqua" w:cs="Arial"/>
          <w:color w:val="000000"/>
          <w:kern w:val="0"/>
          <w:sz w:val="19"/>
          <w:szCs w:val="19"/>
          <w:lang w:eastAsia="pt-BR"/>
          <w14:ligatures w14:val="none"/>
        </w:rPr>
        <w:t>quanto os servidores públicos no plano federal, regidos pela </w:t>
      </w:r>
      <w:hyperlink r:id="rId8" w:history="1">
        <w:r w:rsidRPr="006D3EE3">
          <w:rPr>
            <w:rFonts w:ascii="Book Antiqua" w:eastAsia="Times New Roman" w:hAnsi="Book Antiqua" w:cs="Arial"/>
            <w:color w:val="000080"/>
            <w:kern w:val="0"/>
            <w:sz w:val="19"/>
            <w:szCs w:val="19"/>
            <w:u w:val="single"/>
            <w:lang w:eastAsia="pt-BR"/>
            <w14:ligatures w14:val="none"/>
          </w:rPr>
          <w:t>Lei nº 8.112, de 11 de dezembro de 1990, </w:t>
        </w:r>
      </w:hyperlink>
      <w:r w:rsidRPr="006D3EE3">
        <w:rPr>
          <w:rFonts w:ascii="Book Antiqua" w:eastAsia="Times New Roman" w:hAnsi="Book Antiqua" w:cs="Arial"/>
          <w:color w:val="000000"/>
          <w:kern w:val="0"/>
          <w:sz w:val="19"/>
          <w:szCs w:val="19"/>
          <w:lang w:eastAsia="pt-BR"/>
          <w14:ligatures w14:val="none"/>
        </w:rPr>
        <w:t>e os servidores públicos nos âmbitos estadual e municipal, regidos pela legislação específica de cada um desses entes federativos; e</w:t>
      </w:r>
    </w:p>
    <w:p w14:paraId="28F8072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 xml:space="preserve">II - </w:t>
      </w:r>
      <w:proofErr w:type="gramStart"/>
      <w:r w:rsidRPr="006D3EE3">
        <w:rPr>
          <w:rFonts w:ascii="Book Antiqua" w:eastAsia="Times New Roman" w:hAnsi="Book Antiqua" w:cs="Arial"/>
          <w:color w:val="000000"/>
          <w:kern w:val="0"/>
          <w:sz w:val="19"/>
          <w:szCs w:val="19"/>
          <w:lang w:eastAsia="pt-BR"/>
          <w14:ligatures w14:val="none"/>
        </w:rPr>
        <w:t>consideram-se</w:t>
      </w:r>
      <w:proofErr w:type="gramEnd"/>
      <w:r w:rsidRPr="006D3EE3">
        <w:rPr>
          <w:rFonts w:ascii="Book Antiqua" w:eastAsia="Times New Roman" w:hAnsi="Book Antiqua" w:cs="Arial"/>
          <w:color w:val="000000"/>
          <w:kern w:val="0"/>
          <w:sz w:val="19"/>
          <w:szCs w:val="19"/>
          <w:lang w:eastAsia="pt-BR"/>
          <w14:ligatures w14:val="none"/>
        </w:rPr>
        <w:t xml:space="preserve"> "organizações de trabalhadores” abrangidas pela Convenção apenas as organizações constituídas nos termos do </w:t>
      </w:r>
      <w:hyperlink r:id="rId9" w:anchor="art8" w:history="1">
        <w:r w:rsidRPr="006D3EE3">
          <w:rPr>
            <w:rFonts w:ascii="Book Antiqua" w:eastAsia="Times New Roman" w:hAnsi="Book Antiqua" w:cs="Arial"/>
            <w:color w:val="000080"/>
            <w:kern w:val="0"/>
            <w:sz w:val="19"/>
            <w:szCs w:val="19"/>
            <w:u w:val="single"/>
            <w:lang w:eastAsia="pt-BR"/>
            <w14:ligatures w14:val="none"/>
          </w:rPr>
          <w:t>art. 8º da Constituição.</w:t>
        </w:r>
      </w:hyperlink>
    </w:p>
    <w:p w14:paraId="4E372AB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6D3EE3">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das referidas Convenção e Recomendação e ajustes complementares que acarretem encargos ou compromissos gravosos ao patrimônio nacional, nos termos do </w:t>
      </w:r>
      <w:hyperlink r:id="rId10" w:anchor="art49i" w:history="1">
        <w:r w:rsidRPr="006D3EE3">
          <w:rPr>
            <w:rFonts w:ascii="Book Antiqua" w:eastAsia="Times New Roman" w:hAnsi="Book Antiqua" w:cs="Arial"/>
            <w:color w:val="000080"/>
            <w:kern w:val="0"/>
            <w:sz w:val="19"/>
            <w:szCs w:val="19"/>
            <w:u w:val="single"/>
            <w:lang w:eastAsia="pt-BR"/>
            <w14:ligatures w14:val="none"/>
          </w:rPr>
          <w:t>inciso I do </w:t>
        </w:r>
        <w:r w:rsidRPr="006D3EE3">
          <w:rPr>
            <w:rFonts w:ascii="Book Antiqua" w:eastAsia="Times New Roman" w:hAnsi="Book Antiqua" w:cs="Arial"/>
            <w:b/>
            <w:bCs/>
            <w:color w:val="000080"/>
            <w:kern w:val="0"/>
            <w:sz w:val="19"/>
            <w:szCs w:val="19"/>
            <w:u w:val="single"/>
            <w:lang w:eastAsia="pt-BR"/>
            <w14:ligatures w14:val="none"/>
          </w:rPr>
          <w:t>caput </w:t>
        </w:r>
        <w:r w:rsidRPr="006D3EE3">
          <w:rPr>
            <w:rFonts w:ascii="Book Antiqua" w:eastAsia="Times New Roman" w:hAnsi="Book Antiqua" w:cs="Arial"/>
            <w:color w:val="000080"/>
            <w:kern w:val="0"/>
            <w:sz w:val="19"/>
            <w:szCs w:val="19"/>
            <w:u w:val="single"/>
            <w:lang w:eastAsia="pt-BR"/>
            <w14:ligatures w14:val="none"/>
          </w:rPr>
          <w:t>do art. 49 da Constituição.</w:t>
        </w:r>
      </w:hyperlink>
    </w:p>
    <w:p w14:paraId="356EE6F4"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6D3EE3">
        <w:rPr>
          <w:rFonts w:ascii="Book Antiqua" w:eastAsia="Times New Roman" w:hAnsi="Book Antiqua" w:cs="Arial"/>
          <w:color w:val="000000"/>
          <w:kern w:val="0"/>
          <w:sz w:val="19"/>
          <w:szCs w:val="19"/>
          <w:lang w:eastAsia="pt-BR"/>
          <w14:ligatures w14:val="none"/>
        </w:rPr>
        <w:t>Art. 3º Este Decreto entra em vigor na data de sua publicação.</w:t>
      </w:r>
    </w:p>
    <w:p w14:paraId="7A9F001E"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Brasília, 6 de março de 2013; 192º da Independência e 125º da República.</w:t>
      </w:r>
    </w:p>
    <w:p w14:paraId="40D48B2A"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caps/>
          <w:color w:val="000000"/>
          <w:kern w:val="0"/>
          <w:sz w:val="19"/>
          <w:szCs w:val="19"/>
          <w:lang w:eastAsia="pt-BR"/>
          <w14:ligatures w14:val="none"/>
        </w:rPr>
      </w:pPr>
      <w:r w:rsidRPr="006D3EE3">
        <w:rPr>
          <w:rFonts w:ascii="Book Antiqua" w:eastAsia="Times New Roman" w:hAnsi="Book Antiqua" w:cs="Arial"/>
          <w:caps/>
          <w:color w:val="000000"/>
          <w:kern w:val="0"/>
          <w:sz w:val="19"/>
          <w:szCs w:val="19"/>
          <w:lang w:eastAsia="pt-BR"/>
          <w14:ligatures w14:val="none"/>
        </w:rPr>
        <w:t>DILMA ROUSSEFF</w:t>
      </w:r>
    </w:p>
    <w:p w14:paraId="34EBA54C"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proofErr w:type="spellStart"/>
      <w:r w:rsidRPr="006D3EE3">
        <w:rPr>
          <w:rFonts w:ascii="Book Antiqua" w:eastAsia="Times New Roman" w:hAnsi="Book Antiqua" w:cs="Arial"/>
          <w:i/>
          <w:iCs/>
          <w:color w:val="000000"/>
          <w:kern w:val="0"/>
          <w:sz w:val="19"/>
          <w:szCs w:val="19"/>
          <w:lang w:eastAsia="pt-BR"/>
          <w14:ligatures w14:val="none"/>
        </w:rPr>
        <w:t>Antonio</w:t>
      </w:r>
      <w:proofErr w:type="spellEnd"/>
      <w:r w:rsidRPr="006D3EE3">
        <w:rPr>
          <w:rFonts w:ascii="Book Antiqua" w:eastAsia="Times New Roman" w:hAnsi="Book Antiqua" w:cs="Arial"/>
          <w:i/>
          <w:iCs/>
          <w:color w:val="000000"/>
          <w:kern w:val="0"/>
          <w:sz w:val="19"/>
          <w:szCs w:val="19"/>
          <w:lang w:eastAsia="pt-BR"/>
          <w14:ligatures w14:val="none"/>
        </w:rPr>
        <w:t xml:space="preserve"> de Aguiar Patriota</w:t>
      </w:r>
    </w:p>
    <w:p w14:paraId="4F3122AF"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6D3EE3">
        <w:rPr>
          <w:rFonts w:ascii="Book Antiqua" w:eastAsia="Times New Roman" w:hAnsi="Book Antiqua" w:cs="Arial"/>
          <w:i/>
          <w:iCs/>
          <w:color w:val="000000"/>
          <w:kern w:val="0"/>
          <w:sz w:val="19"/>
          <w:szCs w:val="19"/>
          <w:lang w:eastAsia="pt-BR"/>
          <w14:ligatures w14:val="none"/>
        </w:rPr>
        <w:t>Carlos Daudt Brizola</w:t>
      </w:r>
    </w:p>
    <w:p w14:paraId="2B0C77C1"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i/>
          <w:iCs/>
          <w:color w:val="000000"/>
          <w:kern w:val="0"/>
          <w:sz w:val="19"/>
          <w:szCs w:val="19"/>
          <w:lang w:eastAsia="pt-BR"/>
          <w14:ligatures w14:val="none"/>
        </w:rPr>
      </w:pPr>
      <w:r w:rsidRPr="006D3EE3">
        <w:rPr>
          <w:rFonts w:ascii="Book Antiqua" w:eastAsia="Times New Roman" w:hAnsi="Book Antiqua" w:cs="Arial"/>
          <w:i/>
          <w:iCs/>
          <w:color w:val="000000"/>
          <w:kern w:val="0"/>
          <w:sz w:val="19"/>
          <w:szCs w:val="19"/>
          <w:lang w:eastAsia="pt-BR"/>
          <w14:ligatures w14:val="none"/>
        </w:rPr>
        <w:lastRenderedPageBreak/>
        <w:t>Miriam Belchior</w:t>
      </w:r>
    </w:p>
    <w:p w14:paraId="185AFB56" w14:textId="77777777" w:rsidR="006D3EE3" w:rsidRPr="006D3EE3" w:rsidRDefault="006D3EE3" w:rsidP="006D3EE3">
      <w:pPr>
        <w:spacing w:before="100" w:beforeAutospacing="1" w:after="100" w:afterAutospacing="1" w:line="240" w:lineRule="auto"/>
        <w:jc w:val="both"/>
        <w:rPr>
          <w:rFonts w:ascii="Book Antiqua" w:eastAsia="Times New Roman" w:hAnsi="Book Antiqua" w:cs="Arial"/>
          <w:color w:val="FF0000"/>
          <w:kern w:val="0"/>
          <w:sz w:val="19"/>
          <w:szCs w:val="19"/>
          <w:lang w:eastAsia="pt-BR"/>
          <w14:ligatures w14:val="none"/>
        </w:rPr>
      </w:pPr>
      <w:r w:rsidRPr="006D3EE3">
        <w:rPr>
          <w:rFonts w:ascii="Book Antiqua" w:eastAsia="Times New Roman" w:hAnsi="Book Antiqua" w:cs="Arial"/>
          <w:color w:val="FF0000"/>
          <w:kern w:val="0"/>
          <w:sz w:val="19"/>
          <w:szCs w:val="19"/>
          <w:lang w:eastAsia="pt-BR"/>
          <w14:ligatures w14:val="none"/>
        </w:rPr>
        <w:t>Este texto não substitui o publicado no DOU de 7.3.2013</w:t>
      </w:r>
    </w:p>
    <w:p w14:paraId="7568CC02" w14:textId="77777777" w:rsidR="006D3EE3" w:rsidRPr="006D3EE3" w:rsidRDefault="006D3EE3" w:rsidP="006D3EE3">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CONVENÇÃO Nº 151 SOBRE AS RELAÇÕES DE TRABALHO NA ADMINISTRAÇÃO PÚBLICA, 1978</w:t>
      </w:r>
    </w:p>
    <w:p w14:paraId="50676AA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 Conferência Geral da Organização Internacional do Trabalho,</w:t>
      </w:r>
    </w:p>
    <w:p w14:paraId="2A73614F"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reunida em 7 de junho de 1978, na sua 64ª sessão;</w:t>
      </w:r>
    </w:p>
    <w:p w14:paraId="2768E8F8" w14:textId="7C3DFBFE" w:rsidR="006D3EE3" w:rsidRPr="000C660E" w:rsidRDefault="006D3EE3" w:rsidP="006D3EE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0C660E">
        <w:rPr>
          <w:rFonts w:ascii="Book Antiqua" w:eastAsia="Times New Roman" w:hAnsi="Book Antiqua" w:cs="Arial"/>
          <w:b/>
          <w:bCs/>
          <w:color w:val="000000"/>
          <w:kern w:val="0"/>
          <w:sz w:val="19"/>
          <w:szCs w:val="19"/>
          <w:lang w:eastAsia="pt-BR"/>
          <w14:ligatures w14:val="none"/>
        </w:rPr>
        <w:t>Considerando as disposições da Convenção Relativa à Liberdade Sindical e à Proteção do Direito de Sindicalização, 1948, da Convenção Relativa ao Direito de Organização e Negociação Coletiva, 1949, e da Convenção e da Recomendação Relativas aos Representantes dos Trabalhadores, 1971;</w:t>
      </w:r>
      <w:r w:rsidR="000C660E" w:rsidRPr="000C660E">
        <w:rPr>
          <w:rFonts w:ascii="Book Antiqua" w:eastAsia="Times New Roman" w:hAnsi="Book Antiqua" w:cs="Arial"/>
          <w:b/>
          <w:bCs/>
          <w:color w:val="000000"/>
          <w:kern w:val="0"/>
          <w:sz w:val="19"/>
          <w:szCs w:val="19"/>
          <w:lang w:eastAsia="pt-BR"/>
          <w14:ligatures w14:val="none"/>
        </w:rPr>
        <w:t xml:space="preserve"> </w:t>
      </w:r>
      <w:r w:rsidR="000C660E" w:rsidRPr="000C660E">
        <w:rPr>
          <w:rFonts w:ascii="Book Antiqua" w:eastAsia="Times New Roman" w:hAnsi="Book Antiqua" w:cs="Arial"/>
          <w:b/>
          <w:bCs/>
          <w:color w:val="FF0000"/>
          <w:sz w:val="16"/>
          <w:szCs w:val="16"/>
          <w:u w:val="single"/>
          <w:lang w:eastAsia="pt-BR"/>
        </w:rPr>
        <w:t>(TRT</w:t>
      </w:r>
      <w:r w:rsidR="000C660E" w:rsidRPr="000C660E">
        <w:rPr>
          <w:rFonts w:ascii="Book Antiqua" w:hAnsi="Book Antiqua" w:cs="Arial"/>
          <w:b/>
          <w:bCs/>
          <w:color w:val="FF0000"/>
          <w:sz w:val="16"/>
          <w:szCs w:val="16"/>
          <w:u w:val="single"/>
        </w:rPr>
        <w:t>3</w:t>
      </w:r>
      <w:r w:rsidR="000C660E" w:rsidRPr="000C660E">
        <w:rPr>
          <w:rFonts w:ascii="Book Antiqua" w:eastAsia="Times New Roman" w:hAnsi="Book Antiqua" w:cs="Arial"/>
          <w:b/>
          <w:bCs/>
          <w:color w:val="FF0000"/>
          <w:sz w:val="16"/>
          <w:szCs w:val="16"/>
          <w:u w:val="single"/>
          <w:lang w:eastAsia="pt-BR"/>
        </w:rPr>
        <w:t>-2014)</w:t>
      </w:r>
    </w:p>
    <w:p w14:paraId="7EBE40B1"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Recordando que a Convenção Relativa ao Direito de Organização e Negociação Coletiva, 1949, não abrange determinadas categorias de trabalhadores da Administração Pública e que a Convenção e a Recomendação sobre os Representantes dos Trabalhadores, 1971, se aplicam aos representantes dos trabalhadores no ambiente de trabalho;</w:t>
      </w:r>
    </w:p>
    <w:p w14:paraId="63C4B4E5"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Considerando a notável expansão das atividades da Administração Pública em muitos países e a necessidade de relações de trabalho harmoniosas entre as autoridades públicas e as organizações de trabalhadores da Administração Pública;</w:t>
      </w:r>
    </w:p>
    <w:p w14:paraId="0C5C92EE"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 xml:space="preserve">Verificando a grande diversidade dos sistemas políticos, sociais e econômicos dos Estados Membros, assim como a das respectivas práticas (por exemplo, no que se refere às funções respectivas dos governos centrais e locais, às das autoridades federais, estaduais e provinciais, bem como às das empresas que são propriedade pública e dos diversos tipos de organismos públicos autônomos ou </w:t>
      </w:r>
      <w:proofErr w:type="spellStart"/>
      <w:r w:rsidRPr="006D3EE3">
        <w:rPr>
          <w:rFonts w:ascii="Book Antiqua" w:eastAsia="Times New Roman" w:hAnsi="Book Antiqua" w:cs="Arial"/>
          <w:color w:val="000000"/>
          <w:kern w:val="0"/>
          <w:sz w:val="19"/>
          <w:szCs w:val="19"/>
          <w:lang w:eastAsia="pt-BR"/>
          <w14:ligatures w14:val="none"/>
        </w:rPr>
        <w:t>semi-autônomos</w:t>
      </w:r>
      <w:proofErr w:type="spellEnd"/>
      <w:r w:rsidRPr="006D3EE3">
        <w:rPr>
          <w:rFonts w:ascii="Book Antiqua" w:eastAsia="Times New Roman" w:hAnsi="Book Antiqua" w:cs="Arial"/>
          <w:color w:val="000000"/>
          <w:kern w:val="0"/>
          <w:sz w:val="19"/>
          <w:szCs w:val="19"/>
          <w:lang w:eastAsia="pt-BR"/>
          <w14:ligatures w14:val="none"/>
        </w:rPr>
        <w:t>, ou ainda no que diz respeito à natureza das relações de trabalho);</w:t>
      </w:r>
    </w:p>
    <w:p w14:paraId="567D70DA"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Considerando os problemas específicos levantados pela delimitação da esfera de aplicação de um instrumento internacional e pela adoção de definições para efeitos deste instrumento, em virtude das diferenças existentes em numerosos países entre o trabalho no setor público e no setor privado, assim como as dificuldades de interpretação que surgiram a respeito da aplicação aos funcionários públicos das pertinentes disposições da Convenção Relativa ao Direito de Organização e Negociação Coletiva, 1949, e as observações através das quais os órgãos de controle da OIT chamaram repetidas vezes a atenção para o fato de certos Governos aplicarem essas disposições de modo a excluir grandes grupos de trabalhadores da Administração Pública da esfera de aplicação daquela Convenção;</w:t>
      </w:r>
    </w:p>
    <w:p w14:paraId="255F447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Após ter decidido adotar diversas propostas relativas à liberdade sindical e aos processos de fixação das condições de trabalho na Administração Pública, questão que constitui o quinto ponto da ordem do dia da sessão;</w:t>
      </w:r>
    </w:p>
    <w:p w14:paraId="52D2914D"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Após ter decidido que essas propostas tomariam a forma de uma convenção internacional;</w:t>
      </w:r>
    </w:p>
    <w:p w14:paraId="731D0B6A"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Adota, no dia 27 de junho de 1978, a seguinte Convenção, que será denominada Convenção sobre as Relações de Trabalho na Administração Pública, 1978:</w:t>
      </w:r>
    </w:p>
    <w:p w14:paraId="3C4BD68C"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I - ÂMBITO DE APLICAÇÃO E DEFINIÇÕES</w:t>
      </w:r>
    </w:p>
    <w:p w14:paraId="44728835" w14:textId="77777777" w:rsidR="006D3EE3" w:rsidRPr="00D21013" w:rsidRDefault="006D3EE3" w:rsidP="006D3EE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D21013">
        <w:rPr>
          <w:rFonts w:ascii="Book Antiqua" w:eastAsia="Times New Roman" w:hAnsi="Book Antiqua" w:cs="Arial"/>
          <w:b/>
          <w:bCs/>
          <w:color w:val="000000"/>
          <w:kern w:val="0"/>
          <w:sz w:val="19"/>
          <w:szCs w:val="19"/>
          <w:highlight w:val="magenta"/>
          <w:lang w:eastAsia="pt-BR"/>
          <w14:ligatures w14:val="none"/>
        </w:rPr>
        <w:t>Artigo 1</w:t>
      </w:r>
    </w:p>
    <w:p w14:paraId="78E040CD" w14:textId="6AD8712B"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D21013">
        <w:rPr>
          <w:rFonts w:ascii="Book Antiqua" w:eastAsia="Times New Roman" w:hAnsi="Book Antiqua" w:cs="Arial"/>
          <w:b/>
          <w:bCs/>
          <w:color w:val="000000"/>
          <w:kern w:val="0"/>
          <w:sz w:val="19"/>
          <w:szCs w:val="19"/>
          <w:highlight w:val="magenta"/>
          <w:lang w:eastAsia="pt-BR"/>
          <w14:ligatures w14:val="none"/>
        </w:rPr>
        <w:t>1</w:t>
      </w:r>
      <w:r w:rsidRPr="00D21013">
        <w:rPr>
          <w:rFonts w:ascii="Book Antiqua" w:eastAsia="Times New Roman" w:hAnsi="Book Antiqua" w:cs="Arial"/>
          <w:b/>
          <w:bCs/>
          <w:color w:val="000000"/>
          <w:kern w:val="0"/>
          <w:sz w:val="19"/>
          <w:szCs w:val="19"/>
          <w:lang w:eastAsia="pt-BR"/>
          <w14:ligatures w14:val="none"/>
        </w:rPr>
        <w:t>. A presente Convenção aplica-se a todas as pessoas empregadas pelas autoridades públicas, na medida em que não lhes sejam aplicáveis disposições mais favoráveis de outras convenções internacionais do trabalho</w:t>
      </w:r>
      <w:r w:rsidRPr="006D3EE3">
        <w:rPr>
          <w:rFonts w:ascii="Book Antiqua" w:eastAsia="Times New Roman" w:hAnsi="Book Antiqua" w:cs="Arial"/>
          <w:color w:val="000000"/>
          <w:kern w:val="0"/>
          <w:sz w:val="19"/>
          <w:szCs w:val="19"/>
          <w:lang w:eastAsia="pt-BR"/>
          <w14:ligatures w14:val="none"/>
        </w:rPr>
        <w:t>.</w:t>
      </w:r>
      <w:r w:rsidR="00D21013">
        <w:rPr>
          <w:rFonts w:ascii="Book Antiqua" w:eastAsia="Times New Roman" w:hAnsi="Book Antiqua" w:cs="Arial"/>
          <w:color w:val="000000"/>
          <w:kern w:val="0"/>
          <w:sz w:val="19"/>
          <w:szCs w:val="19"/>
          <w:lang w:eastAsia="pt-BR"/>
          <w14:ligatures w14:val="none"/>
        </w:rPr>
        <w:t xml:space="preserve"> </w:t>
      </w:r>
      <w:bookmarkStart w:id="3" w:name="_Hlk158566781"/>
      <w:r w:rsidR="00D21013" w:rsidRPr="00F01BF6">
        <w:rPr>
          <w:rFonts w:ascii="Book Antiqua" w:eastAsia="Times New Roman" w:hAnsi="Book Antiqua" w:cs="Arial"/>
          <w:b/>
          <w:bCs/>
          <w:color w:val="FF0000"/>
          <w:sz w:val="16"/>
          <w:szCs w:val="16"/>
          <w:u w:val="single"/>
          <w:lang w:eastAsia="pt-BR"/>
        </w:rPr>
        <w:t>(TR</w:t>
      </w:r>
      <w:r w:rsidR="00D21013">
        <w:rPr>
          <w:rFonts w:ascii="Book Antiqua" w:eastAsia="Times New Roman" w:hAnsi="Book Antiqua" w:cs="Arial"/>
          <w:b/>
          <w:bCs/>
          <w:color w:val="FF0000"/>
          <w:sz w:val="16"/>
          <w:szCs w:val="16"/>
          <w:u w:val="single"/>
          <w:lang w:eastAsia="pt-BR"/>
        </w:rPr>
        <w:t>T</w:t>
      </w:r>
      <w:r w:rsidR="00D21013">
        <w:rPr>
          <w:rFonts w:ascii="Book Antiqua" w:hAnsi="Book Antiqua" w:cs="Arial"/>
          <w:b/>
          <w:bCs/>
          <w:color w:val="FF0000"/>
          <w:sz w:val="16"/>
          <w:szCs w:val="16"/>
          <w:u w:val="single"/>
        </w:rPr>
        <w:t>3</w:t>
      </w:r>
      <w:r w:rsidR="00D21013" w:rsidRPr="00F01BF6">
        <w:rPr>
          <w:rFonts w:ascii="Book Antiqua" w:eastAsia="Times New Roman" w:hAnsi="Book Antiqua" w:cs="Arial"/>
          <w:b/>
          <w:bCs/>
          <w:color w:val="FF0000"/>
          <w:sz w:val="16"/>
          <w:szCs w:val="16"/>
          <w:u w:val="single"/>
          <w:lang w:eastAsia="pt-BR"/>
        </w:rPr>
        <w:t>-201</w:t>
      </w:r>
      <w:r w:rsidR="00D21013">
        <w:rPr>
          <w:rFonts w:ascii="Book Antiqua" w:eastAsia="Times New Roman" w:hAnsi="Book Antiqua" w:cs="Arial"/>
          <w:b/>
          <w:bCs/>
          <w:color w:val="FF0000"/>
          <w:sz w:val="16"/>
          <w:szCs w:val="16"/>
          <w:u w:val="single"/>
          <w:lang w:eastAsia="pt-BR"/>
        </w:rPr>
        <w:t>4</w:t>
      </w:r>
      <w:r w:rsidR="00D21013" w:rsidRPr="00F01BF6">
        <w:rPr>
          <w:rFonts w:ascii="Book Antiqua" w:eastAsia="Times New Roman" w:hAnsi="Book Antiqua" w:cs="Arial"/>
          <w:b/>
          <w:bCs/>
          <w:color w:val="FF0000"/>
          <w:sz w:val="16"/>
          <w:szCs w:val="16"/>
          <w:u w:val="single"/>
          <w:lang w:eastAsia="pt-BR"/>
        </w:rPr>
        <w:t>)</w:t>
      </w:r>
      <w:bookmarkEnd w:id="3"/>
    </w:p>
    <w:p w14:paraId="4E22F9B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lastRenderedPageBreak/>
        <w:t>2. A legislação nacional determinará o modo pelo qual as garantias previstas pela presente Convenção se aplicarão aos trabalhadores da Administração Pública de alto nível, cujas funções são normalmente consideradas de formulação de políticas ou de direção ou aos trabalhadores da Administração Pública cujas responsabilidades tenham um caráter altamente confidencial.</w:t>
      </w:r>
    </w:p>
    <w:p w14:paraId="2ED314C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3. A legislação nacional determinará o modo pelo qual as garantias previstas pela presente Convenção se aplicarão às forças armadas e à polícia.</w:t>
      </w:r>
    </w:p>
    <w:p w14:paraId="72D1300B"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2</w:t>
      </w:r>
    </w:p>
    <w:p w14:paraId="5E2D0BB5"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Para os efeitos da presente Convenção, a expressão “trabalhadores da Administração Pública” designa toda e qualquer pessoa a que se aplique esta Convenção, nos termos do seu Artigo 1</w:t>
      </w:r>
    </w:p>
    <w:p w14:paraId="01270662"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3</w:t>
      </w:r>
    </w:p>
    <w:p w14:paraId="512C991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Para os efeitos da presente Convenção, a expressão “organização de trabalhadores da Administração Pública” designa toda a organização, qualquer que seja a sua composição, que tenha por fim promover e defender os interesses dos trabalhadores da Administração Pública.</w:t>
      </w:r>
    </w:p>
    <w:p w14:paraId="36FA101A"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II - PROTEÇÃO DO DIREITO DE ORGANIZAÇÃO</w:t>
      </w:r>
    </w:p>
    <w:p w14:paraId="32488758"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Artigo 4</w:t>
      </w:r>
    </w:p>
    <w:p w14:paraId="237D02E7" w14:textId="14F9795B"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1</w:t>
      </w:r>
      <w:r w:rsidRPr="006D3EE3">
        <w:rPr>
          <w:rFonts w:ascii="Book Antiqua" w:eastAsia="Times New Roman" w:hAnsi="Book Antiqua" w:cs="Arial"/>
          <w:b/>
          <w:bCs/>
          <w:color w:val="000000"/>
          <w:kern w:val="0"/>
          <w:sz w:val="19"/>
          <w:szCs w:val="19"/>
          <w:lang w:eastAsia="pt-BR"/>
          <w14:ligatures w14:val="none"/>
        </w:rPr>
        <w:t>. Os trabalhadores da Administração Pública devem usufruir de uma proteção adequada contra todos os atos de discriminação que acarretem violação da liberdade sindical em matéria de trabalho.</w:t>
      </w:r>
      <w:r w:rsidR="00D21013">
        <w:rPr>
          <w:rFonts w:ascii="Book Antiqua" w:eastAsia="Times New Roman" w:hAnsi="Book Antiqua" w:cs="Arial"/>
          <w:b/>
          <w:bCs/>
          <w:color w:val="000000"/>
          <w:kern w:val="0"/>
          <w:sz w:val="19"/>
          <w:szCs w:val="19"/>
          <w:lang w:eastAsia="pt-BR"/>
          <w14:ligatures w14:val="none"/>
        </w:rPr>
        <w:t xml:space="preserve"> </w:t>
      </w:r>
      <w:r w:rsidR="00D21013" w:rsidRPr="00F01BF6">
        <w:rPr>
          <w:rFonts w:ascii="Book Antiqua" w:eastAsia="Times New Roman" w:hAnsi="Book Antiqua" w:cs="Arial"/>
          <w:b/>
          <w:bCs/>
          <w:color w:val="FF0000"/>
          <w:sz w:val="16"/>
          <w:szCs w:val="16"/>
          <w:u w:val="single"/>
          <w:lang w:eastAsia="pt-BR"/>
        </w:rPr>
        <w:t>(TR</w:t>
      </w:r>
      <w:r w:rsidR="00D21013">
        <w:rPr>
          <w:rFonts w:ascii="Book Antiqua" w:eastAsia="Times New Roman" w:hAnsi="Book Antiqua" w:cs="Arial"/>
          <w:b/>
          <w:bCs/>
          <w:color w:val="FF0000"/>
          <w:sz w:val="16"/>
          <w:szCs w:val="16"/>
          <w:u w:val="single"/>
          <w:lang w:eastAsia="pt-BR"/>
        </w:rPr>
        <w:t>T</w:t>
      </w:r>
      <w:r w:rsidR="00D21013">
        <w:rPr>
          <w:rFonts w:ascii="Book Antiqua" w:hAnsi="Book Antiqua" w:cs="Arial"/>
          <w:b/>
          <w:bCs/>
          <w:color w:val="FF0000"/>
          <w:sz w:val="16"/>
          <w:szCs w:val="16"/>
          <w:u w:val="single"/>
        </w:rPr>
        <w:t>3</w:t>
      </w:r>
      <w:r w:rsidR="00D21013" w:rsidRPr="00F01BF6">
        <w:rPr>
          <w:rFonts w:ascii="Book Antiqua" w:eastAsia="Times New Roman" w:hAnsi="Book Antiqua" w:cs="Arial"/>
          <w:b/>
          <w:bCs/>
          <w:color w:val="FF0000"/>
          <w:sz w:val="16"/>
          <w:szCs w:val="16"/>
          <w:u w:val="single"/>
          <w:lang w:eastAsia="pt-BR"/>
        </w:rPr>
        <w:t>-201</w:t>
      </w:r>
      <w:r w:rsidR="00D21013">
        <w:rPr>
          <w:rFonts w:ascii="Book Antiqua" w:eastAsia="Times New Roman" w:hAnsi="Book Antiqua" w:cs="Arial"/>
          <w:b/>
          <w:bCs/>
          <w:color w:val="FF0000"/>
          <w:sz w:val="16"/>
          <w:szCs w:val="16"/>
          <w:u w:val="single"/>
          <w:lang w:eastAsia="pt-BR"/>
        </w:rPr>
        <w:t>4</w:t>
      </w:r>
      <w:r w:rsidR="00D21013" w:rsidRPr="00F01BF6">
        <w:rPr>
          <w:rFonts w:ascii="Book Antiqua" w:eastAsia="Times New Roman" w:hAnsi="Book Antiqua" w:cs="Arial"/>
          <w:b/>
          <w:bCs/>
          <w:color w:val="FF0000"/>
          <w:sz w:val="16"/>
          <w:szCs w:val="16"/>
          <w:u w:val="single"/>
          <w:lang w:eastAsia="pt-BR"/>
        </w:rPr>
        <w:t>)</w:t>
      </w:r>
      <w:r w:rsidR="00732444">
        <w:rPr>
          <w:rFonts w:ascii="Book Antiqua" w:eastAsia="Times New Roman" w:hAnsi="Book Antiqua" w:cs="Arial"/>
          <w:b/>
          <w:bCs/>
          <w:color w:val="000000"/>
          <w:kern w:val="0"/>
          <w:sz w:val="19"/>
          <w:szCs w:val="19"/>
          <w:lang w:eastAsia="pt-BR"/>
          <w14:ligatures w14:val="none"/>
        </w:rPr>
        <w:t xml:space="preserve"> </w:t>
      </w:r>
      <w:r w:rsidR="00732444">
        <w:rPr>
          <w:rFonts w:ascii="Book Antiqua" w:eastAsia="Times New Roman" w:hAnsi="Book Antiqua" w:cs="Times New Roman"/>
          <w:b/>
          <w:color w:val="FF0000"/>
          <w:sz w:val="16"/>
          <w:szCs w:val="16"/>
          <w:u w:val="single"/>
          <w:lang w:eastAsia="pt-BR"/>
        </w:rPr>
        <w:t>(TRT3-2016)</w:t>
      </w:r>
      <w:r w:rsidRPr="006D3EE3">
        <w:rPr>
          <w:rFonts w:ascii="Book Antiqua" w:eastAsia="Times New Roman" w:hAnsi="Book Antiqua" w:cs="Arial"/>
          <w:b/>
          <w:bCs/>
          <w:color w:val="000000"/>
          <w:kern w:val="0"/>
          <w:sz w:val="19"/>
          <w:szCs w:val="19"/>
          <w:lang w:eastAsia="pt-BR"/>
          <w14:ligatures w14:val="none"/>
        </w:rPr>
        <w:t xml:space="preserve"> </w:t>
      </w:r>
      <w:r w:rsidRPr="006D3EE3">
        <w:rPr>
          <w:rFonts w:ascii="Book Antiqua" w:eastAsia="Times New Roman" w:hAnsi="Book Antiqua" w:cs="Arial"/>
          <w:b/>
          <w:bCs/>
          <w:color w:val="FF0000"/>
          <w:kern w:val="0"/>
          <w:sz w:val="16"/>
          <w:szCs w:val="16"/>
          <w:u w:val="single"/>
          <w:lang w:eastAsia="pt-BR"/>
          <w14:ligatures w14:val="none"/>
        </w:rPr>
        <w:t>(MPT-2017)</w:t>
      </w:r>
    </w:p>
    <w:p w14:paraId="0DE519C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Essa proteção deve aplicar-se, particularmente, em relação aos atos que tenham por fim:</w:t>
      </w:r>
    </w:p>
    <w:p w14:paraId="291ADA8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 Subordinar o emprego de um trabalhador da Administração Pública à condição de este não se filiar a uma organização de trabalhadores da Administração Pública ou deixar de fazer parte dessa organização;</w:t>
      </w:r>
    </w:p>
    <w:p w14:paraId="063E7B30"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b) Demitir um trabalhador da Administração Pública ou prejudicá-lo por quaisquer outros meios, devido à sua filiação a uma organização de trabalhadores da Administração Pública ou à sua participação nas atividades normais dessa organização.</w:t>
      </w:r>
    </w:p>
    <w:p w14:paraId="26088381"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Artigo 5</w:t>
      </w:r>
    </w:p>
    <w:p w14:paraId="2FA9C601" w14:textId="1E2C927E"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1</w:t>
      </w:r>
      <w:r w:rsidRPr="006D3EE3">
        <w:rPr>
          <w:rFonts w:ascii="Book Antiqua" w:eastAsia="Times New Roman" w:hAnsi="Book Antiqua" w:cs="Arial"/>
          <w:b/>
          <w:bCs/>
          <w:color w:val="000000"/>
          <w:kern w:val="0"/>
          <w:sz w:val="19"/>
          <w:szCs w:val="19"/>
          <w:lang w:eastAsia="pt-BR"/>
          <w14:ligatures w14:val="none"/>
        </w:rPr>
        <w:t xml:space="preserve">. As organizações de trabalhadores da Administração Pública devem usufruir de completa independência das autoridades públicas. </w:t>
      </w:r>
      <w:r w:rsidRPr="006D3EE3">
        <w:rPr>
          <w:rFonts w:ascii="Book Antiqua" w:eastAsia="Times New Roman" w:hAnsi="Book Antiqua" w:cs="Arial"/>
          <w:b/>
          <w:bCs/>
          <w:color w:val="FF0000"/>
          <w:kern w:val="0"/>
          <w:sz w:val="16"/>
          <w:szCs w:val="16"/>
          <w:u w:val="single"/>
          <w:lang w:eastAsia="pt-BR"/>
          <w14:ligatures w14:val="none"/>
        </w:rPr>
        <w:t>(MPT-2017)</w:t>
      </w:r>
    </w:p>
    <w:p w14:paraId="1F1DDB8C"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As organizações de trabalhadores da Administração Pública devem usufruir de uma proteção adequada contra todos os atos de ingerência das autoridades públicas em sua formação, funcionamento e administração.</w:t>
      </w:r>
    </w:p>
    <w:p w14:paraId="577C52C3"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3. São particularmente considerados atos de ingerência, no sentido do presente Artigo, todas as medidas tendentes a promover a criação de organizações de trabalhadores da Administração Pública dominadas por uma autoridade pública ou a apoiar organizações de trabalhadores da Administração Pública por meios financeiros ou quaisquer outros, com o objetivo de submeter essas organizações ao controle de uma autoridade pública.</w:t>
      </w:r>
    </w:p>
    <w:p w14:paraId="577FF8ED"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III - GARANTIAS A SEREM CONCEDIDAS ÀS ORGANIZAÇÕES DE TRABALHADORES DA ADMINISTRAÇÃO PÚBLICA</w:t>
      </w:r>
    </w:p>
    <w:p w14:paraId="637D8020"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6</w:t>
      </w:r>
    </w:p>
    <w:p w14:paraId="60A93845"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lastRenderedPageBreak/>
        <w:t>1. Devem ser concedidas garantias aos representantes das organizações reconhecidas de trabalhadores da Administração Pública, de modo a permitir-lhes cumprir rápida e eficientemente as suas funções, quer durante as suas horas de trabalho, quer fora delas.</w:t>
      </w:r>
    </w:p>
    <w:p w14:paraId="56E09771"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A concessão dessas garantias não deve prejudicar o funcionamento eficiente da Administração ou do serviço interessado.</w:t>
      </w:r>
    </w:p>
    <w:p w14:paraId="011EA4DE"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3. A natureza e a amplitude dessas garantias devem ser fixadas de acordo com os métodos mencionados no Artigo 7 da presente Convenção ou por quaisquer outros meios adequados.</w:t>
      </w:r>
    </w:p>
    <w:p w14:paraId="0FA791D2"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IV - PROCEDIMENTOS PARA FIXAÇÃO DAS CONDIÇÕES DE TRABALHO</w:t>
      </w:r>
    </w:p>
    <w:p w14:paraId="2A91EF79"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Artigo 7</w:t>
      </w:r>
    </w:p>
    <w:p w14:paraId="3B9CAD31" w14:textId="061C834A"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lang w:eastAsia="pt-BR"/>
          <w14:ligatures w14:val="none"/>
        </w:rPr>
        <w:t xml:space="preserve">Devem ser tomadas, quando necessário, medidas adequadas às condições nacionais para encorajar e promover o desenvolvimento e utilização plenos de mecanismos que permitam a negociação das condições de trabalho entre as autoridades públicas interessadas e as organizações de trabalhadores da Administração Pública ou de qualquer outro meio que permita aos representantes dos trabalhadores da Administração Pública participarem na fixação das referidas condições. </w:t>
      </w:r>
      <w:r w:rsidRPr="006D3EE3">
        <w:rPr>
          <w:rFonts w:ascii="Book Antiqua" w:eastAsia="Times New Roman" w:hAnsi="Book Antiqua" w:cs="Arial"/>
          <w:b/>
          <w:bCs/>
          <w:color w:val="FF0000"/>
          <w:kern w:val="0"/>
          <w:sz w:val="16"/>
          <w:szCs w:val="16"/>
          <w:u w:val="single"/>
          <w:lang w:eastAsia="pt-BR"/>
          <w14:ligatures w14:val="none"/>
        </w:rPr>
        <w:t>(MPT-2015)</w:t>
      </w:r>
    </w:p>
    <w:p w14:paraId="04AD03CA"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V - SOLUÇÃO DE CONFLITOS</w:t>
      </w:r>
    </w:p>
    <w:p w14:paraId="7C77030B" w14:textId="56A4C6F3"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highlight w:val="magenta"/>
          <w:lang w:eastAsia="pt-BR"/>
          <w14:ligatures w14:val="none"/>
        </w:rPr>
        <w:t>Artigo 8</w:t>
      </w:r>
    </w:p>
    <w:p w14:paraId="7CBCB2B4" w14:textId="4CB80A29"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6D3EE3">
        <w:rPr>
          <w:rFonts w:ascii="Book Antiqua" w:eastAsia="Times New Roman" w:hAnsi="Book Antiqua" w:cs="Arial"/>
          <w:b/>
          <w:bCs/>
          <w:color w:val="000000"/>
          <w:kern w:val="0"/>
          <w:sz w:val="19"/>
          <w:szCs w:val="19"/>
          <w:lang w:eastAsia="pt-BR"/>
          <w14:ligatures w14:val="none"/>
        </w:rPr>
        <w:t xml:space="preserve">A solução de conflitos surgidos em razão da fixação das condições de trabalho será buscada de maneira adequada às condições nacionais, por meio da negociação entre as partes interessadas ou por mecanismos que </w:t>
      </w:r>
      <w:proofErr w:type="spellStart"/>
      <w:r w:rsidRPr="006D3EE3">
        <w:rPr>
          <w:rFonts w:ascii="Book Antiqua" w:eastAsia="Times New Roman" w:hAnsi="Book Antiqua" w:cs="Arial"/>
          <w:b/>
          <w:bCs/>
          <w:color w:val="000000"/>
          <w:kern w:val="0"/>
          <w:sz w:val="19"/>
          <w:szCs w:val="19"/>
          <w:lang w:eastAsia="pt-BR"/>
          <w14:ligatures w14:val="none"/>
        </w:rPr>
        <w:t>dêem</w:t>
      </w:r>
      <w:proofErr w:type="spellEnd"/>
      <w:r w:rsidRPr="006D3EE3">
        <w:rPr>
          <w:rFonts w:ascii="Book Antiqua" w:eastAsia="Times New Roman" w:hAnsi="Book Antiqua" w:cs="Arial"/>
          <w:b/>
          <w:bCs/>
          <w:color w:val="000000"/>
          <w:kern w:val="0"/>
          <w:sz w:val="19"/>
          <w:szCs w:val="19"/>
          <w:lang w:eastAsia="pt-BR"/>
          <w14:ligatures w14:val="none"/>
        </w:rPr>
        <w:t xml:space="preserve"> garantias de independência e imparcialidade, tais como a mediação, a conciliação ou a arbitragem, instituídos de modo que inspirem confiança às partes interessadas. </w:t>
      </w:r>
      <w:bookmarkStart w:id="4" w:name="_Hlk157169807"/>
      <w:r w:rsidRPr="006D3EE3">
        <w:rPr>
          <w:rFonts w:ascii="Book Antiqua" w:eastAsia="Times New Roman" w:hAnsi="Book Antiqua" w:cs="Arial"/>
          <w:b/>
          <w:bCs/>
          <w:color w:val="FF0000"/>
          <w:kern w:val="0"/>
          <w:sz w:val="16"/>
          <w:szCs w:val="16"/>
          <w:u w:val="single"/>
          <w:lang w:eastAsia="pt-BR"/>
          <w14:ligatures w14:val="none"/>
        </w:rPr>
        <w:t>(MPT-2015)</w:t>
      </w:r>
      <w:bookmarkEnd w:id="4"/>
    </w:p>
    <w:p w14:paraId="6E20B161"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VI - DIREITOS CIVIS E POLÍTICOS</w:t>
      </w:r>
    </w:p>
    <w:p w14:paraId="7741B82B"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9</w:t>
      </w:r>
    </w:p>
    <w:p w14:paraId="2F43330C"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Os trabalhadores da Administração Pública devem usufruir, como os outros trabalhadores, dos direitos civis e políticos que são essenciais ao exercício normal da liberdade sindical, com a única reserva das obrigações referentes ao seu estatuto e à natureza das funções que exercem.</w:t>
      </w:r>
    </w:p>
    <w:p w14:paraId="400A1CB7"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PARTE VII - DISPOSIÇÕES FINAIS</w:t>
      </w:r>
    </w:p>
    <w:p w14:paraId="5EFC6BA6"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10</w:t>
      </w:r>
    </w:p>
    <w:p w14:paraId="14BAB0F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As ratificações formais da presente Convenção serão comunicadas ao Diretor-Geral da Repartição Internacional do Trabalho para registro.</w:t>
      </w:r>
    </w:p>
    <w:p w14:paraId="592408FD"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11</w:t>
      </w:r>
    </w:p>
    <w:p w14:paraId="5679A52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A presente Convenção obriga apenas os membros da Organização Internacional do Trabalho cuja ratificação tiver sido registrada junto ao Diretor-Geral.</w:t>
      </w:r>
    </w:p>
    <w:p w14:paraId="13C1C1CE"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A Convenção entrará em vigor doze meses após a data em que as ratificações de dois membros forem registradas junto ao Diretor-Geral.</w:t>
      </w:r>
    </w:p>
    <w:p w14:paraId="0B34C040"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3. Em seguida, esta Convenção entrará em vigor para cada membro doze meses após a data em que a sua ratificação tiver sido registrada.</w:t>
      </w:r>
    </w:p>
    <w:p w14:paraId="01C00483"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lastRenderedPageBreak/>
        <w:t>Artigo 12</w:t>
      </w:r>
    </w:p>
    <w:p w14:paraId="3E79BDFA"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Qualquer membro que tiver ratificado a presente Convenção pode denunciá-la, decorrido um período de dez anos após a data inicial de entrada em vigor da Convenção, por comunicação, para seu registro, ao Diretor-Geral da Repartição Internacional do Trabalho. A denúncia apenas produzirá efeito um ano depois de ter sido registrada.</w:t>
      </w:r>
    </w:p>
    <w:p w14:paraId="5F79F5FD"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Qualquer membro que tiver ratificado a presente Convenção e que, no prazo de um ano após ter expirado o período de dez anos mencionado no Parágrafo anterior, não fizer uso da faculdade de denúncia prevista pelo presente Artigo ficará obrigado por um novo período de dez anos e, posteriormente, poderá denunciar a presente Convenção ao final de cada período de dez anos, nas condições previstas no presente Artigo.</w:t>
      </w:r>
    </w:p>
    <w:p w14:paraId="64DED768"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13</w:t>
      </w:r>
    </w:p>
    <w:p w14:paraId="53FA8B3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O Diretor-Geral da Repartição Internacional do Trabalho notificará todos os membros da Organização Internacional do Trabalho do registro de todas as ratificações e denúncias que lhe forem comunicadas pelos membros da Organização.</w:t>
      </w:r>
    </w:p>
    <w:p w14:paraId="4DBBC666"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Ao notificar os membros da Organização do registro da segunda ratificação que lhe tiver sido comunicada, o Diretor-Geral chamará a atenção dos membros da Organização para a data em que a presente Convenção entrará em vigor.</w:t>
      </w:r>
    </w:p>
    <w:p w14:paraId="37B715D7"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14</w:t>
      </w:r>
    </w:p>
    <w:p w14:paraId="05CDAA55"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O Diretor-Geral da Repartição Internacional do Trabalho comunicará ao Secretário-Geral das Nações Unidas, para efeitos de registro, de acordo com o Artigo 102 da Carta das Nações Unidas, informações completas sobre todas as ratificações e atos de denúncia que tiver registrado de acordo com os Artigos anteriores.</w:t>
      </w:r>
    </w:p>
    <w:p w14:paraId="3E0C2E75"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15</w:t>
      </w:r>
    </w:p>
    <w:p w14:paraId="745F2574"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Sempre que o considere necessário, o Conselho de Administração da Repartição Internacional do Trabalho apresentará à Conferência Geral um relatório sobre a aplicação da presente Convenção e examinará a oportunidade de inscrever na ordem do dia da Conferência a questão da sua revisão total ou parcial.</w:t>
      </w:r>
    </w:p>
    <w:p w14:paraId="012CC303"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16</w:t>
      </w:r>
    </w:p>
    <w:p w14:paraId="2D4204E9"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No caso de a Conferência adotar uma nova convenção que reveja total ou parcialmente a presente Convenção, e salvo disposição em contrário da nova Convenção:</w:t>
      </w:r>
    </w:p>
    <w:p w14:paraId="58C328AC"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 A ratificação, por um membro, da nova Convenção revista acarretará, de pleno direito, não obstante o disposto no Artigo 12, a denúncia imediata da presente Convenção, desde que a nova convenção revista tenha entrado em vigor;</w:t>
      </w:r>
    </w:p>
    <w:p w14:paraId="51FC4582"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b) A partir da data da entrada em vigor da nova convenção revista a presente Convenção deixará de estar aberta à ratificação dos Membros.</w:t>
      </w:r>
    </w:p>
    <w:p w14:paraId="5603677D"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A presente Convenção permanecerá em todo o caso em vigor, na sua forma e conteúdo, para os membros que a tiverem ratificado e que não ratificarem a Convenção revista.</w:t>
      </w:r>
    </w:p>
    <w:p w14:paraId="5BA60964"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Artigo 17</w:t>
      </w:r>
    </w:p>
    <w:p w14:paraId="0BC31926"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As versões francesa e inglesa do texto da presente Convenção são igualmente autênticas.</w:t>
      </w:r>
    </w:p>
    <w:p w14:paraId="56A875C9" w14:textId="77777777" w:rsidR="006D3EE3" w:rsidRPr="006D3EE3" w:rsidRDefault="006D3EE3" w:rsidP="006D3EE3">
      <w:pPr>
        <w:spacing w:before="100" w:beforeAutospacing="1" w:after="100" w:afterAutospacing="1" w:line="240" w:lineRule="auto"/>
        <w:ind w:firstLine="480"/>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lastRenderedPageBreak/>
        <w:t>RECOMENDAÇÃO Nº 159 SOBRE AS RELAÇÕES DE TRABALHO NA ADMINISTRAÇÃO PÚBLICA, 1978</w:t>
      </w:r>
    </w:p>
    <w:p w14:paraId="17BB759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 Conferência Geral da Organização Internacional do Trabalho,</w:t>
      </w:r>
    </w:p>
    <w:p w14:paraId="0D9AE5F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reunida naquela cidade em 7 de junho de 1978 em sua sexagésima quarta reunião;</w:t>
      </w:r>
    </w:p>
    <w:p w14:paraId="0A7512D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Após ter decidido adotar diversas proposições relativas à liberdade sindical e procedimentos para determinar a liberdade sindical e procedimentos para determinar as condições de emprego na Administração Pública, questão que constitui o quinto ponto da ordem do dia da reunião, e</w:t>
      </w:r>
    </w:p>
    <w:p w14:paraId="4860A15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Após ter decidido que tais proposições se revistam da forma de uma recomendação que complete a Convenção sobre as relações de trabalho na administração pública, 1978, adota, com data vinte e sete de junho de mil e novecentos e setenta e oito, a presente Recomendação, que poderá ser citada como a Recomendação sobre as Relações de Trabalho na Administração Pública, 1978:</w:t>
      </w:r>
    </w:p>
    <w:p w14:paraId="3E1A5B46"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w:t>
      </w:r>
    </w:p>
    <w:p w14:paraId="142C7003"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Nos países em que existam procedimentos para o reconhecimento das organizações de trabalhadores da Administração Pública com vistas a determinar as organizações às quais são atribuídos direitos preferenciais ou exclusivos aos efeitos previstos nas Partes III, IV e V da Convenção sobre as Relações de Trabalho na Administração Pública, 1978, tal determinação deveria basear-se em critérios objetivos e pré-estabelecidos respeito do caráter representativo dessas organizações.</w:t>
      </w:r>
    </w:p>
    <w:p w14:paraId="07D1E5EE"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 Os procedimentos referidos na alínea 1) do presente Parágrafo deveriam ser de tal natureza que não estimulem a proliferação de organizações que cubram as mesmas categorias de trabalhadores da Administração Pública.</w:t>
      </w:r>
    </w:p>
    <w:p w14:paraId="1A6E8FD7"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2.</w:t>
      </w:r>
    </w:p>
    <w:p w14:paraId="1E90DD4F"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1) Em caso de negociação das condições de trabalho de conformidade com a Parte IV da Convenção sobre as Relações de Trabalho na Administração Pública, 1978, os indivíduos ou órgãos competentes para negociar em nome da autoridade pública, e os procedimentos para pôr em prática as condições de trabalho estabelecidas, deveriam ser previstos pela legislação nacional ou por outros meios apropriados.</w:t>
      </w:r>
    </w:p>
    <w:p w14:paraId="3686EE00"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 xml:space="preserve">2) No caso em que outros mecanismos que não </w:t>
      </w:r>
      <w:proofErr w:type="gramStart"/>
      <w:r w:rsidRPr="006D3EE3">
        <w:rPr>
          <w:rFonts w:ascii="Book Antiqua" w:eastAsia="Times New Roman" w:hAnsi="Book Antiqua" w:cs="Arial"/>
          <w:color w:val="000000"/>
          <w:kern w:val="0"/>
          <w:sz w:val="19"/>
          <w:szCs w:val="19"/>
          <w:lang w:eastAsia="pt-BR"/>
          <w14:ligatures w14:val="none"/>
        </w:rPr>
        <w:t>a negociação forem</w:t>
      </w:r>
      <w:proofErr w:type="gramEnd"/>
      <w:r w:rsidRPr="006D3EE3">
        <w:rPr>
          <w:rFonts w:ascii="Book Antiqua" w:eastAsia="Times New Roman" w:hAnsi="Book Antiqua" w:cs="Arial"/>
          <w:color w:val="000000"/>
          <w:kern w:val="0"/>
          <w:sz w:val="19"/>
          <w:szCs w:val="19"/>
          <w:lang w:eastAsia="pt-BR"/>
          <w14:ligatures w14:val="none"/>
        </w:rPr>
        <w:t xml:space="preserve"> utilizados para permitir aos representantes dos trabalhadores da Administração Pública participar na fixação das condições de trabalho, o procedimento para assegurar essa participação e para determinar de maneira definitiva tais condições deveria ser previsto pela legislação nacional ou por outros meios apropriados.</w:t>
      </w:r>
    </w:p>
    <w:p w14:paraId="716548B8"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3. Ao se concluir um acordo entre a autoridade pública e uma organização de trabalhadores da Administração Pública, em conformidade com o Parágrafo 2, alínea 1), da presente Recomendação, seu período de vigência e/ou seu procedimento de término, renovação ou revisão deve ser especificado.</w:t>
      </w:r>
    </w:p>
    <w:p w14:paraId="55A3A910" w14:textId="77777777" w:rsidR="006D3EE3" w:rsidRPr="006D3EE3" w:rsidRDefault="006D3EE3" w:rsidP="006D3EE3">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6D3EE3">
        <w:rPr>
          <w:rFonts w:ascii="Book Antiqua" w:eastAsia="Times New Roman" w:hAnsi="Book Antiqua" w:cs="Arial"/>
          <w:color w:val="000000"/>
          <w:kern w:val="0"/>
          <w:sz w:val="19"/>
          <w:szCs w:val="19"/>
          <w:lang w:eastAsia="pt-BR"/>
          <w14:ligatures w14:val="none"/>
        </w:rPr>
        <w:t>4. Ao determinar a natureza e alcance das garantias que deveriam ser concedidas aos representantes das organizações de trabalhadores da Administração Pública, em conformidade com o Artigo 6, Parágrafo 3, da Convenção sobre as Relações de Trabalho na Administração Pública, 1978, deveria considerar-se a Recomendação sobre os Representantes dos Trabalhadores, 1971.</w:t>
      </w:r>
    </w:p>
    <w:p w14:paraId="602FBD85" w14:textId="77777777" w:rsidR="00BB7FE6" w:rsidRPr="006D3EE3" w:rsidRDefault="00BB7FE6" w:rsidP="006D3EE3">
      <w:pPr>
        <w:spacing w:before="100" w:beforeAutospacing="1" w:after="100" w:afterAutospacing="1" w:line="240" w:lineRule="auto"/>
        <w:rPr>
          <w:rFonts w:ascii="Book Antiqua" w:hAnsi="Book Antiqua"/>
          <w:sz w:val="19"/>
          <w:szCs w:val="19"/>
        </w:rPr>
      </w:pPr>
    </w:p>
    <w:sectPr w:rsidR="00BB7FE6" w:rsidRPr="006D3EE3" w:rsidSect="00AD25D0">
      <w:pgSz w:w="11906" w:h="16838"/>
      <w:pgMar w:top="1417"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63D41"/>
    <w:multiLevelType w:val="multilevel"/>
    <w:tmpl w:val="566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93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B53"/>
    <w:rsid w:val="000C660E"/>
    <w:rsid w:val="006205A5"/>
    <w:rsid w:val="006D3EE3"/>
    <w:rsid w:val="00732444"/>
    <w:rsid w:val="00817D32"/>
    <w:rsid w:val="00861B53"/>
    <w:rsid w:val="00981115"/>
    <w:rsid w:val="00AD25D0"/>
    <w:rsid w:val="00BB7FE6"/>
    <w:rsid w:val="00BE6F3A"/>
    <w:rsid w:val="00D21013"/>
    <w:rsid w:val="00D346F6"/>
    <w:rsid w:val="00E24E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EC11"/>
  <w15:chartTrackingRefBased/>
  <w15:docId w15:val="{41B48561-9B8D-4C29-9F8D-93DB108E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49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8112cons.htm" TargetMode="External"/><Relationship Id="rId3" Type="http://schemas.openxmlformats.org/officeDocument/2006/relationships/settings" Target="settings.xml"/><Relationship Id="rId7" Type="http://schemas.openxmlformats.org/officeDocument/2006/relationships/hyperlink" Target="https://www.planalto.gov.br/ccivil_03/Decreto-Lei/Del5452.ht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9-2022/2019/Decreto/D10088.htm" TargetMode="External"/><Relationship Id="rId11" Type="http://schemas.openxmlformats.org/officeDocument/2006/relationships/fontTable" Target="fontTable.xml"/><Relationship Id="rId5" Type="http://schemas.openxmlformats.org/officeDocument/2006/relationships/hyperlink" Target="https://www.planalto.gov.br/ccivil_03/_Ato2019-2022/2019/Decreto/D10088.htm" TargetMode="External"/><Relationship Id="rId10" Type="http://schemas.openxmlformats.org/officeDocument/2006/relationships/hyperlink" Target="https://www.planalto.gov.br/ccivil_03/Constituicao/Constituicao.htm" TargetMode="External"/><Relationship Id="rId4" Type="http://schemas.openxmlformats.org/officeDocument/2006/relationships/webSettings" Target="webSettings.xml"/><Relationship Id="rId9" Type="http://schemas.openxmlformats.org/officeDocument/2006/relationships/hyperlink" Target="https://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2736</Words>
  <Characters>14776</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2024-01-26T16:51:00Z</dcterms:created>
  <dcterms:modified xsi:type="dcterms:W3CDTF">2024-02-12T17:26:00Z</dcterms:modified>
</cp:coreProperties>
</file>