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EE3A0" w14:textId="6156351E" w:rsidR="00ED7F23" w:rsidRDefault="00ED7F23" w:rsidP="002F6299">
      <w:pPr>
        <w:spacing w:before="100" w:beforeAutospacing="1" w:after="100" w:afterAutospacing="1" w:line="240" w:lineRule="auto"/>
        <w:jc w:val="center"/>
        <w:rPr>
          <w:rFonts w:ascii="Book Antiqua" w:eastAsia="Times New Roman" w:hAnsi="Book Antiqua" w:cs="Arial"/>
          <w:b/>
          <w:bCs/>
          <w:color w:val="000000"/>
          <w:kern w:val="0"/>
          <w:sz w:val="19"/>
          <w:szCs w:val="19"/>
          <w:lang w:eastAsia="pt-BR"/>
          <w14:ligatures w14:val="none"/>
        </w:rPr>
      </w:pPr>
      <w:r w:rsidRPr="006322D7">
        <w:rPr>
          <w:rFonts w:ascii="Book Antiqua" w:hAnsi="Book Antiqua"/>
          <w:b/>
          <w:bCs/>
          <w:color w:val="FF0000"/>
          <w:sz w:val="19"/>
          <w:szCs w:val="19"/>
        </w:rPr>
        <w:t xml:space="preserve">(Atualização em </w:t>
      </w:r>
      <w:r w:rsidR="00496616">
        <w:rPr>
          <w:rFonts w:ascii="Book Antiqua" w:hAnsi="Book Antiqua"/>
          <w:b/>
          <w:bCs/>
          <w:color w:val="FF0000"/>
          <w:sz w:val="19"/>
          <w:szCs w:val="19"/>
        </w:rPr>
        <w:t>1</w:t>
      </w:r>
      <w:r w:rsidR="00302D3F">
        <w:rPr>
          <w:rFonts w:ascii="Book Antiqua" w:hAnsi="Book Antiqua"/>
          <w:b/>
          <w:bCs/>
          <w:color w:val="FF0000"/>
          <w:sz w:val="19"/>
          <w:szCs w:val="19"/>
        </w:rPr>
        <w:t>6</w:t>
      </w:r>
      <w:r w:rsidR="00496616">
        <w:rPr>
          <w:rFonts w:ascii="Book Antiqua" w:hAnsi="Book Antiqua"/>
          <w:b/>
          <w:bCs/>
          <w:color w:val="FF0000"/>
          <w:sz w:val="19"/>
          <w:szCs w:val="19"/>
        </w:rPr>
        <w:t>/02</w:t>
      </w:r>
      <w:r w:rsidRPr="006322D7">
        <w:rPr>
          <w:rFonts w:ascii="Book Antiqua" w:hAnsi="Book Antiqua"/>
          <w:b/>
          <w:bCs/>
          <w:color w:val="FF0000"/>
          <w:sz w:val="19"/>
          <w:szCs w:val="19"/>
        </w:rPr>
        <w:t>/2023: questões de concurso)</w:t>
      </w:r>
    </w:p>
    <w:p w14:paraId="6BC7918E" w14:textId="26892A0C" w:rsidR="002F6299" w:rsidRPr="002F6299" w:rsidRDefault="002F6299" w:rsidP="002F6299">
      <w:pPr>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b/>
          <w:bCs/>
          <w:color w:val="000000"/>
          <w:kern w:val="0"/>
          <w:sz w:val="19"/>
          <w:szCs w:val="19"/>
          <w:lang w:eastAsia="pt-BR"/>
          <w14:ligatures w14:val="none"/>
        </w:rPr>
        <w:t>CONVENÇÃO Nº 154 DA OIT SOBRE O INCENTIVO À NEGOCIAÇÃO COLETIVA, ADOTADA EM GENEBRA, EM 19 DE JUNHO DE 1981</w:t>
      </w:r>
    </w:p>
    <w:p w14:paraId="6227F191"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 Conferência Geral da Organização Internacional do Trabalho:</w:t>
      </w:r>
    </w:p>
    <w:p w14:paraId="316B209E"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Convocada em Genebra pelo Conselho de Administração da Repartição Internacional do Trabalho, e reunida naquela cidade em 3 de junho de 1981, em sua sexagésima sétima reunião;</w:t>
      </w:r>
    </w:p>
    <w:p w14:paraId="75CF182D"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Reafirmando a passagem da Declaração da Filadélfia onde reconhece-se “a obrigação solene de a Organização Internacional do Trabalho de estimular, entre todas as nações do mundo, programas que permitam (...) alcançar o reconhecimento efetivo do direito de negociação coletiva”, e levando em consideração que tal princípio é “plenamente aplicável a todos os povos”;</w:t>
      </w:r>
    </w:p>
    <w:p w14:paraId="24DF5AD4"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Tendo em conta a importância capital das normas internacionais contidas na Convenção sobre a Liberdade Sindical e a Proteção do Direito de Sindicalização, de 1948; na Convenção sobre o Direito de Sindicalização e de Negociação Coletiva, de 1949; na Recomendação sobre os Tratados Coletivos, de 1951; na Recomendação sobre Conciliação e Arbitragem Voluntárias, de 1951; na Convenção e na Recomendação sobre as Relações de Trabalho na Administração Pública, de 1978; e na Convenção e na Recomendação sobre a Administração do Trabalho, de 1978;</w:t>
      </w:r>
    </w:p>
    <w:p w14:paraId="27AC40D2"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Considerando que deveriam produzir-se maiores esforços para realizar os objetivos de tais normas e especialmente os princípios gerais enunciados no artigo 4º da Convenção sobre o Direito de Sindicalização e de Negociação Coletiva, de 1949, e no parágrafo 1 da Recomendação sobre os Contratos Coletivos, de 1951;</w:t>
      </w:r>
    </w:p>
    <w:p w14:paraId="163F8EE9"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Considerando, por conseguinte, que essas normas deveriam ser complementadas por medidas apropriadas baseadas nas ditas normas e destinadas a estimular a negociação coletiva livre e voluntária;</w:t>
      </w:r>
    </w:p>
    <w:p w14:paraId="1F5A3339"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Após ter decidido adotar diversas proposições relativas ao incentivo à negociação coletiva, questão esta que constitui o quarto ponto da ordem do dia da reunião; e</w:t>
      </w:r>
    </w:p>
    <w:p w14:paraId="626BDC7C"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Depois de ter decidido que tais proposições devem se revestir da forma de uma convenção internacional, adota, com a data de 19 de junho de 1981, a presente Convenção, que poderá ser citada como a Convenção sobre a Negociação Coletiva, de 1981:</w:t>
      </w:r>
    </w:p>
    <w:p w14:paraId="5EF66586"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PARTE I. CAMPO DE APLICAÇÃO E DEFINIÇÕES</w:t>
      </w:r>
    </w:p>
    <w:p w14:paraId="2DA1B5C6"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2F6299">
        <w:rPr>
          <w:rFonts w:ascii="Book Antiqua" w:eastAsia="Times New Roman" w:hAnsi="Book Antiqua" w:cs="Arial"/>
          <w:b/>
          <w:bCs/>
          <w:color w:val="000000"/>
          <w:kern w:val="0"/>
          <w:sz w:val="19"/>
          <w:szCs w:val="19"/>
          <w:highlight w:val="magenta"/>
          <w:lang w:eastAsia="pt-BR"/>
          <w14:ligatures w14:val="none"/>
        </w:rPr>
        <w:t>Artigo 1</w:t>
      </w:r>
    </w:p>
    <w:p w14:paraId="2FC73C94" w14:textId="32D9035E"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2F6299">
        <w:rPr>
          <w:rFonts w:ascii="Book Antiqua" w:eastAsia="Times New Roman" w:hAnsi="Book Antiqua" w:cs="Arial"/>
          <w:b/>
          <w:bCs/>
          <w:color w:val="000000"/>
          <w:kern w:val="0"/>
          <w:sz w:val="19"/>
          <w:szCs w:val="19"/>
          <w:highlight w:val="magenta"/>
          <w:lang w:eastAsia="pt-BR"/>
          <w14:ligatures w14:val="none"/>
        </w:rPr>
        <w:t>1</w:t>
      </w:r>
      <w:r w:rsidRPr="002F6299">
        <w:rPr>
          <w:rFonts w:ascii="Book Antiqua" w:eastAsia="Times New Roman" w:hAnsi="Book Antiqua" w:cs="Arial"/>
          <w:b/>
          <w:bCs/>
          <w:color w:val="000000"/>
          <w:kern w:val="0"/>
          <w:sz w:val="19"/>
          <w:szCs w:val="19"/>
          <w:lang w:eastAsia="pt-BR"/>
          <w14:ligatures w14:val="none"/>
        </w:rPr>
        <w:t xml:space="preserve">. A presente Convenção aplica-se a todos os ramos da atividade econômica. </w:t>
      </w:r>
      <w:r w:rsidRPr="002F6299">
        <w:rPr>
          <w:rFonts w:ascii="Book Antiqua" w:eastAsia="Times New Roman" w:hAnsi="Book Antiqua" w:cs="Arial"/>
          <w:b/>
          <w:bCs/>
          <w:color w:val="FF0000"/>
          <w:kern w:val="0"/>
          <w:sz w:val="16"/>
          <w:szCs w:val="16"/>
          <w:u w:val="single"/>
          <w:lang w:eastAsia="pt-BR"/>
          <w14:ligatures w14:val="none"/>
        </w:rPr>
        <w:t>(MPT-2015)</w:t>
      </w:r>
    </w:p>
    <w:p w14:paraId="096BD6D5" w14:textId="4FFF5866"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b/>
          <w:bCs/>
          <w:color w:val="000000"/>
          <w:kern w:val="0"/>
          <w:sz w:val="19"/>
          <w:szCs w:val="19"/>
          <w:highlight w:val="magenta"/>
          <w:lang w:eastAsia="pt-BR"/>
          <w14:ligatures w14:val="none"/>
        </w:rPr>
        <w:t>2</w:t>
      </w:r>
      <w:r w:rsidRPr="002F6299">
        <w:rPr>
          <w:rFonts w:ascii="Book Antiqua" w:eastAsia="Times New Roman" w:hAnsi="Book Antiqua" w:cs="Arial"/>
          <w:b/>
          <w:bCs/>
          <w:color w:val="000000"/>
          <w:kern w:val="0"/>
          <w:sz w:val="19"/>
          <w:szCs w:val="19"/>
          <w:lang w:eastAsia="pt-BR"/>
          <w14:ligatures w14:val="none"/>
        </w:rPr>
        <w:t xml:space="preserve">. A legislação ou a </w:t>
      </w:r>
      <w:proofErr w:type="gramStart"/>
      <w:r w:rsidRPr="002F6299">
        <w:rPr>
          <w:rFonts w:ascii="Book Antiqua" w:eastAsia="Times New Roman" w:hAnsi="Book Antiqua" w:cs="Arial"/>
          <w:b/>
          <w:bCs/>
          <w:color w:val="000000"/>
          <w:kern w:val="0"/>
          <w:sz w:val="19"/>
          <w:szCs w:val="19"/>
          <w:lang w:eastAsia="pt-BR"/>
          <w14:ligatures w14:val="none"/>
        </w:rPr>
        <w:t>prática nacionais</w:t>
      </w:r>
      <w:proofErr w:type="gramEnd"/>
      <w:r w:rsidRPr="002F6299">
        <w:rPr>
          <w:rFonts w:ascii="Book Antiqua" w:eastAsia="Times New Roman" w:hAnsi="Book Antiqua" w:cs="Arial"/>
          <w:b/>
          <w:bCs/>
          <w:color w:val="000000"/>
          <w:kern w:val="0"/>
          <w:sz w:val="19"/>
          <w:szCs w:val="19"/>
          <w:lang w:eastAsia="pt-BR"/>
          <w14:ligatures w14:val="none"/>
        </w:rPr>
        <w:t xml:space="preserve"> poderão determinar até que ponto as garantias previstas na presente Convenção são aplicáveis às Forças Armadas e à Polícia</w:t>
      </w:r>
      <w:r w:rsidRPr="002F6299">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F6299">
        <w:rPr>
          <w:rFonts w:ascii="Book Antiqua" w:eastAsia="Times New Roman" w:hAnsi="Book Antiqua" w:cs="Arial"/>
          <w:b/>
          <w:bCs/>
          <w:color w:val="FF0000"/>
          <w:kern w:val="0"/>
          <w:sz w:val="16"/>
          <w:szCs w:val="16"/>
          <w:u w:val="single"/>
          <w:lang w:eastAsia="pt-BR"/>
          <w14:ligatures w14:val="none"/>
        </w:rPr>
        <w:t>(MPT-20</w:t>
      </w:r>
      <w:r>
        <w:rPr>
          <w:rFonts w:ascii="Book Antiqua" w:eastAsia="Times New Roman" w:hAnsi="Book Antiqua" w:cs="Arial"/>
          <w:b/>
          <w:bCs/>
          <w:color w:val="FF0000"/>
          <w:kern w:val="0"/>
          <w:sz w:val="16"/>
          <w:szCs w:val="16"/>
          <w:u w:val="single"/>
          <w:lang w:eastAsia="pt-BR"/>
          <w14:ligatures w14:val="none"/>
        </w:rPr>
        <w:t>15</w:t>
      </w:r>
      <w:r w:rsidRPr="002F6299">
        <w:rPr>
          <w:rFonts w:ascii="Book Antiqua" w:eastAsia="Times New Roman" w:hAnsi="Book Antiqua" w:cs="Arial"/>
          <w:b/>
          <w:bCs/>
          <w:color w:val="FF0000"/>
          <w:kern w:val="0"/>
          <w:sz w:val="16"/>
          <w:szCs w:val="16"/>
          <w:u w:val="single"/>
          <w:lang w:eastAsia="pt-BR"/>
          <w14:ligatures w14:val="none"/>
        </w:rPr>
        <w:t>)</w:t>
      </w:r>
    </w:p>
    <w:p w14:paraId="091D4D6C"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 xml:space="preserve">3. No que se refere à Administração Pública, a legislação ou a </w:t>
      </w:r>
      <w:proofErr w:type="gramStart"/>
      <w:r w:rsidRPr="002F6299">
        <w:rPr>
          <w:rFonts w:ascii="Book Antiqua" w:eastAsia="Times New Roman" w:hAnsi="Book Antiqua" w:cs="Arial"/>
          <w:color w:val="000000"/>
          <w:kern w:val="0"/>
          <w:sz w:val="19"/>
          <w:szCs w:val="19"/>
          <w:lang w:eastAsia="pt-BR"/>
          <w14:ligatures w14:val="none"/>
        </w:rPr>
        <w:t>prática nacionais</w:t>
      </w:r>
      <w:proofErr w:type="gramEnd"/>
      <w:r w:rsidRPr="002F6299">
        <w:rPr>
          <w:rFonts w:ascii="Book Antiqua" w:eastAsia="Times New Roman" w:hAnsi="Book Antiqua" w:cs="Arial"/>
          <w:color w:val="000000"/>
          <w:kern w:val="0"/>
          <w:sz w:val="19"/>
          <w:szCs w:val="19"/>
          <w:lang w:eastAsia="pt-BR"/>
          <w14:ligatures w14:val="none"/>
        </w:rPr>
        <w:t xml:space="preserve"> poderão fixar modalidades particulares de aplicação desta Convenção.</w:t>
      </w:r>
    </w:p>
    <w:p w14:paraId="442FE9DF"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 </w:t>
      </w:r>
    </w:p>
    <w:p w14:paraId="7D2BEE58"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2F6299">
        <w:rPr>
          <w:rFonts w:ascii="Book Antiqua" w:eastAsia="Times New Roman" w:hAnsi="Book Antiqua" w:cs="Arial"/>
          <w:b/>
          <w:bCs/>
          <w:color w:val="000000"/>
          <w:kern w:val="0"/>
          <w:sz w:val="19"/>
          <w:szCs w:val="19"/>
          <w:highlight w:val="magenta"/>
          <w:lang w:eastAsia="pt-BR"/>
          <w14:ligatures w14:val="none"/>
        </w:rPr>
        <w:t>Artigo 2</w:t>
      </w:r>
    </w:p>
    <w:p w14:paraId="19639A1C" w14:textId="0CE6C9A0"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2F6299">
        <w:rPr>
          <w:rFonts w:ascii="Book Antiqua" w:eastAsia="Times New Roman" w:hAnsi="Book Antiqua" w:cs="Arial"/>
          <w:b/>
          <w:bCs/>
          <w:color w:val="000000"/>
          <w:kern w:val="0"/>
          <w:sz w:val="19"/>
          <w:szCs w:val="19"/>
          <w:lang w:eastAsia="pt-BR"/>
          <w14:ligatures w14:val="none"/>
        </w:rPr>
        <w:t>Para efeito da presente Convenção, a expressão “negociação coletiva” compreende todas as negociações que tenham lugar entre, de uma parte, um empregador, um grupo de empregadores ou uma organização ou várias organizações de empregadores, e, de outra parte, uma ou várias organizações de trabalhadores, com o fim de:</w:t>
      </w:r>
      <w:r w:rsidR="00496616">
        <w:rPr>
          <w:rFonts w:ascii="Book Antiqua" w:eastAsia="Times New Roman" w:hAnsi="Book Antiqua" w:cs="Arial"/>
          <w:b/>
          <w:bCs/>
          <w:color w:val="000000"/>
          <w:kern w:val="0"/>
          <w:sz w:val="19"/>
          <w:szCs w:val="19"/>
          <w:lang w:eastAsia="pt-BR"/>
          <w14:ligatures w14:val="none"/>
        </w:rPr>
        <w:t xml:space="preserve"> </w:t>
      </w:r>
      <w:r w:rsidR="00496616">
        <w:rPr>
          <w:rFonts w:ascii="Book Antiqua" w:hAnsi="Book Antiqua"/>
          <w:b/>
          <w:color w:val="FF0000"/>
          <w:sz w:val="16"/>
          <w:szCs w:val="16"/>
          <w:u w:val="single"/>
        </w:rPr>
        <w:t>(TRT8-2014</w:t>
      </w:r>
      <w:r w:rsidR="00302D3F">
        <w:rPr>
          <w:rFonts w:ascii="Book Antiqua" w:hAnsi="Book Antiqua"/>
          <w:b/>
          <w:color w:val="FF0000"/>
          <w:sz w:val="16"/>
          <w:szCs w:val="16"/>
          <w:u w:val="single"/>
        </w:rPr>
        <w:t>/2015</w:t>
      </w:r>
      <w:r w:rsidR="00496616">
        <w:rPr>
          <w:rFonts w:ascii="Book Antiqua" w:hAnsi="Book Antiqua"/>
          <w:b/>
          <w:color w:val="FF0000"/>
          <w:sz w:val="16"/>
          <w:szCs w:val="16"/>
          <w:u w:val="single"/>
        </w:rPr>
        <w:t>)</w:t>
      </w:r>
      <w:r w:rsidR="00C42B99">
        <w:rPr>
          <w:rFonts w:ascii="Book Antiqua" w:hAnsi="Book Antiqua"/>
          <w:b/>
          <w:color w:val="FF0000"/>
          <w:sz w:val="16"/>
          <w:szCs w:val="16"/>
        </w:rPr>
        <w:t xml:space="preserve"> </w:t>
      </w:r>
      <w:r w:rsidR="00C42B99">
        <w:rPr>
          <w:rFonts w:ascii="Book Antiqua" w:hAnsi="Book Antiqua"/>
          <w:b/>
          <w:bCs/>
          <w:color w:val="FF0000"/>
          <w:sz w:val="16"/>
          <w:szCs w:val="16"/>
          <w:u w:val="single"/>
        </w:rPr>
        <w:t>(TRT1-2015)</w:t>
      </w:r>
      <w:r w:rsidR="00330C26" w:rsidRPr="00330C26">
        <w:rPr>
          <w:rFonts w:ascii="Book Antiqua" w:eastAsia="Times New Roman" w:hAnsi="Book Antiqua" w:cs="Arial"/>
          <w:b/>
          <w:bCs/>
          <w:color w:val="000000"/>
          <w:kern w:val="0"/>
          <w:sz w:val="19"/>
          <w:szCs w:val="19"/>
          <w:lang w:eastAsia="pt-BR"/>
          <w14:ligatures w14:val="none"/>
        </w:rPr>
        <w:t xml:space="preserve"> </w:t>
      </w:r>
      <w:r w:rsidR="00330C26" w:rsidRPr="00330C26">
        <w:rPr>
          <w:rFonts w:ascii="Book Antiqua" w:eastAsia="Times New Roman" w:hAnsi="Book Antiqua" w:cs="Arial"/>
          <w:b/>
          <w:bCs/>
          <w:color w:val="FF0000"/>
          <w:kern w:val="0"/>
          <w:sz w:val="16"/>
          <w:szCs w:val="16"/>
          <w:u w:val="single"/>
          <w:lang w:eastAsia="pt-BR"/>
          <w14:ligatures w14:val="none"/>
        </w:rPr>
        <w:t>(MPT-2020)</w:t>
      </w:r>
    </w:p>
    <w:p w14:paraId="1D1BECA1" w14:textId="63CC6458"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2F6299">
        <w:rPr>
          <w:rFonts w:ascii="Book Antiqua" w:eastAsia="Times New Roman" w:hAnsi="Book Antiqua" w:cs="Arial"/>
          <w:b/>
          <w:bCs/>
          <w:color w:val="000000"/>
          <w:kern w:val="0"/>
          <w:sz w:val="19"/>
          <w:szCs w:val="19"/>
          <w:lang w:eastAsia="pt-BR"/>
          <w14:ligatures w14:val="none"/>
        </w:rPr>
        <w:lastRenderedPageBreak/>
        <w:t>a) fixar as condições de trabalho e emprego; ou</w:t>
      </w:r>
      <w:r w:rsidR="00496616">
        <w:rPr>
          <w:rFonts w:ascii="Book Antiqua" w:eastAsia="Times New Roman" w:hAnsi="Book Antiqua" w:cs="Arial"/>
          <w:b/>
          <w:bCs/>
          <w:color w:val="000000"/>
          <w:kern w:val="0"/>
          <w:sz w:val="19"/>
          <w:szCs w:val="19"/>
          <w:lang w:eastAsia="pt-BR"/>
          <w14:ligatures w14:val="none"/>
        </w:rPr>
        <w:t xml:space="preserve"> </w:t>
      </w:r>
      <w:r w:rsidR="00496616">
        <w:rPr>
          <w:rFonts w:ascii="Book Antiqua" w:hAnsi="Book Antiqua"/>
          <w:b/>
          <w:color w:val="FF0000"/>
          <w:sz w:val="16"/>
          <w:szCs w:val="16"/>
          <w:u w:val="single"/>
        </w:rPr>
        <w:t>(TRT8-2014)</w:t>
      </w:r>
      <w:r w:rsidR="00C42B99">
        <w:rPr>
          <w:rFonts w:ascii="Book Antiqua" w:hAnsi="Book Antiqua"/>
          <w:b/>
          <w:color w:val="FF0000"/>
          <w:sz w:val="16"/>
          <w:szCs w:val="16"/>
        </w:rPr>
        <w:t xml:space="preserve"> </w:t>
      </w:r>
      <w:r w:rsidR="00C42B99">
        <w:rPr>
          <w:rFonts w:ascii="Book Antiqua" w:hAnsi="Book Antiqua"/>
          <w:b/>
          <w:bCs/>
          <w:color w:val="FF0000"/>
          <w:sz w:val="16"/>
          <w:szCs w:val="16"/>
          <w:u w:val="single"/>
        </w:rPr>
        <w:t>(TRT1-2015)</w:t>
      </w:r>
      <w:r w:rsidR="00330C26" w:rsidRPr="00330C26">
        <w:rPr>
          <w:rFonts w:ascii="Book Antiqua" w:eastAsia="Times New Roman" w:hAnsi="Book Antiqua" w:cs="Arial"/>
          <w:b/>
          <w:bCs/>
          <w:color w:val="000000"/>
          <w:kern w:val="0"/>
          <w:sz w:val="19"/>
          <w:szCs w:val="19"/>
          <w:lang w:eastAsia="pt-BR"/>
          <w14:ligatures w14:val="none"/>
        </w:rPr>
        <w:t xml:space="preserve"> </w:t>
      </w:r>
      <w:r w:rsidR="00330C26" w:rsidRPr="00330C26">
        <w:rPr>
          <w:rFonts w:ascii="Book Antiqua" w:eastAsia="Times New Roman" w:hAnsi="Book Antiqua" w:cs="Arial"/>
          <w:b/>
          <w:bCs/>
          <w:color w:val="FF0000"/>
          <w:kern w:val="0"/>
          <w:sz w:val="16"/>
          <w:szCs w:val="16"/>
          <w:u w:val="single"/>
          <w:lang w:eastAsia="pt-BR"/>
          <w14:ligatures w14:val="none"/>
        </w:rPr>
        <w:t>(MPT-2020)</w:t>
      </w:r>
    </w:p>
    <w:p w14:paraId="5351A8C4" w14:textId="32E02AD9"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2F6299">
        <w:rPr>
          <w:rFonts w:ascii="Book Antiqua" w:eastAsia="Times New Roman" w:hAnsi="Book Antiqua" w:cs="Arial"/>
          <w:b/>
          <w:bCs/>
          <w:color w:val="000000"/>
          <w:kern w:val="0"/>
          <w:sz w:val="19"/>
          <w:szCs w:val="19"/>
          <w:lang w:eastAsia="pt-BR"/>
          <w14:ligatures w14:val="none"/>
        </w:rPr>
        <w:t>b) regular as relações entre empregadores e trabalhadores; ou</w:t>
      </w:r>
      <w:r w:rsidR="00496616">
        <w:rPr>
          <w:rFonts w:ascii="Book Antiqua" w:eastAsia="Times New Roman" w:hAnsi="Book Antiqua" w:cs="Arial"/>
          <w:b/>
          <w:bCs/>
          <w:color w:val="000000"/>
          <w:kern w:val="0"/>
          <w:sz w:val="19"/>
          <w:szCs w:val="19"/>
          <w:lang w:eastAsia="pt-BR"/>
          <w14:ligatures w14:val="none"/>
        </w:rPr>
        <w:t xml:space="preserve"> </w:t>
      </w:r>
      <w:r w:rsidR="00496616">
        <w:rPr>
          <w:rFonts w:ascii="Book Antiqua" w:hAnsi="Book Antiqua"/>
          <w:b/>
          <w:color w:val="FF0000"/>
          <w:sz w:val="16"/>
          <w:szCs w:val="16"/>
          <w:u w:val="single"/>
        </w:rPr>
        <w:t>(TRT8-2014)</w:t>
      </w:r>
      <w:r w:rsidR="00C42B99">
        <w:rPr>
          <w:rFonts w:ascii="Book Antiqua" w:hAnsi="Book Antiqua"/>
          <w:b/>
          <w:color w:val="FF0000"/>
          <w:sz w:val="16"/>
          <w:szCs w:val="16"/>
        </w:rPr>
        <w:t xml:space="preserve"> </w:t>
      </w:r>
      <w:r w:rsidR="00C42B99">
        <w:rPr>
          <w:rFonts w:ascii="Book Antiqua" w:hAnsi="Book Antiqua"/>
          <w:b/>
          <w:bCs/>
          <w:color w:val="FF0000"/>
          <w:sz w:val="16"/>
          <w:szCs w:val="16"/>
          <w:u w:val="single"/>
        </w:rPr>
        <w:t>(TRT1-2015)</w:t>
      </w:r>
      <w:r w:rsidR="00330C26" w:rsidRPr="00330C26">
        <w:rPr>
          <w:rFonts w:ascii="Book Antiqua" w:eastAsia="Times New Roman" w:hAnsi="Book Antiqua" w:cs="Arial"/>
          <w:b/>
          <w:bCs/>
          <w:color w:val="000000"/>
          <w:kern w:val="0"/>
          <w:sz w:val="19"/>
          <w:szCs w:val="19"/>
          <w:lang w:eastAsia="pt-BR"/>
          <w14:ligatures w14:val="none"/>
        </w:rPr>
        <w:t xml:space="preserve"> </w:t>
      </w:r>
      <w:r w:rsidR="00330C26" w:rsidRPr="00330C26">
        <w:rPr>
          <w:rFonts w:ascii="Book Antiqua" w:eastAsia="Times New Roman" w:hAnsi="Book Antiqua" w:cs="Arial"/>
          <w:b/>
          <w:bCs/>
          <w:color w:val="FF0000"/>
          <w:kern w:val="0"/>
          <w:sz w:val="16"/>
          <w:szCs w:val="16"/>
          <w:u w:val="single"/>
          <w:lang w:eastAsia="pt-BR"/>
          <w14:ligatures w14:val="none"/>
        </w:rPr>
        <w:t>(MPT-2020)</w:t>
      </w:r>
    </w:p>
    <w:p w14:paraId="7EC43D98" w14:textId="7D483BC6"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2F6299">
        <w:rPr>
          <w:rFonts w:ascii="Book Antiqua" w:eastAsia="Times New Roman" w:hAnsi="Book Antiqua" w:cs="Arial"/>
          <w:b/>
          <w:bCs/>
          <w:color w:val="000000"/>
          <w:kern w:val="0"/>
          <w:sz w:val="19"/>
          <w:szCs w:val="19"/>
          <w:lang w:eastAsia="pt-BR"/>
          <w14:ligatures w14:val="none"/>
        </w:rPr>
        <w:t>c) regular as relações entre os empregadores ou suas organizações e uma ou várias organizações de trabalhadores, ou alcançar todos estes objetivos de uma só vez.</w:t>
      </w:r>
      <w:r w:rsidR="00496616">
        <w:rPr>
          <w:rFonts w:ascii="Book Antiqua" w:eastAsia="Times New Roman" w:hAnsi="Book Antiqua" w:cs="Arial"/>
          <w:b/>
          <w:bCs/>
          <w:color w:val="000000"/>
          <w:kern w:val="0"/>
          <w:sz w:val="19"/>
          <w:szCs w:val="19"/>
          <w:lang w:eastAsia="pt-BR"/>
          <w14:ligatures w14:val="none"/>
        </w:rPr>
        <w:t xml:space="preserve"> </w:t>
      </w:r>
      <w:r w:rsidR="00496616">
        <w:rPr>
          <w:rFonts w:ascii="Book Antiqua" w:hAnsi="Book Antiqua"/>
          <w:b/>
          <w:color w:val="FF0000"/>
          <w:sz w:val="16"/>
          <w:szCs w:val="16"/>
          <w:u w:val="single"/>
        </w:rPr>
        <w:t>(TRT8-2014)</w:t>
      </w:r>
      <w:r w:rsidR="00C42B99">
        <w:rPr>
          <w:rFonts w:ascii="Book Antiqua" w:hAnsi="Book Antiqua"/>
          <w:b/>
          <w:color w:val="FF0000"/>
          <w:sz w:val="16"/>
          <w:szCs w:val="16"/>
        </w:rPr>
        <w:t xml:space="preserve"> </w:t>
      </w:r>
      <w:r w:rsidR="00C42B99">
        <w:rPr>
          <w:rFonts w:ascii="Book Antiqua" w:hAnsi="Book Antiqua"/>
          <w:b/>
          <w:bCs/>
          <w:color w:val="FF0000"/>
          <w:sz w:val="16"/>
          <w:szCs w:val="16"/>
          <w:u w:val="single"/>
        </w:rPr>
        <w:t>(TRT1-2015)</w:t>
      </w:r>
      <w:r w:rsidR="00330C26" w:rsidRPr="00330C26">
        <w:rPr>
          <w:rFonts w:ascii="Book Antiqua" w:eastAsia="Times New Roman" w:hAnsi="Book Antiqua" w:cs="Arial"/>
          <w:b/>
          <w:bCs/>
          <w:color w:val="000000"/>
          <w:kern w:val="0"/>
          <w:sz w:val="19"/>
          <w:szCs w:val="19"/>
          <w:lang w:eastAsia="pt-BR"/>
          <w14:ligatures w14:val="none"/>
        </w:rPr>
        <w:t xml:space="preserve"> </w:t>
      </w:r>
      <w:r w:rsidR="00330C26" w:rsidRPr="00330C26">
        <w:rPr>
          <w:rFonts w:ascii="Book Antiqua" w:eastAsia="Times New Roman" w:hAnsi="Book Antiqua" w:cs="Arial"/>
          <w:b/>
          <w:bCs/>
          <w:color w:val="FF0000"/>
          <w:kern w:val="0"/>
          <w:sz w:val="16"/>
          <w:szCs w:val="16"/>
          <w:u w:val="single"/>
          <w:lang w:eastAsia="pt-BR"/>
          <w14:ligatures w14:val="none"/>
        </w:rPr>
        <w:t>(MPT-2020)</w:t>
      </w:r>
    </w:p>
    <w:p w14:paraId="497BDA9E" w14:textId="77777777" w:rsidR="002F6299" w:rsidRPr="00302D3F" w:rsidRDefault="002F6299" w:rsidP="002F629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302D3F">
        <w:rPr>
          <w:rFonts w:ascii="Book Antiqua" w:eastAsia="Times New Roman" w:hAnsi="Book Antiqua" w:cs="Arial"/>
          <w:b/>
          <w:bCs/>
          <w:color w:val="000000"/>
          <w:kern w:val="0"/>
          <w:sz w:val="19"/>
          <w:szCs w:val="19"/>
          <w:highlight w:val="magenta"/>
          <w:lang w:eastAsia="pt-BR"/>
          <w14:ligatures w14:val="none"/>
        </w:rPr>
        <w:t>Artigo 3</w:t>
      </w:r>
    </w:p>
    <w:p w14:paraId="2F7EB68B" w14:textId="646CE7BA"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02D3F">
        <w:rPr>
          <w:rFonts w:ascii="Book Antiqua" w:eastAsia="Times New Roman" w:hAnsi="Book Antiqua" w:cs="Arial"/>
          <w:b/>
          <w:bCs/>
          <w:color w:val="000000"/>
          <w:kern w:val="0"/>
          <w:sz w:val="19"/>
          <w:szCs w:val="19"/>
          <w:highlight w:val="magenta"/>
          <w:lang w:eastAsia="pt-BR"/>
          <w14:ligatures w14:val="none"/>
        </w:rPr>
        <w:t>1</w:t>
      </w:r>
      <w:r w:rsidRPr="002F6299">
        <w:rPr>
          <w:rFonts w:ascii="Book Antiqua" w:eastAsia="Times New Roman" w:hAnsi="Book Antiqua" w:cs="Arial"/>
          <w:color w:val="000000"/>
          <w:kern w:val="0"/>
          <w:sz w:val="19"/>
          <w:szCs w:val="19"/>
          <w:lang w:eastAsia="pt-BR"/>
          <w14:ligatures w14:val="none"/>
        </w:rPr>
        <w:t xml:space="preserve">. </w:t>
      </w:r>
      <w:r w:rsidRPr="00302D3F">
        <w:rPr>
          <w:rFonts w:ascii="Book Antiqua" w:eastAsia="Times New Roman" w:hAnsi="Book Antiqua" w:cs="Arial"/>
          <w:b/>
          <w:bCs/>
          <w:color w:val="000000"/>
          <w:kern w:val="0"/>
          <w:sz w:val="19"/>
          <w:szCs w:val="19"/>
          <w:lang w:eastAsia="pt-BR"/>
          <w14:ligatures w14:val="none"/>
        </w:rPr>
        <w:t xml:space="preserve">Quando a lei ou a </w:t>
      </w:r>
      <w:proofErr w:type="gramStart"/>
      <w:r w:rsidRPr="00302D3F">
        <w:rPr>
          <w:rFonts w:ascii="Book Antiqua" w:eastAsia="Times New Roman" w:hAnsi="Book Antiqua" w:cs="Arial"/>
          <w:b/>
          <w:bCs/>
          <w:color w:val="000000"/>
          <w:kern w:val="0"/>
          <w:sz w:val="19"/>
          <w:szCs w:val="19"/>
          <w:lang w:eastAsia="pt-BR"/>
          <w14:ligatures w14:val="none"/>
        </w:rPr>
        <w:t>prática nacionais</w:t>
      </w:r>
      <w:proofErr w:type="gramEnd"/>
      <w:r w:rsidRPr="00302D3F">
        <w:rPr>
          <w:rFonts w:ascii="Book Antiqua" w:eastAsia="Times New Roman" w:hAnsi="Book Antiqua" w:cs="Arial"/>
          <w:b/>
          <w:bCs/>
          <w:color w:val="000000"/>
          <w:kern w:val="0"/>
          <w:sz w:val="19"/>
          <w:szCs w:val="19"/>
          <w:lang w:eastAsia="pt-BR"/>
          <w14:ligatures w14:val="none"/>
        </w:rPr>
        <w:t xml:space="preserve"> reconhecerem a existência de representantes de trabalhadores que correspondam à definição do anexo “b” do artigo 3 da Convenção sobre os Representantes dos Trabalhadores, de 1971, a lei ou a prática nacionais poderão determinar até que ponto a expressão “negociação coletiva” pode igualmente se estender, no interesse da presente Convenção às negociações com tais representantes</w:t>
      </w:r>
      <w:r w:rsidRPr="002F6299">
        <w:rPr>
          <w:rFonts w:ascii="Book Antiqua" w:eastAsia="Times New Roman" w:hAnsi="Book Antiqua" w:cs="Arial"/>
          <w:color w:val="000000"/>
          <w:kern w:val="0"/>
          <w:sz w:val="19"/>
          <w:szCs w:val="19"/>
          <w:lang w:eastAsia="pt-BR"/>
          <w14:ligatures w14:val="none"/>
        </w:rPr>
        <w:t>.</w:t>
      </w:r>
      <w:r w:rsidR="00302D3F">
        <w:rPr>
          <w:rFonts w:ascii="Book Antiqua" w:eastAsia="Times New Roman" w:hAnsi="Book Antiqua" w:cs="Arial"/>
          <w:color w:val="000000"/>
          <w:kern w:val="0"/>
          <w:sz w:val="19"/>
          <w:szCs w:val="19"/>
          <w:lang w:eastAsia="pt-BR"/>
          <w14:ligatures w14:val="none"/>
        </w:rPr>
        <w:t xml:space="preserve"> </w:t>
      </w:r>
      <w:bookmarkStart w:id="0" w:name="_Hlk114753334"/>
      <w:r w:rsidR="00302D3F" w:rsidRPr="00E644D2">
        <w:rPr>
          <w:rFonts w:ascii="Book Antiqua" w:hAnsi="Book Antiqua"/>
          <w:b/>
          <w:color w:val="FF0000"/>
          <w:sz w:val="16"/>
          <w:szCs w:val="16"/>
          <w:u w:val="single"/>
        </w:rPr>
        <w:t>(TRT</w:t>
      </w:r>
      <w:r w:rsidR="00302D3F">
        <w:rPr>
          <w:rFonts w:ascii="Book Antiqua" w:hAnsi="Book Antiqua"/>
          <w:b/>
          <w:color w:val="FF0000"/>
          <w:sz w:val="16"/>
          <w:szCs w:val="16"/>
          <w:u w:val="single"/>
        </w:rPr>
        <w:t>8</w:t>
      </w:r>
      <w:r w:rsidR="00302D3F" w:rsidRPr="00E644D2">
        <w:rPr>
          <w:rFonts w:ascii="Book Antiqua" w:hAnsi="Book Antiqua"/>
          <w:b/>
          <w:color w:val="FF0000"/>
          <w:sz w:val="16"/>
          <w:szCs w:val="16"/>
          <w:u w:val="single"/>
        </w:rPr>
        <w:t>-2015)</w:t>
      </w:r>
      <w:bookmarkEnd w:id="0"/>
    </w:p>
    <w:p w14:paraId="2B2DAF7D" w14:textId="1FEB24FB"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02D3F">
        <w:rPr>
          <w:rFonts w:ascii="Book Antiqua" w:eastAsia="Times New Roman" w:hAnsi="Book Antiqua" w:cs="Arial"/>
          <w:b/>
          <w:bCs/>
          <w:color w:val="000000"/>
          <w:kern w:val="0"/>
          <w:sz w:val="19"/>
          <w:szCs w:val="19"/>
          <w:highlight w:val="magenta"/>
          <w:lang w:eastAsia="pt-BR"/>
          <w14:ligatures w14:val="none"/>
        </w:rPr>
        <w:t>2</w:t>
      </w:r>
      <w:r w:rsidRPr="00302D3F">
        <w:rPr>
          <w:rFonts w:ascii="Book Antiqua" w:eastAsia="Times New Roman" w:hAnsi="Book Antiqua" w:cs="Arial"/>
          <w:b/>
          <w:bCs/>
          <w:color w:val="000000"/>
          <w:kern w:val="0"/>
          <w:sz w:val="19"/>
          <w:szCs w:val="19"/>
          <w:lang w:eastAsia="pt-BR"/>
          <w14:ligatures w14:val="none"/>
        </w:rPr>
        <w:t>. Quando, em virtude do que dispõe o parágrafo 1 deste artigo, a expressão “negociação coletiva” incluir também as negociações com os representantes dos trabalhadores a que se refere o parágrafo mencionado, deverão ser adotadas, se necessário, medidas apropriadas para garantir que a existência destes representantes não seja utilizada em detrimento da posição das organizações de trabalhadores interessadas</w:t>
      </w:r>
      <w:r w:rsidRPr="002F6299">
        <w:rPr>
          <w:rFonts w:ascii="Book Antiqua" w:eastAsia="Times New Roman" w:hAnsi="Book Antiqua" w:cs="Arial"/>
          <w:color w:val="000000"/>
          <w:kern w:val="0"/>
          <w:sz w:val="19"/>
          <w:szCs w:val="19"/>
          <w:lang w:eastAsia="pt-BR"/>
          <w14:ligatures w14:val="none"/>
        </w:rPr>
        <w:t>.</w:t>
      </w:r>
      <w:r w:rsidR="00302D3F">
        <w:rPr>
          <w:rFonts w:ascii="Book Antiqua" w:eastAsia="Times New Roman" w:hAnsi="Book Antiqua" w:cs="Arial"/>
          <w:color w:val="000000"/>
          <w:kern w:val="0"/>
          <w:sz w:val="19"/>
          <w:szCs w:val="19"/>
          <w:lang w:eastAsia="pt-BR"/>
          <w14:ligatures w14:val="none"/>
        </w:rPr>
        <w:t xml:space="preserve"> </w:t>
      </w:r>
      <w:r w:rsidR="00302D3F" w:rsidRPr="00E644D2">
        <w:rPr>
          <w:rFonts w:ascii="Book Antiqua" w:hAnsi="Book Antiqua"/>
          <w:b/>
          <w:color w:val="FF0000"/>
          <w:sz w:val="16"/>
          <w:szCs w:val="16"/>
          <w:u w:val="single"/>
        </w:rPr>
        <w:t>(TRT</w:t>
      </w:r>
      <w:r w:rsidR="00302D3F">
        <w:rPr>
          <w:rFonts w:ascii="Book Antiqua" w:hAnsi="Book Antiqua"/>
          <w:b/>
          <w:color w:val="FF0000"/>
          <w:sz w:val="16"/>
          <w:szCs w:val="16"/>
          <w:u w:val="single"/>
        </w:rPr>
        <w:t>8</w:t>
      </w:r>
      <w:r w:rsidR="00302D3F" w:rsidRPr="00E644D2">
        <w:rPr>
          <w:rFonts w:ascii="Book Antiqua" w:hAnsi="Book Antiqua"/>
          <w:b/>
          <w:color w:val="FF0000"/>
          <w:sz w:val="16"/>
          <w:szCs w:val="16"/>
          <w:u w:val="single"/>
        </w:rPr>
        <w:t>-2015)</w:t>
      </w:r>
    </w:p>
    <w:p w14:paraId="12B222B5"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PARTE II. MÉTODOS DE APLICAÇÃO</w:t>
      </w:r>
    </w:p>
    <w:p w14:paraId="56EA3A7E"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4</w:t>
      </w:r>
    </w:p>
    <w:p w14:paraId="72D2CB36"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Na medida em que não se apliquem por meio de contratos coletivos, laudos arbitrais ou qualquer outro meio adequado à prática nacional, as disposições da presente Convenção deverão ser aplicadas por meio da legislação nacional.</w:t>
      </w:r>
    </w:p>
    <w:p w14:paraId="1BCAD5D9"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PARTE III. ESTÍMULO À NEGOCIAÇÃO COLETIVA</w:t>
      </w:r>
    </w:p>
    <w:p w14:paraId="4F7AA9CB"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5</w:t>
      </w:r>
    </w:p>
    <w:p w14:paraId="2FD0A0EC"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1. Deverão ser adotadas medidas adequadas às condições nacionais no estímulo à negociação coletiva.</w:t>
      </w:r>
    </w:p>
    <w:p w14:paraId="71BA3ED8"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2. As medidas a que se refere o parágrafo 1 deste artigo devem prover que:</w:t>
      </w:r>
    </w:p>
    <w:p w14:paraId="1109DEC1"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 a negociação coletiva seja possibilitada a todos os empregadores e a todas as categorias de trabalhadores dos ramos de atividade a que se aplique a presente Convenção;</w:t>
      </w:r>
    </w:p>
    <w:p w14:paraId="42B35660"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b) a negociação coletiva seja progressivamente estendida a todas as matérias a que se referem os anexos “a”, “b” e “c” do artigo 2 da presente Convenção;</w:t>
      </w:r>
    </w:p>
    <w:p w14:paraId="7505668E"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c) seja estimulado o estabelecimento de normas de procedimentos acordadas entre as organizações de empregadores e as organizações de trabalhadores;</w:t>
      </w:r>
    </w:p>
    <w:p w14:paraId="6B3C52F0"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d) a negociação coletiva não seja impedida devido à inexistência ou ao caráter impróprio de tais normas;</w:t>
      </w:r>
    </w:p>
    <w:p w14:paraId="0446BD0C"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e) os órgãos e os procedimentos de resolução dos conflitos trabalhistas sejam concedidos de tal maneira que possam contribuir para o estímulo à negociação coletiva.</w:t>
      </w:r>
    </w:p>
    <w:p w14:paraId="28CF3294"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6</w:t>
      </w:r>
    </w:p>
    <w:p w14:paraId="2FD41A9A"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 xml:space="preserve">As disposições da presente Convenção não obstruirão o funcionamento de sistemas de relações de trabalho, nos quais a negociação coletiva ocorra num quadro de mecanismos ou de instituições de </w:t>
      </w:r>
      <w:r w:rsidRPr="002F6299">
        <w:rPr>
          <w:rFonts w:ascii="Book Antiqua" w:eastAsia="Times New Roman" w:hAnsi="Book Antiqua" w:cs="Arial"/>
          <w:color w:val="000000"/>
          <w:kern w:val="0"/>
          <w:sz w:val="19"/>
          <w:szCs w:val="19"/>
          <w:lang w:eastAsia="pt-BR"/>
          <w14:ligatures w14:val="none"/>
        </w:rPr>
        <w:lastRenderedPageBreak/>
        <w:t>conciliação ou de arbitragem, ou de ambos, nos quais tomem parte voluntariamente as partes na negociação coletiva.</w:t>
      </w:r>
    </w:p>
    <w:p w14:paraId="770D60AE"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2F6299">
        <w:rPr>
          <w:rFonts w:ascii="Book Antiqua" w:eastAsia="Times New Roman" w:hAnsi="Book Antiqua" w:cs="Arial"/>
          <w:b/>
          <w:bCs/>
          <w:color w:val="000000"/>
          <w:kern w:val="0"/>
          <w:sz w:val="19"/>
          <w:szCs w:val="19"/>
          <w:highlight w:val="magenta"/>
          <w:lang w:eastAsia="pt-BR"/>
          <w14:ligatures w14:val="none"/>
        </w:rPr>
        <w:t>Artigo 7</w:t>
      </w:r>
    </w:p>
    <w:p w14:paraId="5742F223" w14:textId="30339E52"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b/>
          <w:bCs/>
          <w:color w:val="000000"/>
          <w:kern w:val="0"/>
          <w:sz w:val="19"/>
          <w:szCs w:val="19"/>
          <w:u w:val="single"/>
          <w:lang w:eastAsia="pt-BR"/>
          <w14:ligatures w14:val="none"/>
        </w:rPr>
      </w:pPr>
      <w:r w:rsidRPr="002F6299">
        <w:rPr>
          <w:rFonts w:ascii="Book Antiqua" w:eastAsia="Times New Roman" w:hAnsi="Book Antiqua" w:cs="Arial"/>
          <w:b/>
          <w:bCs/>
          <w:color w:val="000000"/>
          <w:kern w:val="0"/>
          <w:sz w:val="19"/>
          <w:szCs w:val="19"/>
          <w:lang w:eastAsia="pt-BR"/>
          <w14:ligatures w14:val="none"/>
        </w:rPr>
        <w:t>As medidas adotadas pelas autoridades públicas para estimular o desenvolvimento da negociação coletiva deverão ser objeto de consultas prévias e, quando possível, de acordos entre as autoridades públicas e as organizações patronais e as de trabalhadores</w:t>
      </w:r>
      <w:r w:rsidRPr="002F6299">
        <w:rPr>
          <w:rFonts w:ascii="Book Antiqua" w:eastAsia="Times New Roman" w:hAnsi="Book Antiqua" w:cs="Arial"/>
          <w:color w:val="000000"/>
          <w:kern w:val="0"/>
          <w:sz w:val="16"/>
          <w:szCs w:val="16"/>
          <w:lang w:eastAsia="pt-BR"/>
          <w14:ligatures w14:val="none"/>
        </w:rPr>
        <w:t xml:space="preserve">. </w:t>
      </w:r>
      <w:bookmarkStart w:id="1" w:name="_Hlk157169652"/>
      <w:r w:rsidRPr="002F6299">
        <w:rPr>
          <w:rFonts w:ascii="Book Antiqua" w:eastAsia="Times New Roman" w:hAnsi="Book Antiqua" w:cs="Arial"/>
          <w:b/>
          <w:bCs/>
          <w:color w:val="FF0000"/>
          <w:kern w:val="0"/>
          <w:sz w:val="16"/>
          <w:szCs w:val="16"/>
          <w:u w:val="single"/>
          <w:lang w:eastAsia="pt-BR"/>
          <w14:ligatures w14:val="none"/>
        </w:rPr>
        <w:t>(MPT-2020)</w:t>
      </w:r>
      <w:bookmarkEnd w:id="1"/>
    </w:p>
    <w:tbl>
      <w:tblPr>
        <w:tblStyle w:val="Tabelacomgrade"/>
        <w:tblW w:w="0" w:type="auto"/>
        <w:tblLook w:val="04A0" w:firstRow="1" w:lastRow="0" w:firstColumn="1" w:lastColumn="0" w:noHBand="0" w:noVBand="1"/>
      </w:tblPr>
      <w:tblGrid>
        <w:gridCol w:w="8494"/>
      </w:tblGrid>
      <w:tr w:rsidR="002F6299" w14:paraId="4EEE8AA5" w14:textId="77777777" w:rsidTr="002F6299">
        <w:tc>
          <w:tcPr>
            <w:tcW w:w="8494" w:type="dxa"/>
            <w:shd w:val="clear" w:color="auto" w:fill="CCFFFF"/>
          </w:tcPr>
          <w:p w14:paraId="2489A0E7" w14:textId="0D3D384F" w:rsidR="002F6299" w:rsidRPr="002F6299" w:rsidRDefault="002F6299" w:rsidP="002F6299">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2F6299">
              <w:rPr>
                <w:rFonts w:ascii="Book Antiqua" w:eastAsia="Times New Roman" w:hAnsi="Book Antiqua" w:cs="Arial"/>
                <w:b/>
                <w:bCs/>
                <w:color w:val="000000"/>
                <w:kern w:val="0"/>
                <w:sz w:val="19"/>
                <w:szCs w:val="19"/>
                <w:highlight w:val="yellow"/>
                <w:lang w:eastAsia="pt-BR"/>
                <w14:ligatures w14:val="none"/>
              </w:rPr>
              <w:t>MPT-2020</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2F6299">
              <w:rPr>
                <w:rFonts w:ascii="Book Antiqua" w:eastAsia="Times New Roman" w:hAnsi="Book Antiqua" w:cs="Arial"/>
                <w:color w:val="000000"/>
                <w:kern w:val="0"/>
                <w:sz w:val="19"/>
                <w:szCs w:val="19"/>
                <w:lang w:eastAsia="pt-BR"/>
                <w14:ligatures w14:val="none"/>
              </w:rPr>
              <w:t>A Convenção nº 154 da Organização Internacional do Trabalho é expressa quanto à necessidade de consulta prévia às organizações patronais e às de trabalhadores, pelas autoridades públicas, quando desejarem adotar medidas para estimular o desenvolvimento da negociação coletiva.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7º, da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154/OIT.</w:t>
            </w:r>
          </w:p>
        </w:tc>
      </w:tr>
    </w:tbl>
    <w:p w14:paraId="3E501D87" w14:textId="3D2F84F0"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8</w:t>
      </w:r>
    </w:p>
    <w:p w14:paraId="2289A4B4"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As medidas previstas com o fito de estimular a negociação coletiva não deverão ser concebidas ou aplicadas de modo a obstruir a liberdade de negociação coletiva.</w:t>
      </w:r>
    </w:p>
    <w:p w14:paraId="15804D02"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PARTE IV. DISPOSIÇÕES FINAIS</w:t>
      </w:r>
    </w:p>
    <w:p w14:paraId="7617015E"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9</w:t>
      </w:r>
    </w:p>
    <w:p w14:paraId="6B9C6377"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 presente Convenção não revê nenhuma Convenção ou Recomendação Internacional de Trabalho existentes.</w:t>
      </w:r>
    </w:p>
    <w:p w14:paraId="69A0B0DB"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10</w:t>
      </w:r>
    </w:p>
    <w:p w14:paraId="54ADBFA9"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As ratificações formais da presente Convenção serão comunicadas ao Diretor-Geral da Repartição Internacional do Trabalho, a fim de serem registradas.</w:t>
      </w:r>
    </w:p>
    <w:p w14:paraId="289EAB22"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11</w:t>
      </w:r>
    </w:p>
    <w:p w14:paraId="6A18110A"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1. Esta Convenção obrigará apenas os Membros da Organização Internacional do Trabalho, cujas ratificações tenham sido registradas pelo Diretor-Geral.</w:t>
      </w:r>
    </w:p>
    <w:p w14:paraId="385296BB"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2. Entrará em vigor 12 (doze) meses após a data em que as ratificações de 2 (dois) Membros tenham sido registradas pelo Diretor-Geral.</w:t>
      </w:r>
    </w:p>
    <w:p w14:paraId="536D6590"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3. A partir do referido momento, esta Convenção entrará em vigor, para cada Membro, 12 (doze) meses após a data que tenha sido registrada sua ratificação.</w:t>
      </w:r>
    </w:p>
    <w:p w14:paraId="26DE3927"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12</w:t>
      </w:r>
    </w:p>
    <w:p w14:paraId="36435FF7"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1. Todo Membro que tenha ratificado esta Convenção poderá denunciá-la ao término de um período de 10 (dez) anos, a partir da data em que tenha entrado em vigor, mediante ato comunicada, para seu registro, ao Diretor-Geral da Secretaria Internacional do Trabalho. A denúncia só surtirá até 1 (um) ano após a data em que tenha sido registrada.</w:t>
      </w:r>
    </w:p>
    <w:p w14:paraId="51C5558E"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2. Todo Membro que tenha ratificado esta Convenção e que, no prazo de 1 (um) ano após a expiração do período de 10 (dez) anos mencionado no parágrafo precedente, não faça uso do direito de denúncia previsto neste artigo ficará obrigado durante um novo período de 10 (dez) anos e, futuramente, poderá denunciar esta Convenção por ocasião da expiração de cada período de 10 (dez) anos, nas condições previstas neste artigo.</w:t>
      </w:r>
    </w:p>
    <w:p w14:paraId="1A7005B9"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13</w:t>
      </w:r>
    </w:p>
    <w:p w14:paraId="56985B94"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lastRenderedPageBreak/>
        <w:t> 1. O Diretor-Geral da Repartição Internacional do Trabalho notificará a todos os Membros da Organização Internacional do Trabalho o registro de quantas ratificações, declarações e denúncias que lhe tenham sido comunicadas pelos Membros da Organização.</w:t>
      </w:r>
    </w:p>
    <w:p w14:paraId="2DFE20A5"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 xml:space="preserve">2. Ao notificar aos Membros da Organização o registro da segunda ratificação que lhe tenha sido comunicada, o Diretor-Geral informará aos Membros da Organização sobre a data em que entrará em vigor </w:t>
      </w:r>
      <w:proofErr w:type="spellStart"/>
      <w:r w:rsidRPr="002F6299">
        <w:rPr>
          <w:rFonts w:ascii="Book Antiqua" w:eastAsia="Times New Roman" w:hAnsi="Book Antiqua" w:cs="Arial"/>
          <w:color w:val="000000"/>
          <w:kern w:val="0"/>
          <w:sz w:val="19"/>
          <w:szCs w:val="19"/>
          <w:lang w:eastAsia="pt-BR"/>
          <w14:ligatures w14:val="none"/>
        </w:rPr>
        <w:t>a</w:t>
      </w:r>
      <w:proofErr w:type="spellEnd"/>
      <w:r w:rsidRPr="002F6299">
        <w:rPr>
          <w:rFonts w:ascii="Book Antiqua" w:eastAsia="Times New Roman" w:hAnsi="Book Antiqua" w:cs="Arial"/>
          <w:color w:val="000000"/>
          <w:kern w:val="0"/>
          <w:sz w:val="19"/>
          <w:szCs w:val="19"/>
          <w:lang w:eastAsia="pt-BR"/>
          <w14:ligatures w14:val="none"/>
        </w:rPr>
        <w:t xml:space="preserve"> presente Convenção.</w:t>
      </w:r>
    </w:p>
    <w:p w14:paraId="093738A8"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14</w:t>
      </w:r>
    </w:p>
    <w:p w14:paraId="268528EC"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O Diretor-Geral da Secretaria Internacional do Trabalho apresentará ao Secretário-Geral das Nações Unidas, de acordo com o registro e de conformidade com o artigo 102 da Carta das Nações Unidas, uma informação completa sobre todas as ratificações, declarações e atas de denúncia que, de acordo com os artigos precedentes, tenham sido registradas.</w:t>
      </w:r>
    </w:p>
    <w:p w14:paraId="5D7FBFCC"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15</w:t>
      </w:r>
    </w:p>
    <w:p w14:paraId="08EDDBB1"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Sempre que julgar necessário, o Conselho de Administração da Secretaria Internacional do Trabalho apresentará à Conferência uma memória sobre a aplicação da Convenção e considerará a conveniência de incluir na ordem do dia da Conferência a questão de sua revisão total ou parcial.</w:t>
      </w:r>
    </w:p>
    <w:p w14:paraId="2811BBF7"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16</w:t>
      </w:r>
    </w:p>
    <w:p w14:paraId="4B64C214"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1. Caso a Conferência adote uma nova Convenção que implique uma revisão total ou parcial da presente, e a menos que a nova Convenção contenha disposições contrárias:</w:t>
      </w:r>
    </w:p>
    <w:p w14:paraId="737660D0"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 a ratificação, por um Membro, da nova Convenção revista implicará, </w:t>
      </w:r>
      <w:r w:rsidRPr="002F6299">
        <w:rPr>
          <w:rFonts w:ascii="Book Antiqua" w:eastAsia="Times New Roman" w:hAnsi="Book Antiqua" w:cs="Arial"/>
          <w:b/>
          <w:bCs/>
          <w:color w:val="000000"/>
          <w:kern w:val="0"/>
          <w:sz w:val="19"/>
          <w:szCs w:val="19"/>
          <w:lang w:eastAsia="pt-BR"/>
          <w14:ligatures w14:val="none"/>
        </w:rPr>
        <w:t>ipso jure</w:t>
      </w:r>
      <w:r w:rsidRPr="002F6299">
        <w:rPr>
          <w:rFonts w:ascii="Book Antiqua" w:eastAsia="Times New Roman" w:hAnsi="Book Antiqua" w:cs="Arial"/>
          <w:color w:val="000000"/>
          <w:kern w:val="0"/>
          <w:sz w:val="19"/>
          <w:szCs w:val="19"/>
          <w:lang w:eastAsia="pt-BR"/>
          <w14:ligatures w14:val="none"/>
        </w:rPr>
        <w:t>, a denúncia imediata desta Convenção, não obstante as disposições contidas no artigo 12, desde que a nova Convenção revista tenha entrado em vigor;</w:t>
      </w:r>
    </w:p>
    <w:p w14:paraId="1F6D0CD1"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b) a partir da data em que entre em vigor a nova Convenção revista, a presente Convenção cessará de estar aberta à ratificação pelos Membros.</w:t>
      </w:r>
    </w:p>
    <w:p w14:paraId="35916E24"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2. Esta Convenção continuará em vigor em qualquer hipótese, para aqueles Membros que a tenham ratificado, em sua forma e conteúdo atuais, e não tenham ratificado a Convenção revista.</w:t>
      </w:r>
    </w:p>
    <w:p w14:paraId="273B281B" w14:textId="77777777" w:rsidR="002F6299" w:rsidRPr="002F6299" w:rsidRDefault="002F6299" w:rsidP="002F6299">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Artigo 17</w:t>
      </w:r>
    </w:p>
    <w:p w14:paraId="237E6329" w14:textId="77777777" w:rsidR="002F6299" w:rsidRPr="002F6299" w:rsidRDefault="002F6299" w:rsidP="002F6299">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2F6299">
        <w:rPr>
          <w:rFonts w:ascii="Book Antiqua" w:eastAsia="Times New Roman" w:hAnsi="Book Antiqua" w:cs="Arial"/>
          <w:color w:val="000000"/>
          <w:kern w:val="0"/>
          <w:sz w:val="19"/>
          <w:szCs w:val="19"/>
          <w:lang w:eastAsia="pt-BR"/>
          <w14:ligatures w14:val="none"/>
        </w:rPr>
        <w:t>As versões inglesa e francesa do texto da presente Convenção serão igualmente autênticas.</w:t>
      </w:r>
    </w:p>
    <w:p w14:paraId="413DC472" w14:textId="77777777" w:rsidR="00BB7FE6" w:rsidRPr="002F6299" w:rsidRDefault="00BB7FE6" w:rsidP="002F6299">
      <w:pPr>
        <w:spacing w:before="100" w:beforeAutospacing="1" w:after="100" w:afterAutospacing="1" w:line="240" w:lineRule="auto"/>
        <w:rPr>
          <w:rFonts w:ascii="Book Antiqua" w:hAnsi="Book Antiqua"/>
          <w:sz w:val="19"/>
          <w:szCs w:val="19"/>
        </w:rPr>
      </w:pPr>
    </w:p>
    <w:sectPr w:rsidR="00BB7FE6" w:rsidRPr="002F6299" w:rsidSect="00EC5846">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7DB"/>
    <w:rsid w:val="000314D3"/>
    <w:rsid w:val="00074681"/>
    <w:rsid w:val="000F07BE"/>
    <w:rsid w:val="002558DD"/>
    <w:rsid w:val="002F6299"/>
    <w:rsid w:val="00302D3F"/>
    <w:rsid w:val="00330C26"/>
    <w:rsid w:val="00375734"/>
    <w:rsid w:val="00496616"/>
    <w:rsid w:val="00A577DB"/>
    <w:rsid w:val="00BB7FE6"/>
    <w:rsid w:val="00C42B99"/>
    <w:rsid w:val="00C6591B"/>
    <w:rsid w:val="00D346F6"/>
    <w:rsid w:val="00DD03C3"/>
    <w:rsid w:val="00EC5846"/>
    <w:rsid w:val="00ED7F23"/>
    <w:rsid w:val="00FC22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C1FA1"/>
  <w15:chartTrackingRefBased/>
  <w15:docId w15:val="{AB3AB59C-EE40-4F48-9846-39E2FC951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F62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0625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1580</Words>
  <Characters>8535</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6</cp:revision>
  <dcterms:created xsi:type="dcterms:W3CDTF">2024-01-26T16:44:00Z</dcterms:created>
  <dcterms:modified xsi:type="dcterms:W3CDTF">2024-02-16T17:32:00Z</dcterms:modified>
</cp:coreProperties>
</file>