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FE530" w14:textId="32144F49" w:rsidR="00422FB0" w:rsidRDefault="00422FB0" w:rsidP="00422FB0">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bookmarkStart w:id="0" w:name="_Hlk157944905"/>
      <w:r w:rsidRPr="006322D7">
        <w:rPr>
          <w:rFonts w:ascii="Book Antiqua" w:hAnsi="Book Antiqua"/>
          <w:b/>
          <w:bCs/>
          <w:color w:val="FF0000"/>
          <w:sz w:val="19"/>
          <w:szCs w:val="19"/>
        </w:rPr>
        <w:t xml:space="preserve">(Atualização em </w:t>
      </w:r>
      <w:r w:rsidR="00111D84">
        <w:rPr>
          <w:rFonts w:ascii="Book Antiqua" w:hAnsi="Book Antiqua"/>
          <w:b/>
          <w:bCs/>
          <w:color w:val="FF0000"/>
          <w:sz w:val="19"/>
          <w:szCs w:val="19"/>
        </w:rPr>
        <w:t>0</w:t>
      </w:r>
      <w:r w:rsidR="00074564">
        <w:rPr>
          <w:rFonts w:ascii="Book Antiqua" w:hAnsi="Book Antiqua"/>
          <w:b/>
          <w:bCs/>
          <w:color w:val="FF0000"/>
          <w:sz w:val="19"/>
          <w:szCs w:val="19"/>
        </w:rPr>
        <w:t>6</w:t>
      </w:r>
      <w:r w:rsidR="00111D84">
        <w:rPr>
          <w:rFonts w:ascii="Book Antiqua" w:hAnsi="Book Antiqua"/>
          <w:b/>
          <w:bCs/>
          <w:color w:val="FF0000"/>
          <w:sz w:val="19"/>
          <w:szCs w:val="19"/>
        </w:rPr>
        <w:t>/02</w:t>
      </w:r>
      <w:r w:rsidRPr="006322D7">
        <w:rPr>
          <w:rFonts w:ascii="Book Antiqua" w:hAnsi="Book Antiqua"/>
          <w:b/>
          <w:bCs/>
          <w:color w:val="FF0000"/>
          <w:sz w:val="19"/>
          <w:szCs w:val="19"/>
        </w:rPr>
        <w:t>/2023: questões de concurso)</w:t>
      </w:r>
      <w:bookmarkEnd w:id="0"/>
    </w:p>
    <w:p w14:paraId="3A38FFF2" w14:textId="7E6F2BCA" w:rsidR="00422FB0" w:rsidRPr="00422FB0" w:rsidRDefault="00000000" w:rsidP="00422FB0">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5" w:history="1">
        <w:r w:rsidR="00422FB0" w:rsidRPr="00422FB0">
          <w:rPr>
            <w:rFonts w:ascii="Book Antiqua" w:eastAsia="Times New Roman" w:hAnsi="Book Antiqua" w:cs="Arial"/>
            <w:b/>
            <w:bCs/>
            <w:caps/>
            <w:color w:val="000080"/>
            <w:kern w:val="0"/>
            <w:sz w:val="19"/>
            <w:szCs w:val="19"/>
            <w:u w:val="single"/>
            <w:lang w:eastAsia="pt-BR"/>
            <w14:ligatures w14:val="none"/>
          </w:rPr>
          <w:t>DECRETO Nº 1.855, DE 10 DE ABRIL DE 1996</w:t>
        </w:r>
      </w:hyperlink>
    </w:p>
    <w:p w14:paraId="37BFB79D" w14:textId="77777777" w:rsidR="00422FB0" w:rsidRPr="00422FB0" w:rsidRDefault="00422FB0" w:rsidP="00422FB0">
      <w:pPr>
        <w:spacing w:before="100" w:beforeAutospacing="1" w:after="100" w:afterAutospacing="1" w:line="240" w:lineRule="auto"/>
        <w:ind w:left="2268"/>
        <w:jc w:val="both"/>
        <w:rPr>
          <w:rFonts w:ascii="Book Antiqua" w:eastAsia="Times New Roman" w:hAnsi="Book Antiqua" w:cs="Arial"/>
          <w:color w:val="800000"/>
          <w:kern w:val="0"/>
          <w:sz w:val="19"/>
          <w:szCs w:val="19"/>
          <w:lang w:eastAsia="pt-BR"/>
          <w14:ligatures w14:val="none"/>
        </w:rPr>
      </w:pPr>
      <w:r w:rsidRPr="00422FB0">
        <w:rPr>
          <w:rFonts w:ascii="Book Antiqua" w:eastAsia="Times New Roman" w:hAnsi="Book Antiqua" w:cs="Arial"/>
          <w:color w:val="800000"/>
          <w:kern w:val="0"/>
          <w:sz w:val="19"/>
          <w:szCs w:val="19"/>
          <w:lang w:eastAsia="pt-BR"/>
          <w14:ligatures w14:val="none"/>
        </w:rPr>
        <w:t>Promulga a Convenção 158 sobre o Término da Relação de Trabalho por Iniciativa do Empregador, de 22 de junho de 1982.</w:t>
      </w:r>
    </w:p>
    <w:p w14:paraId="50F3CD90" w14:textId="77777777" w:rsidR="00422FB0" w:rsidRPr="00422FB0" w:rsidRDefault="00422FB0" w:rsidP="00422FB0">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422FB0">
        <w:rPr>
          <w:rFonts w:ascii="Book Antiqua" w:eastAsia="Times New Roman" w:hAnsi="Book Antiqua" w:cs="Arial"/>
          <w:kern w:val="0"/>
          <w:sz w:val="19"/>
          <w:szCs w:val="19"/>
          <w:lang w:eastAsia="pt-BR"/>
          <w14:ligatures w14:val="none"/>
        </w:rPr>
        <w:t>Ver mais...</w:t>
      </w:r>
    </w:p>
    <w:p w14:paraId="3421EAC0" w14:textId="77777777" w:rsidR="00422FB0" w:rsidRPr="00422FB0" w:rsidRDefault="00422FB0" w:rsidP="00422FB0">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p>
    <w:p w14:paraId="14378EA3" w14:textId="77777777" w:rsidR="00422FB0" w:rsidRPr="00422FB0" w:rsidRDefault="00000000" w:rsidP="00422FB0">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6" w:anchor="art5" w:history="1">
        <w:r w:rsidR="00422FB0" w:rsidRPr="00422FB0">
          <w:rPr>
            <w:rFonts w:ascii="Book Antiqua" w:eastAsia="Times New Roman" w:hAnsi="Book Antiqua" w:cs="Arial"/>
            <w:color w:val="000080"/>
            <w:kern w:val="0"/>
            <w:sz w:val="19"/>
            <w:szCs w:val="19"/>
            <w:u w:val="single"/>
            <w:lang w:eastAsia="pt-BR"/>
            <w14:ligatures w14:val="none"/>
          </w:rPr>
          <w:t>Revogado pelo Decreto nº 10.088, de 2019 </w:t>
        </w:r>
      </w:hyperlink>
      <w:r w:rsidR="00422FB0" w:rsidRPr="00422FB0">
        <w:rPr>
          <w:rFonts w:ascii="Book Antiqua" w:eastAsia="Times New Roman" w:hAnsi="Book Antiqua" w:cs="Arial"/>
          <w:kern w:val="0"/>
          <w:sz w:val="19"/>
          <w:szCs w:val="19"/>
          <w:lang w:eastAsia="pt-BR"/>
          <w14:ligatures w14:val="none"/>
        </w:rPr>
        <w:t>  </w:t>
      </w:r>
      <w:hyperlink r:id="rId7" w:anchor="art6" w:history="1">
        <w:r w:rsidR="00422FB0" w:rsidRPr="00422FB0">
          <w:rPr>
            <w:rFonts w:ascii="Book Antiqua" w:eastAsia="Times New Roman" w:hAnsi="Book Antiqua" w:cs="Arial"/>
            <w:color w:val="000080"/>
            <w:kern w:val="0"/>
            <w:sz w:val="19"/>
            <w:szCs w:val="19"/>
            <w:u w:val="single"/>
            <w:lang w:eastAsia="pt-BR"/>
            <w14:ligatures w14:val="none"/>
          </w:rPr>
          <w:t>(Vigência)</w:t>
        </w:r>
      </w:hyperlink>
    </w:p>
    <w:p w14:paraId="3267B03F" w14:textId="77777777" w:rsidR="00422FB0" w:rsidRPr="00422FB0" w:rsidRDefault="00422FB0" w:rsidP="00422FB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t xml:space="preserve">O PRESIDENTE DA </w:t>
      </w:r>
      <w:proofErr w:type="gramStart"/>
      <w:r w:rsidRPr="00422FB0">
        <w:rPr>
          <w:rFonts w:ascii="Book Antiqua" w:eastAsia="Times New Roman" w:hAnsi="Book Antiqua" w:cs="Arial"/>
          <w:b/>
          <w:bCs/>
          <w:color w:val="000000"/>
          <w:kern w:val="0"/>
          <w:sz w:val="19"/>
          <w:szCs w:val="19"/>
          <w:lang w:eastAsia="pt-BR"/>
          <w14:ligatures w14:val="none"/>
        </w:rPr>
        <w:t>REPÚBLICA </w:t>
      </w:r>
      <w:r w:rsidRPr="00422FB0">
        <w:rPr>
          <w:rFonts w:ascii="Book Antiqua" w:eastAsia="Times New Roman" w:hAnsi="Book Antiqua" w:cs="Arial"/>
          <w:color w:val="000000"/>
          <w:kern w:val="0"/>
          <w:sz w:val="19"/>
          <w:szCs w:val="19"/>
          <w:lang w:eastAsia="pt-BR"/>
          <w14:ligatures w14:val="none"/>
        </w:rPr>
        <w:t>,</w:t>
      </w:r>
      <w:proofErr w:type="gramEnd"/>
      <w:r w:rsidRPr="00422FB0">
        <w:rPr>
          <w:rFonts w:ascii="Book Antiqua" w:eastAsia="Times New Roman" w:hAnsi="Book Antiqua" w:cs="Arial"/>
          <w:color w:val="000000"/>
          <w:kern w:val="0"/>
          <w:sz w:val="19"/>
          <w:szCs w:val="19"/>
          <w:lang w:eastAsia="pt-BR"/>
          <w14:ligatures w14:val="none"/>
        </w:rPr>
        <w:t xml:space="preserve"> no uso da atribuição que lhe confere o art. 84, inciso VIII, da Constituição, e</w:t>
      </w:r>
    </w:p>
    <w:p w14:paraId="4EE14118" w14:textId="77777777" w:rsidR="00422FB0" w:rsidRPr="00422FB0" w:rsidRDefault="00422FB0" w:rsidP="00422FB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Considerando que a Convenção Número 158, da Organização Internacional do Trabalho, sobre o Término da Relação de Trabalho por Iniciativa do Empregador, foi assinada em Genebra, em 22 de junho de 1982;</w:t>
      </w:r>
    </w:p>
    <w:p w14:paraId="328B1840" w14:textId="77777777" w:rsidR="00422FB0" w:rsidRPr="00422FB0" w:rsidRDefault="00422FB0" w:rsidP="00422FB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Considerando que a Convenção ora promulgada foi oportunamente submetida ao Congresso Nacional, que a aprovou por meio do Decreto Legislativo número 68, de 16 de setembro de 1992;</w:t>
      </w:r>
    </w:p>
    <w:p w14:paraId="1D2E239F" w14:textId="77777777" w:rsidR="00422FB0" w:rsidRPr="00422FB0" w:rsidRDefault="00422FB0" w:rsidP="00422FB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Considerando que a Convenção em tela entrou em vigor internacional em 23 de novembro de 1985;</w:t>
      </w:r>
    </w:p>
    <w:p w14:paraId="0E195279" w14:textId="392E848E" w:rsidR="00422FB0" w:rsidRPr="00074564" w:rsidRDefault="00422FB0" w:rsidP="00422FB0">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074564">
        <w:rPr>
          <w:rFonts w:ascii="Book Antiqua" w:eastAsia="Times New Roman" w:hAnsi="Book Antiqua" w:cs="Arial"/>
          <w:b/>
          <w:bCs/>
          <w:color w:val="000000"/>
          <w:kern w:val="0"/>
          <w:sz w:val="19"/>
          <w:szCs w:val="19"/>
          <w:lang w:eastAsia="pt-BR"/>
          <w14:ligatures w14:val="none"/>
        </w:rPr>
        <w:t>Considerando que o Governo brasileiro depositou a Carta de Ratificação do instrumento multilateral em epígrafe, em 05 de janeiro de 1995, passando o mesmo a vigorar, para o Brasil, em 05 de janeiro de 1996, na forma de seu artigo 16;</w:t>
      </w:r>
      <w:r w:rsidR="00074564" w:rsidRPr="00074564">
        <w:rPr>
          <w:rFonts w:ascii="Book Antiqua" w:eastAsia="Times New Roman" w:hAnsi="Book Antiqua" w:cs="Arial"/>
          <w:b/>
          <w:bCs/>
          <w:color w:val="000000"/>
          <w:kern w:val="0"/>
          <w:sz w:val="19"/>
          <w:szCs w:val="19"/>
          <w:lang w:eastAsia="pt-BR"/>
          <w14:ligatures w14:val="none"/>
        </w:rPr>
        <w:t xml:space="preserve"> </w:t>
      </w:r>
      <w:bookmarkStart w:id="1" w:name="_Hlk158118497"/>
      <w:r w:rsidR="00074564" w:rsidRPr="00074564">
        <w:rPr>
          <w:rFonts w:ascii="Book Antiqua" w:eastAsia="Times New Roman" w:hAnsi="Book Antiqua" w:cs="Arial"/>
          <w:b/>
          <w:bCs/>
          <w:color w:val="FF0000"/>
          <w:sz w:val="16"/>
          <w:szCs w:val="16"/>
          <w:u w:val="single"/>
          <w:bdr w:val="none" w:sz="0" w:space="0" w:color="auto" w:frame="1"/>
          <w:lang w:eastAsia="pt-BR"/>
        </w:rPr>
        <w:t>(TRT15-2013)</w:t>
      </w:r>
      <w:bookmarkEnd w:id="1"/>
    </w:p>
    <w:p w14:paraId="7C7D98E9" w14:textId="77777777" w:rsidR="00422FB0" w:rsidRPr="00422FB0" w:rsidRDefault="00422FB0" w:rsidP="00422FB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t> DECRETA:</w:t>
      </w:r>
    </w:p>
    <w:p w14:paraId="7960223F" w14:textId="77777777" w:rsidR="00422FB0" w:rsidRPr="00422FB0" w:rsidRDefault="00422FB0" w:rsidP="00422FB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 w:name="art1"/>
      <w:bookmarkEnd w:id="2"/>
      <w:r w:rsidRPr="00422FB0">
        <w:rPr>
          <w:rFonts w:ascii="Book Antiqua" w:eastAsia="Times New Roman" w:hAnsi="Book Antiqua" w:cs="Arial"/>
          <w:color w:val="000000"/>
          <w:kern w:val="0"/>
          <w:sz w:val="19"/>
          <w:szCs w:val="19"/>
          <w:lang w:eastAsia="pt-BR"/>
          <w14:ligatures w14:val="none"/>
        </w:rPr>
        <w:t>Art. 1º A Convenção número 158, da Organização Internacional do Trabalho, sobre o Término da Relação de Trabalho por Iniciativa do Empregador, assinada em Genebra, em 22 de junho de 1982, apensa por cópia ao presente Decreto, deverá ser executada e cumprida tão inteiramente como nela se contém.</w:t>
      </w:r>
    </w:p>
    <w:p w14:paraId="780EB19C" w14:textId="77777777" w:rsidR="00422FB0" w:rsidRPr="00422FB0" w:rsidRDefault="00422FB0" w:rsidP="00422FB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 w:name="art2"/>
      <w:bookmarkEnd w:id="3"/>
      <w:r w:rsidRPr="00422FB0">
        <w:rPr>
          <w:rFonts w:ascii="Book Antiqua" w:eastAsia="Times New Roman" w:hAnsi="Book Antiqua" w:cs="Arial"/>
          <w:color w:val="000000"/>
          <w:kern w:val="0"/>
          <w:sz w:val="19"/>
          <w:szCs w:val="19"/>
          <w:lang w:eastAsia="pt-BR"/>
          <w14:ligatures w14:val="none"/>
        </w:rPr>
        <w:t>Art. 2º O presente Decreto entra em vigor na data de sua publicação.</w:t>
      </w:r>
    </w:p>
    <w:p w14:paraId="66C0AF12" w14:textId="77777777" w:rsidR="00422FB0" w:rsidRPr="00422FB0" w:rsidRDefault="00422FB0" w:rsidP="00422FB0">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Brasília, em 10 de abril de 1996; 175º da Independência e 108º da República.</w:t>
      </w:r>
    </w:p>
    <w:p w14:paraId="09093A0E" w14:textId="77777777" w:rsidR="00422FB0" w:rsidRPr="00422FB0" w:rsidRDefault="00422FB0" w:rsidP="00422FB0">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422FB0">
        <w:rPr>
          <w:rFonts w:ascii="Book Antiqua" w:eastAsia="Times New Roman" w:hAnsi="Book Antiqua" w:cs="Arial"/>
          <w:caps/>
          <w:color w:val="000000"/>
          <w:kern w:val="0"/>
          <w:sz w:val="19"/>
          <w:szCs w:val="19"/>
          <w:lang w:eastAsia="pt-BR"/>
          <w14:ligatures w14:val="none"/>
        </w:rPr>
        <w:t>FERNANDO HENRIQUE CARDOSO</w:t>
      </w:r>
    </w:p>
    <w:p w14:paraId="4204EFDF" w14:textId="77777777" w:rsidR="00422FB0" w:rsidRPr="00422FB0" w:rsidRDefault="00422FB0" w:rsidP="00422FB0">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422FB0">
        <w:rPr>
          <w:rFonts w:ascii="Book Antiqua" w:eastAsia="Times New Roman" w:hAnsi="Book Antiqua" w:cs="Arial"/>
          <w:i/>
          <w:iCs/>
          <w:color w:val="000000"/>
          <w:kern w:val="0"/>
          <w:sz w:val="19"/>
          <w:szCs w:val="19"/>
          <w:lang w:eastAsia="pt-BR"/>
          <w14:ligatures w14:val="none"/>
        </w:rPr>
        <w:t>Luiz Felipe Lampreia</w:t>
      </w:r>
    </w:p>
    <w:p w14:paraId="52730E1C" w14:textId="77777777" w:rsidR="00422FB0" w:rsidRPr="00422FB0" w:rsidRDefault="00422FB0" w:rsidP="00422FB0">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422FB0">
        <w:rPr>
          <w:rFonts w:ascii="Book Antiqua" w:eastAsia="Times New Roman" w:hAnsi="Book Antiqua" w:cs="Arial"/>
          <w:color w:val="FF0000"/>
          <w:kern w:val="0"/>
          <w:sz w:val="19"/>
          <w:szCs w:val="19"/>
          <w:lang w:eastAsia="pt-BR"/>
          <w14:ligatures w14:val="none"/>
        </w:rPr>
        <w:t>Este texto não substitui o publicado no DOU de 11.4.1996 e </w:t>
      </w:r>
      <w:hyperlink r:id="rId8" w:history="1">
        <w:r w:rsidRPr="00422FB0">
          <w:rPr>
            <w:rFonts w:ascii="Book Antiqua" w:eastAsia="Times New Roman" w:hAnsi="Book Antiqua" w:cs="Arial"/>
            <w:color w:val="FF0000"/>
            <w:kern w:val="0"/>
            <w:sz w:val="19"/>
            <w:szCs w:val="19"/>
            <w:u w:val="single"/>
            <w:lang w:eastAsia="pt-BR"/>
            <w14:ligatures w14:val="none"/>
          </w:rPr>
          <w:t>retificado em 26.9.1996</w:t>
        </w:r>
      </w:hyperlink>
    </w:p>
    <w:p w14:paraId="22F128AE" w14:textId="77777777" w:rsidR="00422FB0" w:rsidRPr="00422FB0" w:rsidRDefault="00422FB0" w:rsidP="00422FB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ANEXO AO DECRETO QUE PROMULGA A CONVENÇÃO NÚMERO 158, DA ORGANIZAÇÃO INTERNACIONAL DO TRABALHO, SOBRE O TÉRMINO DA RELAÇÃO DE TRABALHO POR INCIATIVA DO EMPREGADOR, CONCLUÍDA EM GENEBRA, EM 22 DE JUNHO DE 1982/ </w:t>
      </w:r>
      <w:r w:rsidRPr="00422FB0">
        <w:rPr>
          <w:rFonts w:ascii="Book Antiqua" w:eastAsia="Times New Roman" w:hAnsi="Book Antiqua" w:cs="Arial"/>
          <w:color w:val="000000"/>
          <w:kern w:val="0"/>
          <w:sz w:val="19"/>
          <w:szCs w:val="19"/>
          <w:u w:val="single"/>
          <w:lang w:eastAsia="pt-BR"/>
          <w14:ligatures w14:val="none"/>
        </w:rPr>
        <w:t>MRE</w:t>
      </w:r>
    </w:p>
    <w:p w14:paraId="18B27341" w14:textId="77777777" w:rsidR="00422FB0" w:rsidRPr="00422FB0" w:rsidRDefault="00422FB0" w:rsidP="00422FB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CONFERÊNCIA INTERNACIONAL DO TRABALHO</w:t>
      </w:r>
    </w:p>
    <w:p w14:paraId="10FC4880" w14:textId="77777777" w:rsidR="00422FB0" w:rsidRPr="00422FB0" w:rsidRDefault="00422FB0" w:rsidP="00422FB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CONVENÇÃO 158</w:t>
      </w:r>
    </w:p>
    <w:p w14:paraId="39761FB5" w14:textId="77777777" w:rsidR="00422FB0" w:rsidRPr="00422FB0" w:rsidRDefault="00422FB0" w:rsidP="00422FB0">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CONVENÇÃO SOBRE TÉRMINO DA RELAÇÃO DE TRABALHO POR INICIATIVA DO EMPREGADOR</w:t>
      </w:r>
    </w:p>
    <w:p w14:paraId="03AB27FE"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lastRenderedPageBreak/>
        <w:t>A Conferência Geral da Organização Internacional do Trabalho:</w:t>
      </w:r>
    </w:p>
    <w:p w14:paraId="5829E874"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Convocada em Genebra pelo Conselho de Administração da Repartição Internacional do Trabalho, e reunida nessa cidade em 2 de junho de 1982, na sua Sexagésima-Oitava Sessão;</w:t>
      </w:r>
    </w:p>
    <w:p w14:paraId="5AC7984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Tendo tomado nota das normas internacionais contidas na Recomendação sobre o Término da Relação de Trabalho, 1963, foram registradas importante novidades na legislação e na prática de numerosos Estados-Membros relativas às questões que essa Recomendação abrange.</w:t>
      </w:r>
    </w:p>
    <w:p w14:paraId="362A02CF"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Considerando que em razão de tais novidades é oportuno adotar novas normas internacionais na matéria, levando particularmente em conta os graves problemas que se apresentam nessa área como </w:t>
      </w:r>
      <w:proofErr w:type="spellStart"/>
      <w:r w:rsidRPr="00422FB0">
        <w:rPr>
          <w:rFonts w:ascii="Book Antiqua" w:eastAsia="Times New Roman" w:hAnsi="Book Antiqua" w:cs="Arial"/>
          <w:color w:val="000000"/>
          <w:kern w:val="0"/>
          <w:sz w:val="19"/>
          <w:szCs w:val="19"/>
          <w:lang w:eastAsia="pt-BR"/>
          <w14:ligatures w14:val="none"/>
        </w:rPr>
        <w:t>conseqüência</w:t>
      </w:r>
      <w:proofErr w:type="spellEnd"/>
      <w:r w:rsidRPr="00422FB0">
        <w:rPr>
          <w:rFonts w:ascii="Book Antiqua" w:eastAsia="Times New Roman" w:hAnsi="Book Antiqua" w:cs="Arial"/>
          <w:color w:val="000000"/>
          <w:kern w:val="0"/>
          <w:sz w:val="19"/>
          <w:szCs w:val="19"/>
          <w:lang w:eastAsia="pt-BR"/>
          <w14:ligatures w14:val="none"/>
        </w:rPr>
        <w:t xml:space="preserve"> das dificuldades econômicas e das mudanças tecnológicas ocorridas durante os últimos anos em grande número de países;</w:t>
      </w:r>
    </w:p>
    <w:p w14:paraId="04BA9452"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Após ter decidido adotar diversas proposições relativas ao término da relação de trabalho por iniciativa do empregador, questão que constitui o quinto item da agenda da Reunião, e</w:t>
      </w:r>
    </w:p>
    <w:p w14:paraId="04D8CE75"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Após ter decidido que tais proposições tomariam a forma de uma Convenção, adota, na data 22 de junho de 1982, a presente Convenção sobre o Término da Relação de Trabalho, 1982:</w:t>
      </w:r>
    </w:p>
    <w:p w14:paraId="0C75089E"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PARTE I</w:t>
      </w:r>
    </w:p>
    <w:p w14:paraId="00D84C06"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Métodos de Aplicação, Área de Aplicação e Definições!</w:t>
      </w:r>
    </w:p>
    <w:p w14:paraId="04E9459E"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I</w:t>
      </w:r>
    </w:p>
    <w:p w14:paraId="0420842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Dever-se-á dar efeito às disposições da presente Convenção através da legislação nacional, exceto na medida em que essas disposições sejam aplicadas por meio de contratos coletivos, laudos arbitrais ou sentenças judiciais, ou de qualquer outra forma de acordo com a prática nacional.</w:t>
      </w:r>
    </w:p>
    <w:p w14:paraId="6E7ADBFC"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2</w:t>
      </w:r>
    </w:p>
    <w:p w14:paraId="7A56513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 presente Convenção aplica-se a todas as áreas de atividade econômica e a toda as pessoas empregadas.</w:t>
      </w:r>
    </w:p>
    <w:p w14:paraId="5C76FE0D"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Todo membro poderá excluir da totalidade algumas das disposições da presente Convenção as seguintes categorias de pessoas empregadas:</w:t>
      </w:r>
    </w:p>
    <w:p w14:paraId="5BFD2CC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 os trabalhadores de um contrato de trabalho de duração determinada ou para realizar uma determinada tarefa;</w:t>
      </w:r>
    </w:p>
    <w:p w14:paraId="1AAC02B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b) os trabalhadores que estejam num período de experiência ou que tenha o tempo de serviço exigido, sempre que, em qualquer um dos casos, a duração tenha sido fixada previamente e for razoável;</w:t>
      </w:r>
    </w:p>
    <w:p w14:paraId="53F135AB"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 os trabalhadores contratados em caráter ocasional durante um período de curta duração.</w:t>
      </w:r>
    </w:p>
    <w:p w14:paraId="67A4BF61"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1. Deverão ser previstas garantias adequadas contra o recurso a contratos de trabalho de duração determinada cujo objetivo seja o de iludir a proteção prevista nesta Convenção.</w:t>
      </w:r>
    </w:p>
    <w:p w14:paraId="364ED96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Na medida que for necessário, e com a prévia consulta das organizações de empregadores e de trabalhadores interessadas, quando tais organizações existirem, a autoridade competente ou o organismo apropriado de cada país poderá tomar medidas para excluir da aplicação da presente Convenção, ou de algumas de suas disposições, certas categorias de pessoas empregadas, cujas condições de emprego forem regidas por disposições especiais que, no seu conjunto, proporcionem uma proteção pelo menos equivalente à prevista nesta Convenção.</w:t>
      </w:r>
    </w:p>
    <w:p w14:paraId="09F75D93"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lastRenderedPageBreak/>
        <w:t>Na medida que for necessário, e com a prévia consulta das organizações de empregadores e de trabalhadores interessadas, quando tais organizações existirem, a autoridade competente ou o organismo apropriado de cada país poderá tomar medidas para excluir da aplicação da presente Convenção ou de algumas de suas disposições, outras categorias limitadas de pessoas empregadas, a cujo respeito apresentam-se problemas especiais que assumam certa importância, levando em consideração as condições de emprego particulares dos trabalhadores interessados ou a dimensão ou natureza da empresa que os emprega.</w:t>
      </w:r>
    </w:p>
    <w:p w14:paraId="71CD8E5E"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Todo Membro que ratificar a presente Convenção deverá enumerar, no primeiro relatório sobre a aplicação da Convenção que submeter em virtude do artigo 22 da Constituição da Organização Internacional do Trabalho, as categorias que tiverem sido excluídas em para essa exclusão, e deverá indicar nos relatórios </w:t>
      </w:r>
      <w:proofErr w:type="spellStart"/>
      <w:r w:rsidRPr="00422FB0">
        <w:rPr>
          <w:rFonts w:ascii="Book Antiqua" w:eastAsia="Times New Roman" w:hAnsi="Book Antiqua" w:cs="Arial"/>
          <w:color w:val="000000"/>
          <w:kern w:val="0"/>
          <w:sz w:val="19"/>
          <w:szCs w:val="19"/>
          <w:lang w:eastAsia="pt-BR"/>
          <w14:ligatures w14:val="none"/>
        </w:rPr>
        <w:t>subseqüentes</w:t>
      </w:r>
      <w:proofErr w:type="spellEnd"/>
      <w:r w:rsidRPr="00422FB0">
        <w:rPr>
          <w:rFonts w:ascii="Book Antiqua" w:eastAsia="Times New Roman" w:hAnsi="Book Antiqua" w:cs="Arial"/>
          <w:color w:val="000000"/>
          <w:kern w:val="0"/>
          <w:sz w:val="19"/>
          <w:szCs w:val="19"/>
          <w:lang w:eastAsia="pt-BR"/>
          <w14:ligatures w14:val="none"/>
        </w:rPr>
        <w:t xml:space="preserve"> a situação da sua legislação e prática com relação às categorias excluídas e a medida em que é aplicada ou se tenciona aplicar a Convenção </w:t>
      </w:r>
      <w:proofErr w:type="gramStart"/>
      <w:r w:rsidRPr="00422FB0">
        <w:rPr>
          <w:rFonts w:ascii="Book Antiqua" w:eastAsia="Times New Roman" w:hAnsi="Book Antiqua" w:cs="Arial"/>
          <w:color w:val="000000"/>
          <w:kern w:val="0"/>
          <w:sz w:val="19"/>
          <w:szCs w:val="19"/>
          <w:lang w:eastAsia="pt-BR"/>
          <w14:ligatures w14:val="none"/>
        </w:rPr>
        <w:t>essa categorias</w:t>
      </w:r>
      <w:proofErr w:type="gramEnd"/>
      <w:r w:rsidRPr="00422FB0">
        <w:rPr>
          <w:rFonts w:ascii="Book Antiqua" w:eastAsia="Times New Roman" w:hAnsi="Book Antiqua" w:cs="Arial"/>
          <w:color w:val="000000"/>
          <w:kern w:val="0"/>
          <w:sz w:val="19"/>
          <w:szCs w:val="19"/>
          <w:lang w:eastAsia="pt-BR"/>
          <w14:ligatures w14:val="none"/>
        </w:rPr>
        <w:t>.</w:t>
      </w:r>
    </w:p>
    <w:p w14:paraId="75DB8E4D"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3</w:t>
      </w:r>
    </w:p>
    <w:p w14:paraId="02EF1E61"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Para os efeitos da presente Convenção as expressões "término" e "término da relação de trabalho" significam término da relação de trabalho do empregador.</w:t>
      </w:r>
    </w:p>
    <w:p w14:paraId="2A6D3333"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Parte II</w:t>
      </w:r>
    </w:p>
    <w:p w14:paraId="3A51FBB4"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Normas de Aplicação Geral</w:t>
      </w:r>
    </w:p>
    <w:p w14:paraId="76320081"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SEÇÃO A</w:t>
      </w:r>
    </w:p>
    <w:p w14:paraId="774A4614"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Justificação do Término</w:t>
      </w:r>
    </w:p>
    <w:p w14:paraId="776F58C9"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w:t>
      </w:r>
      <w:r w:rsidRPr="00422FB0">
        <w:rPr>
          <w:rFonts w:ascii="Book Antiqua" w:eastAsia="Times New Roman" w:hAnsi="Book Antiqua" w:cs="Arial"/>
          <w:b/>
          <w:bCs/>
          <w:color w:val="000000"/>
          <w:kern w:val="0"/>
          <w:sz w:val="19"/>
          <w:szCs w:val="19"/>
          <w:highlight w:val="magenta"/>
          <w:lang w:eastAsia="pt-BR"/>
          <w14:ligatures w14:val="none"/>
        </w:rPr>
        <w:t>Artigo 4</w:t>
      </w:r>
    </w:p>
    <w:p w14:paraId="05AE0A0A" w14:textId="3C3BBE2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t>Não se dará término à relação de trabalho de um trabalhador a menos que exista para isso uma causa justificada relacionada com sua capacidade ou seu comportamento ou baseada nas necessidades de funcionamento da empresa, estabelecimento ou serviço</w:t>
      </w:r>
      <w:r w:rsidRPr="00422FB0">
        <w:rPr>
          <w:rFonts w:ascii="Book Antiqua" w:eastAsia="Times New Roman" w:hAnsi="Book Antiqua" w:cs="Arial"/>
          <w:color w:val="000000"/>
          <w:kern w:val="0"/>
          <w:sz w:val="19"/>
          <w:szCs w:val="19"/>
          <w:lang w:eastAsia="pt-BR"/>
          <w14:ligatures w14:val="none"/>
        </w:rPr>
        <w:t>.</w:t>
      </w:r>
      <w:r w:rsidR="00111D84">
        <w:rPr>
          <w:rFonts w:ascii="Book Antiqua" w:eastAsia="Times New Roman" w:hAnsi="Book Antiqua" w:cs="Arial"/>
          <w:color w:val="000000"/>
          <w:kern w:val="0"/>
          <w:sz w:val="19"/>
          <w:szCs w:val="19"/>
          <w:lang w:eastAsia="pt-BR"/>
          <w14:ligatures w14:val="none"/>
        </w:rPr>
        <w:t xml:space="preserve"> </w:t>
      </w:r>
      <w:bookmarkStart w:id="4" w:name="_Hlk157945594"/>
      <w:r w:rsidR="00111D84">
        <w:rPr>
          <w:rFonts w:ascii="Book Antiqua" w:eastAsia="Times New Roman" w:hAnsi="Book Antiqua" w:cs="Times New Roman"/>
          <w:b/>
          <w:bCs/>
          <w:color w:val="FF0000"/>
          <w:sz w:val="16"/>
          <w:szCs w:val="16"/>
          <w:u w:val="single"/>
          <w:lang w:eastAsia="pt-BR"/>
        </w:rPr>
        <w:t>(TRT9-2012)</w:t>
      </w:r>
      <w:bookmarkEnd w:id="4"/>
      <w:r>
        <w:rPr>
          <w:rFonts w:ascii="Book Antiqua" w:eastAsia="Times New Roman" w:hAnsi="Book Antiqua" w:cs="Arial"/>
          <w:color w:val="000000"/>
          <w:kern w:val="0"/>
          <w:sz w:val="19"/>
          <w:szCs w:val="19"/>
          <w:lang w:eastAsia="pt-BR"/>
          <w14:ligatures w14:val="none"/>
        </w:rPr>
        <w:t xml:space="preserve"> </w:t>
      </w:r>
      <w:bookmarkStart w:id="5" w:name="_Hlk157254991"/>
      <w:r>
        <w:rPr>
          <w:rFonts w:ascii="Book Antiqua" w:eastAsia="Times New Roman" w:hAnsi="Book Antiqua" w:cs="Times New Roman"/>
          <w:b/>
          <w:bCs/>
          <w:color w:val="FF0000"/>
          <w:sz w:val="16"/>
          <w:szCs w:val="16"/>
          <w:u w:val="single"/>
          <w:lang w:eastAsia="pt-BR"/>
        </w:rPr>
        <w:t>(MPT-2020)</w:t>
      </w:r>
      <w:bookmarkEnd w:id="5"/>
    </w:p>
    <w:tbl>
      <w:tblPr>
        <w:tblStyle w:val="Tabelacomgrade"/>
        <w:tblW w:w="0" w:type="auto"/>
        <w:tblLook w:val="04A0" w:firstRow="1" w:lastRow="0" w:firstColumn="1" w:lastColumn="0" w:noHBand="0" w:noVBand="1"/>
      </w:tblPr>
      <w:tblGrid>
        <w:gridCol w:w="8494"/>
      </w:tblGrid>
      <w:tr w:rsidR="00422FB0" w14:paraId="6103C835" w14:textId="77777777" w:rsidTr="00422FB0">
        <w:tc>
          <w:tcPr>
            <w:tcW w:w="8494" w:type="dxa"/>
            <w:shd w:val="clear" w:color="auto" w:fill="CCFFFF"/>
          </w:tcPr>
          <w:p w14:paraId="63377155" w14:textId="14980A19" w:rsidR="00422FB0" w:rsidRDefault="00422FB0" w:rsidP="00422FB0">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342880">
              <w:rPr>
                <w:rFonts w:ascii="Book Antiqua" w:eastAsia="Times New Roman" w:hAnsi="Book Antiqua" w:cs="Arial"/>
                <w:b/>
                <w:bCs/>
                <w:color w:val="000000"/>
                <w:kern w:val="0"/>
                <w:sz w:val="19"/>
                <w:szCs w:val="19"/>
                <w:highlight w:val="yellow"/>
                <w:lang w:eastAsia="pt-BR"/>
                <w14:ligatures w14:val="none"/>
              </w:rPr>
              <w:t>MPT-20</w:t>
            </w:r>
            <w:r>
              <w:rPr>
                <w:rFonts w:ascii="Book Antiqua" w:eastAsia="Times New Roman" w:hAnsi="Book Antiqua" w:cs="Arial"/>
                <w:b/>
                <w:bCs/>
                <w:color w:val="000000"/>
                <w:kern w:val="0"/>
                <w:sz w:val="19"/>
                <w:szCs w:val="19"/>
                <w:highlight w:val="yellow"/>
                <w:lang w:eastAsia="pt-BR"/>
                <w14:ligatures w14:val="none"/>
              </w:rPr>
              <w:t>20</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42880">
              <w:rPr>
                <w:rFonts w:ascii="Book Antiqua" w:eastAsia="Times New Roman" w:hAnsi="Book Antiqua" w:cs="Arial"/>
                <w:color w:val="000000"/>
                <w:kern w:val="0"/>
                <w:sz w:val="19"/>
                <w:szCs w:val="19"/>
                <w:lang w:eastAsia="pt-BR"/>
                <w14:ligatures w14:val="none"/>
              </w:rPr>
              <w:t xml:space="preserve">Tendo em vista as Convenções n° 155 e 158 da Organização Internacional do Trabalho (OIT), que dispõem, respectivamente, sobre a saúde e segurança dos trabalhadores e sobre o término da relação por iniciativa do empregador, assinale a alternativa </w:t>
            </w:r>
            <w:r>
              <w:rPr>
                <w:rFonts w:ascii="Book Antiqua" w:eastAsia="Times New Roman" w:hAnsi="Book Antiqua" w:cs="Arial"/>
                <w:color w:val="000000"/>
                <w:kern w:val="0"/>
                <w:sz w:val="19"/>
                <w:szCs w:val="19"/>
                <w:lang w:eastAsia="pt-BR"/>
                <w14:ligatures w14:val="none"/>
              </w:rPr>
              <w:t>correta</w:t>
            </w:r>
            <w:r w:rsidRPr="00342880">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422FB0">
              <w:rPr>
                <w:rFonts w:ascii="Book Antiqua" w:eastAsia="Times New Roman" w:hAnsi="Book Antiqua" w:cs="Arial"/>
                <w:color w:val="000000"/>
                <w:kern w:val="0"/>
                <w:sz w:val="19"/>
                <w:szCs w:val="19"/>
                <w:lang w:eastAsia="pt-BR"/>
                <w14:ligatures w14:val="none"/>
              </w:rPr>
              <w:t>A Convenção n° 158 da OIT prevê que não se dará término à relação de trabalho de um trabalhador a menos que exista para isso uma causa justificada relacionada com sua capacidade ou seu comportamento ou baseada nas necessidades de funcionamento da empresa, estabelecimento ou serviço.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4º,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158/OIT.</w:t>
            </w:r>
          </w:p>
        </w:tc>
      </w:tr>
    </w:tbl>
    <w:p w14:paraId="00C3CE38" w14:textId="4135BFE4"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w:t>
      </w:r>
      <w:r w:rsidRPr="00422FB0">
        <w:rPr>
          <w:rFonts w:ascii="Book Antiqua" w:eastAsia="Times New Roman" w:hAnsi="Book Antiqua" w:cs="Arial"/>
          <w:b/>
          <w:bCs/>
          <w:color w:val="000000"/>
          <w:kern w:val="0"/>
          <w:sz w:val="19"/>
          <w:szCs w:val="19"/>
          <w:highlight w:val="magenta"/>
          <w:lang w:eastAsia="pt-BR"/>
          <w14:ligatures w14:val="none"/>
        </w:rPr>
        <w:t>Artigo 5</w:t>
      </w:r>
    </w:p>
    <w:p w14:paraId="72CAF0BD" w14:textId="33AD5324"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t>Entre os motivos que não constituirão causa justificada para o término da relação de trabalho constam os seguintes:</w:t>
      </w:r>
      <w:r w:rsidR="00111D84">
        <w:rPr>
          <w:rFonts w:ascii="Book Antiqua" w:eastAsia="Times New Roman" w:hAnsi="Book Antiqua" w:cs="Arial"/>
          <w:b/>
          <w:bCs/>
          <w:color w:val="000000"/>
          <w:kern w:val="0"/>
          <w:sz w:val="19"/>
          <w:szCs w:val="19"/>
          <w:lang w:eastAsia="pt-BR"/>
          <w14:ligatures w14:val="none"/>
        </w:rPr>
        <w:t xml:space="preserve"> </w:t>
      </w:r>
      <w:r w:rsidR="00111D84">
        <w:rPr>
          <w:rFonts w:ascii="Book Antiqua" w:eastAsia="Times New Roman" w:hAnsi="Book Antiqua" w:cs="Times New Roman"/>
          <w:b/>
          <w:bCs/>
          <w:color w:val="FF0000"/>
          <w:sz w:val="16"/>
          <w:szCs w:val="16"/>
          <w:u w:val="single"/>
          <w:lang w:eastAsia="pt-BR"/>
        </w:rPr>
        <w:t>(TRT9-2012)</w:t>
      </w:r>
      <w:r w:rsidRPr="00422FB0">
        <w:rPr>
          <w:rFonts w:ascii="Book Antiqua" w:eastAsia="Times New Roman" w:hAnsi="Book Antiqua" w:cs="Arial"/>
          <w:b/>
          <w:bCs/>
          <w:color w:val="000000"/>
          <w:kern w:val="0"/>
          <w:sz w:val="19"/>
          <w:szCs w:val="19"/>
          <w:lang w:eastAsia="pt-BR"/>
          <w14:ligatures w14:val="none"/>
        </w:rPr>
        <w:t xml:space="preserve"> </w:t>
      </w:r>
      <w:r w:rsidRPr="00422FB0">
        <w:rPr>
          <w:rFonts w:ascii="Book Antiqua" w:eastAsia="Times New Roman" w:hAnsi="Book Antiqua" w:cs="Times New Roman"/>
          <w:b/>
          <w:bCs/>
          <w:color w:val="FF0000"/>
          <w:sz w:val="16"/>
          <w:szCs w:val="16"/>
          <w:u w:val="single"/>
          <w:lang w:eastAsia="pt-BR"/>
        </w:rPr>
        <w:t>(MPT-2020)</w:t>
      </w:r>
    </w:p>
    <w:p w14:paraId="6E827DEA" w14:textId="1B566613"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t>a) a filiação a um sindicato ou a participação em atividades sindicais fora das horas de trabalho ou, com o consentimento de empregador, durante as horas de trabalho;</w:t>
      </w:r>
      <w:r w:rsidR="00111D84">
        <w:rPr>
          <w:rFonts w:ascii="Book Antiqua" w:eastAsia="Times New Roman" w:hAnsi="Book Antiqua" w:cs="Arial"/>
          <w:b/>
          <w:bCs/>
          <w:color w:val="000000"/>
          <w:kern w:val="0"/>
          <w:sz w:val="19"/>
          <w:szCs w:val="19"/>
          <w:lang w:eastAsia="pt-BR"/>
          <w14:ligatures w14:val="none"/>
        </w:rPr>
        <w:t xml:space="preserve"> </w:t>
      </w:r>
      <w:r w:rsidR="00111D84">
        <w:rPr>
          <w:rFonts w:ascii="Book Antiqua" w:eastAsia="Times New Roman" w:hAnsi="Book Antiqua" w:cs="Times New Roman"/>
          <w:b/>
          <w:bCs/>
          <w:color w:val="FF0000"/>
          <w:sz w:val="16"/>
          <w:szCs w:val="16"/>
          <w:u w:val="single"/>
          <w:lang w:eastAsia="pt-BR"/>
        </w:rPr>
        <w:t>(TRT9-2012)</w:t>
      </w:r>
      <w:r w:rsidRPr="00422FB0">
        <w:rPr>
          <w:rFonts w:ascii="Book Antiqua" w:eastAsia="Times New Roman" w:hAnsi="Book Antiqua" w:cs="Arial"/>
          <w:b/>
          <w:bCs/>
          <w:color w:val="000000"/>
          <w:kern w:val="0"/>
          <w:sz w:val="19"/>
          <w:szCs w:val="19"/>
          <w:lang w:eastAsia="pt-BR"/>
          <w14:ligatures w14:val="none"/>
        </w:rPr>
        <w:t xml:space="preserve"> </w:t>
      </w:r>
      <w:r w:rsidRPr="00422FB0">
        <w:rPr>
          <w:rFonts w:ascii="Book Antiqua" w:eastAsia="Times New Roman" w:hAnsi="Book Antiqua" w:cs="Times New Roman"/>
          <w:b/>
          <w:bCs/>
          <w:color w:val="FF0000"/>
          <w:sz w:val="16"/>
          <w:szCs w:val="16"/>
          <w:u w:val="single"/>
          <w:lang w:eastAsia="pt-BR"/>
        </w:rPr>
        <w:t>(MPT-2020)</w:t>
      </w:r>
    </w:p>
    <w:p w14:paraId="1F257E1C" w14:textId="188DAE56"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t>b) ser candidato a representante dos trabalhadores ou atuar ou ter atuado nessa qualidade;</w:t>
      </w:r>
      <w:r w:rsidR="00111D84">
        <w:rPr>
          <w:rFonts w:ascii="Book Antiqua" w:eastAsia="Times New Roman" w:hAnsi="Book Antiqua" w:cs="Arial"/>
          <w:b/>
          <w:bCs/>
          <w:color w:val="000000"/>
          <w:kern w:val="0"/>
          <w:sz w:val="19"/>
          <w:szCs w:val="19"/>
          <w:lang w:eastAsia="pt-BR"/>
          <w14:ligatures w14:val="none"/>
        </w:rPr>
        <w:t xml:space="preserve"> </w:t>
      </w:r>
      <w:r w:rsidR="00111D84">
        <w:rPr>
          <w:rFonts w:ascii="Book Antiqua" w:eastAsia="Times New Roman" w:hAnsi="Book Antiqua" w:cs="Times New Roman"/>
          <w:b/>
          <w:bCs/>
          <w:color w:val="FF0000"/>
          <w:sz w:val="16"/>
          <w:szCs w:val="16"/>
          <w:u w:val="single"/>
          <w:lang w:eastAsia="pt-BR"/>
        </w:rPr>
        <w:t>(TRT9-2012)</w:t>
      </w:r>
      <w:r w:rsidRPr="00422FB0">
        <w:rPr>
          <w:rFonts w:ascii="Book Antiqua" w:eastAsia="Times New Roman" w:hAnsi="Book Antiqua" w:cs="Arial"/>
          <w:b/>
          <w:bCs/>
          <w:color w:val="000000"/>
          <w:kern w:val="0"/>
          <w:sz w:val="19"/>
          <w:szCs w:val="19"/>
          <w:lang w:eastAsia="pt-BR"/>
          <w14:ligatures w14:val="none"/>
        </w:rPr>
        <w:t xml:space="preserve"> </w:t>
      </w:r>
      <w:r w:rsidRPr="00422FB0">
        <w:rPr>
          <w:rFonts w:ascii="Book Antiqua" w:eastAsia="Times New Roman" w:hAnsi="Book Antiqua" w:cs="Times New Roman"/>
          <w:b/>
          <w:bCs/>
          <w:color w:val="FF0000"/>
          <w:sz w:val="16"/>
          <w:szCs w:val="16"/>
          <w:u w:val="single"/>
          <w:lang w:eastAsia="pt-BR"/>
        </w:rPr>
        <w:t>(MPT-2020)</w:t>
      </w:r>
    </w:p>
    <w:p w14:paraId="7C63B4A3" w14:textId="73659543"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t>c) apresentar uma queixa ou participar de um procedimento estabelecido contra um empregador por supostas violações de leis ou regulamentos, ou recorrer perante as autoridades administrativas competentes;</w:t>
      </w:r>
      <w:r w:rsidR="00111D84">
        <w:rPr>
          <w:rFonts w:ascii="Book Antiqua" w:eastAsia="Times New Roman" w:hAnsi="Book Antiqua" w:cs="Arial"/>
          <w:b/>
          <w:bCs/>
          <w:color w:val="000000"/>
          <w:kern w:val="0"/>
          <w:sz w:val="19"/>
          <w:szCs w:val="19"/>
          <w:lang w:eastAsia="pt-BR"/>
          <w14:ligatures w14:val="none"/>
        </w:rPr>
        <w:t xml:space="preserve"> </w:t>
      </w:r>
      <w:r w:rsidR="00111D84">
        <w:rPr>
          <w:rFonts w:ascii="Book Antiqua" w:eastAsia="Times New Roman" w:hAnsi="Book Antiqua" w:cs="Times New Roman"/>
          <w:b/>
          <w:bCs/>
          <w:color w:val="FF0000"/>
          <w:sz w:val="16"/>
          <w:szCs w:val="16"/>
          <w:u w:val="single"/>
          <w:lang w:eastAsia="pt-BR"/>
        </w:rPr>
        <w:t>(TRT9-2012)</w:t>
      </w:r>
      <w:r w:rsidRPr="00422FB0">
        <w:rPr>
          <w:rFonts w:ascii="Book Antiqua" w:eastAsia="Times New Roman" w:hAnsi="Book Antiqua" w:cs="Arial"/>
          <w:b/>
          <w:bCs/>
          <w:color w:val="000000"/>
          <w:kern w:val="0"/>
          <w:sz w:val="19"/>
          <w:szCs w:val="19"/>
          <w:lang w:eastAsia="pt-BR"/>
          <w14:ligatures w14:val="none"/>
        </w:rPr>
        <w:t xml:space="preserve"> </w:t>
      </w:r>
      <w:r w:rsidRPr="00422FB0">
        <w:rPr>
          <w:rFonts w:ascii="Book Antiqua" w:eastAsia="Times New Roman" w:hAnsi="Book Antiqua" w:cs="Times New Roman"/>
          <w:b/>
          <w:bCs/>
          <w:color w:val="FF0000"/>
          <w:sz w:val="16"/>
          <w:szCs w:val="16"/>
          <w:u w:val="single"/>
          <w:lang w:eastAsia="pt-BR"/>
        </w:rPr>
        <w:t>(MPT-2020)</w:t>
      </w:r>
    </w:p>
    <w:p w14:paraId="1815C176" w14:textId="20B13CD6"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t>d) a raça, a cor, o sexo, o estado civil, as responsabilidades familiares, a gravidez, a religião, as opiniões políticas, a ascendência nacional ou a origem social;</w:t>
      </w:r>
      <w:r w:rsidR="00111D84">
        <w:rPr>
          <w:rFonts w:ascii="Book Antiqua" w:eastAsia="Times New Roman" w:hAnsi="Book Antiqua" w:cs="Arial"/>
          <w:b/>
          <w:bCs/>
          <w:color w:val="000000"/>
          <w:kern w:val="0"/>
          <w:sz w:val="19"/>
          <w:szCs w:val="19"/>
          <w:lang w:eastAsia="pt-BR"/>
          <w14:ligatures w14:val="none"/>
        </w:rPr>
        <w:t xml:space="preserve"> </w:t>
      </w:r>
      <w:r w:rsidR="00111D84">
        <w:rPr>
          <w:rFonts w:ascii="Book Antiqua" w:eastAsia="Times New Roman" w:hAnsi="Book Antiqua" w:cs="Times New Roman"/>
          <w:b/>
          <w:bCs/>
          <w:color w:val="FF0000"/>
          <w:sz w:val="16"/>
          <w:szCs w:val="16"/>
          <w:u w:val="single"/>
          <w:lang w:eastAsia="pt-BR"/>
        </w:rPr>
        <w:t>(TRT9-2012)</w:t>
      </w:r>
      <w:r w:rsidRPr="00422FB0">
        <w:rPr>
          <w:rFonts w:ascii="Book Antiqua" w:eastAsia="Times New Roman" w:hAnsi="Book Antiqua" w:cs="Arial"/>
          <w:b/>
          <w:bCs/>
          <w:color w:val="000000"/>
          <w:kern w:val="0"/>
          <w:sz w:val="19"/>
          <w:szCs w:val="19"/>
          <w:lang w:eastAsia="pt-BR"/>
          <w14:ligatures w14:val="none"/>
        </w:rPr>
        <w:t xml:space="preserve"> </w:t>
      </w:r>
      <w:r w:rsidRPr="00422FB0">
        <w:rPr>
          <w:rFonts w:ascii="Book Antiqua" w:eastAsia="Times New Roman" w:hAnsi="Book Antiqua" w:cs="Times New Roman"/>
          <w:b/>
          <w:bCs/>
          <w:color w:val="FF0000"/>
          <w:sz w:val="16"/>
          <w:szCs w:val="16"/>
          <w:u w:val="single"/>
          <w:lang w:eastAsia="pt-BR"/>
        </w:rPr>
        <w:t>(MPT-2020)</w:t>
      </w:r>
    </w:p>
    <w:p w14:paraId="15AB833E" w14:textId="6BC25835"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b/>
          <w:bCs/>
          <w:color w:val="000000"/>
          <w:kern w:val="0"/>
          <w:sz w:val="19"/>
          <w:szCs w:val="19"/>
          <w:lang w:eastAsia="pt-BR"/>
          <w14:ligatures w14:val="none"/>
        </w:rPr>
        <w:lastRenderedPageBreak/>
        <w:t>e) a ausência do trabalho durante a licença-maternidade.</w:t>
      </w:r>
      <w:r w:rsidR="00111D84">
        <w:rPr>
          <w:rFonts w:ascii="Book Antiqua" w:eastAsia="Times New Roman" w:hAnsi="Book Antiqua" w:cs="Arial"/>
          <w:b/>
          <w:bCs/>
          <w:color w:val="000000"/>
          <w:kern w:val="0"/>
          <w:sz w:val="19"/>
          <w:szCs w:val="19"/>
          <w:lang w:eastAsia="pt-BR"/>
          <w14:ligatures w14:val="none"/>
        </w:rPr>
        <w:t xml:space="preserve"> </w:t>
      </w:r>
      <w:r w:rsidR="00111D84">
        <w:rPr>
          <w:rFonts w:ascii="Book Antiqua" w:eastAsia="Times New Roman" w:hAnsi="Book Antiqua" w:cs="Times New Roman"/>
          <w:b/>
          <w:bCs/>
          <w:color w:val="FF0000"/>
          <w:sz w:val="16"/>
          <w:szCs w:val="16"/>
          <w:u w:val="single"/>
          <w:lang w:eastAsia="pt-BR"/>
        </w:rPr>
        <w:t>(TRT9-2012)</w:t>
      </w:r>
      <w:r w:rsidRPr="00422FB0">
        <w:rPr>
          <w:rFonts w:ascii="Book Antiqua" w:eastAsia="Times New Roman" w:hAnsi="Book Antiqua" w:cs="Arial"/>
          <w:b/>
          <w:bCs/>
          <w:color w:val="000000"/>
          <w:kern w:val="0"/>
          <w:sz w:val="19"/>
          <w:szCs w:val="19"/>
          <w:lang w:eastAsia="pt-BR"/>
          <w14:ligatures w14:val="none"/>
        </w:rPr>
        <w:t xml:space="preserve"> </w:t>
      </w:r>
      <w:r w:rsidRPr="00422FB0">
        <w:rPr>
          <w:rFonts w:ascii="Book Antiqua" w:eastAsia="Times New Roman" w:hAnsi="Book Antiqua" w:cs="Times New Roman"/>
          <w:b/>
          <w:bCs/>
          <w:color w:val="FF0000"/>
          <w:sz w:val="16"/>
          <w:szCs w:val="16"/>
          <w:u w:val="single"/>
          <w:lang w:eastAsia="pt-BR"/>
        </w:rPr>
        <w:t>(MPT-2020)</w:t>
      </w:r>
    </w:p>
    <w:p w14:paraId="6FD69DEA"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6</w:t>
      </w:r>
    </w:p>
    <w:p w14:paraId="1775034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A ausência </w:t>
      </w:r>
      <w:proofErr w:type="spellStart"/>
      <w:r w:rsidRPr="00422FB0">
        <w:rPr>
          <w:rFonts w:ascii="Book Antiqua" w:eastAsia="Times New Roman" w:hAnsi="Book Antiqua" w:cs="Arial"/>
          <w:color w:val="000000"/>
          <w:kern w:val="0"/>
          <w:sz w:val="19"/>
          <w:szCs w:val="19"/>
          <w:lang w:eastAsia="pt-BR"/>
          <w14:ligatures w14:val="none"/>
        </w:rPr>
        <w:t>temporar</w:t>
      </w:r>
      <w:proofErr w:type="spellEnd"/>
      <w:r w:rsidRPr="00422FB0">
        <w:rPr>
          <w:rFonts w:ascii="Book Antiqua" w:eastAsia="Times New Roman" w:hAnsi="Book Antiqua" w:cs="Arial"/>
          <w:color w:val="000000"/>
          <w:kern w:val="0"/>
          <w:sz w:val="19"/>
          <w:szCs w:val="19"/>
          <w:lang w:eastAsia="pt-BR"/>
          <w14:ligatures w14:val="none"/>
        </w:rPr>
        <w:t xml:space="preserve"> do trabalho por motivo de doença ou lesão não deverá constituir causa justificada de término da relação de trabalho.</w:t>
      </w:r>
    </w:p>
    <w:p w14:paraId="7F0BC2EF"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A definição do que constitui uma ausência temporal do trabalho, a medida na qual será </w:t>
      </w:r>
      <w:proofErr w:type="gramStart"/>
      <w:r w:rsidRPr="00422FB0">
        <w:rPr>
          <w:rFonts w:ascii="Book Antiqua" w:eastAsia="Times New Roman" w:hAnsi="Book Antiqua" w:cs="Arial"/>
          <w:color w:val="000000"/>
          <w:kern w:val="0"/>
          <w:sz w:val="19"/>
          <w:szCs w:val="19"/>
          <w:lang w:eastAsia="pt-BR"/>
          <w14:ligatures w14:val="none"/>
        </w:rPr>
        <w:t>exigido</w:t>
      </w:r>
      <w:proofErr w:type="gramEnd"/>
      <w:r w:rsidRPr="00422FB0">
        <w:rPr>
          <w:rFonts w:ascii="Book Antiqua" w:eastAsia="Times New Roman" w:hAnsi="Book Antiqua" w:cs="Arial"/>
          <w:color w:val="000000"/>
          <w:kern w:val="0"/>
          <w:sz w:val="19"/>
          <w:szCs w:val="19"/>
          <w:lang w:eastAsia="pt-BR"/>
          <w14:ligatures w14:val="none"/>
        </w:rPr>
        <w:t xml:space="preserve"> um certificado médico e as possíveis limitações à aplicação do parágrafo 1 do presente artigo serão determinadas em conformidade com os métodos de aplicação mencionados no artigo 1 da presente Convenção.</w:t>
      </w:r>
    </w:p>
    <w:p w14:paraId="01424C9B"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SEÇÃO B</w:t>
      </w:r>
    </w:p>
    <w:p w14:paraId="67817A7F"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Procedimentos Prévios ao Término por Ocasião do Mesmo</w:t>
      </w:r>
    </w:p>
    <w:p w14:paraId="6D455013"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7</w:t>
      </w:r>
    </w:p>
    <w:p w14:paraId="171DCA76"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Não deverá ser terminada a relação de trabalho de um trabalhador por motivos relacionados com seu comportamento ou seu desempenho antes de se dar ao mesmo a possibilidade de se defender das acusações feitas contra ele, a menos que não seja possível pedir ao empregador, razoavelmente, que lhe conceda essa possibilidade.</w:t>
      </w:r>
    </w:p>
    <w:p w14:paraId="6CECD786"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SEÇÃO C</w:t>
      </w:r>
    </w:p>
    <w:p w14:paraId="55151488"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Recurso Contra o Término</w:t>
      </w:r>
    </w:p>
    <w:p w14:paraId="24C19221"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1. O trabalhador que considerar injustificado o término de sua relação de trabalho terá o direito de recorrer contra o mesmo perante </w:t>
      </w:r>
      <w:proofErr w:type="gramStart"/>
      <w:r w:rsidRPr="00422FB0">
        <w:rPr>
          <w:rFonts w:ascii="Book Antiqua" w:eastAsia="Times New Roman" w:hAnsi="Book Antiqua" w:cs="Arial"/>
          <w:color w:val="000000"/>
          <w:kern w:val="0"/>
          <w:sz w:val="19"/>
          <w:szCs w:val="19"/>
          <w:lang w:eastAsia="pt-BR"/>
          <w14:ligatures w14:val="none"/>
        </w:rPr>
        <w:t>uma organismo neutro</w:t>
      </w:r>
      <w:proofErr w:type="gramEnd"/>
      <w:r w:rsidRPr="00422FB0">
        <w:rPr>
          <w:rFonts w:ascii="Book Antiqua" w:eastAsia="Times New Roman" w:hAnsi="Book Antiqua" w:cs="Arial"/>
          <w:color w:val="000000"/>
          <w:kern w:val="0"/>
          <w:sz w:val="19"/>
          <w:szCs w:val="19"/>
          <w:lang w:eastAsia="pt-BR"/>
          <w14:ligatures w14:val="none"/>
        </w:rPr>
        <w:t xml:space="preserve">, como, por exemplo, um tribunal, um tribunal do trabalho, uma junta de arbitragem ou um </w:t>
      </w:r>
      <w:proofErr w:type="spellStart"/>
      <w:r w:rsidRPr="00422FB0">
        <w:rPr>
          <w:rFonts w:ascii="Book Antiqua" w:eastAsia="Times New Roman" w:hAnsi="Book Antiqua" w:cs="Arial"/>
          <w:color w:val="000000"/>
          <w:kern w:val="0"/>
          <w:sz w:val="19"/>
          <w:szCs w:val="19"/>
          <w:lang w:eastAsia="pt-BR"/>
          <w14:ligatures w14:val="none"/>
        </w:rPr>
        <w:t>árbirto</w:t>
      </w:r>
      <w:proofErr w:type="spellEnd"/>
      <w:r w:rsidRPr="00422FB0">
        <w:rPr>
          <w:rFonts w:ascii="Book Antiqua" w:eastAsia="Times New Roman" w:hAnsi="Book Antiqua" w:cs="Arial"/>
          <w:color w:val="000000"/>
          <w:kern w:val="0"/>
          <w:sz w:val="19"/>
          <w:szCs w:val="19"/>
          <w:lang w:eastAsia="pt-BR"/>
          <w14:ligatures w14:val="none"/>
        </w:rPr>
        <w:t>.</w:t>
      </w:r>
    </w:p>
    <w:p w14:paraId="310FC4F8"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2. Se uma autoridade competente tiver autorizado o término, a aplicação do parágrafo 1 do presente artigo poderá variar em conformidade com a legislação e a prática nacionais.</w:t>
      </w:r>
    </w:p>
    <w:p w14:paraId="450434C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3. Poder-se-á considerar que o trabalhador renunciou a seu direito de recorrer contra o término de sua relação de trabalho se não tiver exercido tal direito dentro de um prazo razoável após o término.</w:t>
      </w:r>
    </w:p>
    <w:p w14:paraId="4D69E2ED"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9</w:t>
      </w:r>
    </w:p>
    <w:p w14:paraId="72338B1E"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1. Os organismos mencionados no artigo 8 da presente Convenção estarão habilitados para examinarem as causas alegadas para justificar o término da relação de trabalho e todas as demais circunstâncias relacionadas com o caso, e para se pronunciar sobre o término ser ou não justificado.</w:t>
      </w:r>
    </w:p>
    <w:p w14:paraId="3E6CE2C1"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2. A fim do trabalhador não estar obrigado a assumir por si só o peso da prova de que seu término foi injustificado, os métodos de aplicação mencionados no artigo 1 da presente Convenção deverão prever uma ou outra das seguintes possibilidades, ou ambas:</w:t>
      </w:r>
    </w:p>
    <w:p w14:paraId="7243CC78"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 caberá ao empregador o peso da prova da existência de uma causa justificada para o término, tal como foi definido no artigo 4 da presente Convenção;</w:t>
      </w:r>
    </w:p>
    <w:p w14:paraId="2E0806F0"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b) os organismos mencionados no artigo 8 da presente Convenção estarão habilitados para decidir acerca das causas alegadas para justificar o término, levando em conta as provas apresentadas pelas partes e em conformidade com os procedimentos estabelecidos pela legislação e a prática nacionais.</w:t>
      </w:r>
    </w:p>
    <w:p w14:paraId="04FEFC0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3. Nos casos em que forem alegadas, para o término da relação de trabalho, razões baseadas em necessidades de funcionamento da empresa, estabelecimento ou serviço, os organismos mencionados </w:t>
      </w:r>
      <w:r w:rsidRPr="00422FB0">
        <w:rPr>
          <w:rFonts w:ascii="Book Antiqua" w:eastAsia="Times New Roman" w:hAnsi="Book Antiqua" w:cs="Arial"/>
          <w:color w:val="000000"/>
          <w:kern w:val="0"/>
          <w:sz w:val="19"/>
          <w:szCs w:val="19"/>
          <w:lang w:eastAsia="pt-BR"/>
          <w14:ligatures w14:val="none"/>
        </w:rPr>
        <w:lastRenderedPageBreak/>
        <w:t>no artigo 8 da presente Convenção estarão habilitados para verificar se o término foi devido realmente a essas razões, mas a medida em que esses organismos estarão habilitados também para decidirem se tais razões seriam suficientes para justificar o término deverá ser determinada pelos métodos de aplicação mencionados no artigo 1 desta Convenção.</w:t>
      </w:r>
    </w:p>
    <w:p w14:paraId="45178663"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10</w:t>
      </w:r>
    </w:p>
    <w:p w14:paraId="328B68BF"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Se os organismos mencionados no artigo 8 da presente Convenção chegarem à conclusão de que o término da relação de trabalho é justificado e se, em virtude da legislação e prática nacionais, esses organismos não estiverem habilitados ou não considerarem </w:t>
      </w:r>
      <w:proofErr w:type="gramStart"/>
      <w:r w:rsidRPr="00422FB0">
        <w:rPr>
          <w:rFonts w:ascii="Book Antiqua" w:eastAsia="Times New Roman" w:hAnsi="Book Antiqua" w:cs="Arial"/>
          <w:color w:val="000000"/>
          <w:kern w:val="0"/>
          <w:sz w:val="19"/>
          <w:szCs w:val="19"/>
          <w:lang w:eastAsia="pt-BR"/>
          <w14:ligatures w14:val="none"/>
        </w:rPr>
        <w:t>possível</w:t>
      </w:r>
      <w:proofErr w:type="gramEnd"/>
      <w:r w:rsidRPr="00422FB0">
        <w:rPr>
          <w:rFonts w:ascii="Book Antiqua" w:eastAsia="Times New Roman" w:hAnsi="Book Antiqua" w:cs="Arial"/>
          <w:color w:val="000000"/>
          <w:kern w:val="0"/>
          <w:sz w:val="19"/>
          <w:szCs w:val="19"/>
          <w:lang w:eastAsia="pt-BR"/>
          <w14:ligatures w14:val="none"/>
        </w:rPr>
        <w:t>, devido às circunstâncias, anular o término e, eventualmente, ordenar ou propor a readmissão do trabalhador, terão a faculdade de ordenar o pagamento de uma indenização adequada ou outra reparação que for considerada apropriada.</w:t>
      </w:r>
    </w:p>
    <w:p w14:paraId="293E26A1"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SEÇÃO D</w:t>
      </w:r>
    </w:p>
    <w:p w14:paraId="505CADA7"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Prazo de Aviso Prévio</w:t>
      </w:r>
    </w:p>
    <w:p w14:paraId="0E7EBE3B"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11</w:t>
      </w:r>
    </w:p>
    <w:p w14:paraId="2F5499C1"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O trabalhador cuja relação de trabalho estiver para ser dada por terminada terá direito a um prazo de aviso prévio razoável ou, em lugar disso, a </w:t>
      </w:r>
      <w:proofErr w:type="gramStart"/>
      <w:r w:rsidRPr="00422FB0">
        <w:rPr>
          <w:rFonts w:ascii="Book Antiqua" w:eastAsia="Times New Roman" w:hAnsi="Book Antiqua" w:cs="Arial"/>
          <w:color w:val="000000"/>
          <w:kern w:val="0"/>
          <w:sz w:val="19"/>
          <w:szCs w:val="19"/>
          <w:lang w:eastAsia="pt-BR"/>
          <w14:ligatures w14:val="none"/>
        </w:rPr>
        <w:t>um indenização</w:t>
      </w:r>
      <w:proofErr w:type="gramEnd"/>
      <w:r w:rsidRPr="00422FB0">
        <w:rPr>
          <w:rFonts w:ascii="Book Antiqua" w:eastAsia="Times New Roman" w:hAnsi="Book Antiqua" w:cs="Arial"/>
          <w:color w:val="000000"/>
          <w:kern w:val="0"/>
          <w:sz w:val="19"/>
          <w:szCs w:val="19"/>
          <w:lang w:eastAsia="pt-BR"/>
          <w14:ligatures w14:val="none"/>
        </w:rPr>
        <w:t>, a não ser que o mesmo seja culpado de uma falta grave de tal natureza que seria irrazoável pedir ao empregador que continuasse a empregá-lo durante o prazo do aviso prévio.</w:t>
      </w:r>
    </w:p>
    <w:p w14:paraId="5B9B3D0E"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SEÇÃO E</w:t>
      </w:r>
    </w:p>
    <w:p w14:paraId="6D8227E9"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Indenização por Término de Serviços e Outras Medidas</w:t>
      </w:r>
    </w:p>
    <w:p w14:paraId="35421014"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De Proteção dos Rendimentos</w:t>
      </w:r>
    </w:p>
    <w:p w14:paraId="426FA19D"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12</w:t>
      </w:r>
    </w:p>
    <w:p w14:paraId="4F97CF6A"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1. Em conformidade com a legislação e a prática nacionais, todo trabalhador cuja relação de trabalho tiver sido terminada terá direito:</w:t>
      </w:r>
    </w:p>
    <w:p w14:paraId="0DFCE503"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 a uma indenização por término de serviços ou a outras compensações análogas, cuja importância será fixada em função, entre diretamente pelo empregador ou por um fundo constituído através de cotizações dos empregados; ou</w:t>
      </w:r>
    </w:p>
    <w:p w14:paraId="39EA4CDA"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b) a benefícios do seguro desemprego, de um sistema de assistência aos desempregados ou de outras formas de previdência social, tais como benefícios por velhice ou por invalidez, sob as condições normais às quais esses benefícios estão sujeitos; ou</w:t>
      </w:r>
    </w:p>
    <w:p w14:paraId="6C9319D7"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 a uma combinação de tais indenizações ou benefícios.</w:t>
      </w:r>
    </w:p>
    <w:p w14:paraId="6253345B"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1. Quando o trabalhador não reunir as condições de qualificação para ter direito aos benefícios de um seguro desemprego ou de assistência aos desempregados em virtude de um sistema de alcance geral, não será exigível o pagamento das indenizações ou benefícios mencionados no parágrafo 1, item a), do presente artigo, pelo único fato do trabalhador não receber benefício de desemprego em virtude do item b) do parágrafo mencionado.</w:t>
      </w:r>
    </w:p>
    <w:p w14:paraId="2D0C6C97"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2. No caso de término devido </w:t>
      </w:r>
      <w:proofErr w:type="spellStart"/>
      <w:r w:rsidRPr="00422FB0">
        <w:rPr>
          <w:rFonts w:ascii="Book Antiqua" w:eastAsia="Times New Roman" w:hAnsi="Book Antiqua" w:cs="Arial"/>
          <w:color w:val="000000"/>
          <w:kern w:val="0"/>
          <w:sz w:val="19"/>
          <w:szCs w:val="19"/>
          <w:lang w:eastAsia="pt-BR"/>
          <w14:ligatures w14:val="none"/>
        </w:rPr>
        <w:t>a</w:t>
      </w:r>
      <w:proofErr w:type="spellEnd"/>
      <w:r w:rsidRPr="00422FB0">
        <w:rPr>
          <w:rFonts w:ascii="Book Antiqua" w:eastAsia="Times New Roman" w:hAnsi="Book Antiqua" w:cs="Arial"/>
          <w:color w:val="000000"/>
          <w:kern w:val="0"/>
          <w:sz w:val="19"/>
          <w:szCs w:val="19"/>
          <w:lang w:eastAsia="pt-BR"/>
          <w14:ligatures w14:val="none"/>
        </w:rPr>
        <w:t xml:space="preserve"> falta grave, poder-se-á prever a perda do direito a desfrutar das indenizações ou benefícios mencionados no parágrafo 1, item a), do presente artigo pelos métodos de aplicação mencionados no artigo 1 da presente Convenção.</w:t>
      </w:r>
    </w:p>
    <w:p w14:paraId="50AE950D" w14:textId="77777777" w:rsidR="00422FB0" w:rsidRPr="00422FB0" w:rsidRDefault="00422FB0" w:rsidP="00422FB0">
      <w:pPr>
        <w:spacing w:before="100" w:beforeAutospacing="1" w:after="100" w:afterAutospacing="1" w:line="240" w:lineRule="auto"/>
        <w:ind w:firstLine="450"/>
        <w:jc w:val="center"/>
        <w:outlineLvl w:val="2"/>
        <w:rPr>
          <w:rFonts w:ascii="Book Antiqua" w:eastAsia="Times New Roman" w:hAnsi="Book Antiqua" w:cs="Arial"/>
          <w:b/>
          <w:bCs/>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PARTE III</w:t>
      </w:r>
    </w:p>
    <w:p w14:paraId="5498F667"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lastRenderedPageBreak/>
        <w:t>    Disposições Complementares sobre o Término da Relação de Trabalho por Motivos Econômicos, Tecnológicos Estruturais ou Análogos</w:t>
      </w:r>
    </w:p>
    <w:p w14:paraId="0B31AFBA"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SEÇÃO A</w:t>
      </w:r>
    </w:p>
    <w:p w14:paraId="0C2F320A"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Consulta aos Representantes dos Trabalhadores</w:t>
      </w:r>
    </w:p>
    <w:p w14:paraId="099F5758"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13</w:t>
      </w:r>
    </w:p>
    <w:p w14:paraId="40E676CD"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1. Quando o empregador prever términos da relação de trabalho por motivos econômicos, tecnológicos, estruturais ou análogos;</w:t>
      </w:r>
    </w:p>
    <w:p w14:paraId="64687A46"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 Proporcionará aos representantes dos trabalhadores interessados, em tempo oportuno, a informação pertinente, incluindo os motivos dos términos previstos, o número e categorias dos trabalhadores que poderiam ser afetados pelos menos e o período durante o qual seriam efetuados esses términos:</w:t>
      </w:r>
    </w:p>
    <w:p w14:paraId="1727CD8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b) em conformidade com a legislação e a prática nacionais, oferecerá aos representantes dos trabalhadores interessados, o mais breve que for possível, uma oportunidade para realizarem consultas sobre as medidas que deverão ser adotadas para evitar ou limitar os términos e as medidas para atenuar as </w:t>
      </w:r>
      <w:proofErr w:type="spellStart"/>
      <w:r w:rsidRPr="00422FB0">
        <w:rPr>
          <w:rFonts w:ascii="Book Antiqua" w:eastAsia="Times New Roman" w:hAnsi="Book Antiqua" w:cs="Arial"/>
          <w:color w:val="000000"/>
          <w:kern w:val="0"/>
          <w:sz w:val="19"/>
          <w:szCs w:val="19"/>
          <w:lang w:eastAsia="pt-BR"/>
          <w14:ligatures w14:val="none"/>
        </w:rPr>
        <w:t>conseqüências</w:t>
      </w:r>
      <w:proofErr w:type="spellEnd"/>
      <w:r w:rsidRPr="00422FB0">
        <w:rPr>
          <w:rFonts w:ascii="Book Antiqua" w:eastAsia="Times New Roman" w:hAnsi="Book Antiqua" w:cs="Arial"/>
          <w:color w:val="000000"/>
          <w:kern w:val="0"/>
          <w:sz w:val="19"/>
          <w:szCs w:val="19"/>
          <w:lang w:eastAsia="pt-BR"/>
          <w14:ligatures w14:val="none"/>
        </w:rPr>
        <w:t xml:space="preserve"> adversas de todos os términos para os trabalhadores interessados, o mais breve que possível, uma oportunidade para realizarem consultas sobre as medidas que deverão ser adotados para evitar ou limitar os términos e as medidas para atenuar as </w:t>
      </w:r>
      <w:proofErr w:type="spellStart"/>
      <w:r w:rsidRPr="00422FB0">
        <w:rPr>
          <w:rFonts w:ascii="Book Antiqua" w:eastAsia="Times New Roman" w:hAnsi="Book Antiqua" w:cs="Arial"/>
          <w:color w:val="000000"/>
          <w:kern w:val="0"/>
          <w:sz w:val="19"/>
          <w:szCs w:val="19"/>
          <w:lang w:eastAsia="pt-BR"/>
          <w14:ligatures w14:val="none"/>
        </w:rPr>
        <w:t>conseqüências</w:t>
      </w:r>
      <w:proofErr w:type="spellEnd"/>
      <w:r w:rsidRPr="00422FB0">
        <w:rPr>
          <w:rFonts w:ascii="Book Antiqua" w:eastAsia="Times New Roman" w:hAnsi="Book Antiqua" w:cs="Arial"/>
          <w:color w:val="000000"/>
          <w:kern w:val="0"/>
          <w:sz w:val="19"/>
          <w:szCs w:val="19"/>
          <w:lang w:eastAsia="pt-BR"/>
          <w14:ligatures w14:val="none"/>
        </w:rPr>
        <w:t xml:space="preserve"> adversas de todos os términos para os trabalhadores afetados, por exemplo, achando novos empregos para os mesmos.</w:t>
      </w:r>
    </w:p>
    <w:p w14:paraId="6D04CF24"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2. A aplicação do parágrafo 1 do presente artigo poderá ser limitada, mediante os métodos de aplicação mencionados no artigo 1 da presente Convenção, àqueles casos em que o número de trabalhadores, cuja relação de trabalho tiver previsão de ser terminada, for pelo menos igual a uma cifra ou uma </w:t>
      </w:r>
      <w:proofErr w:type="gramStart"/>
      <w:r w:rsidRPr="00422FB0">
        <w:rPr>
          <w:rFonts w:ascii="Book Antiqua" w:eastAsia="Times New Roman" w:hAnsi="Book Antiqua" w:cs="Arial"/>
          <w:color w:val="000000"/>
          <w:kern w:val="0"/>
          <w:sz w:val="19"/>
          <w:szCs w:val="19"/>
          <w:lang w:eastAsia="pt-BR"/>
          <w14:ligatures w14:val="none"/>
        </w:rPr>
        <w:t>porcentagem determinadas</w:t>
      </w:r>
      <w:proofErr w:type="gramEnd"/>
      <w:r w:rsidRPr="00422FB0">
        <w:rPr>
          <w:rFonts w:ascii="Book Antiqua" w:eastAsia="Times New Roman" w:hAnsi="Book Antiqua" w:cs="Arial"/>
          <w:color w:val="000000"/>
          <w:kern w:val="0"/>
          <w:sz w:val="19"/>
          <w:szCs w:val="19"/>
          <w:lang w:eastAsia="pt-BR"/>
          <w14:ligatures w14:val="none"/>
        </w:rPr>
        <w:t xml:space="preserve"> do total do pessoal.</w:t>
      </w:r>
    </w:p>
    <w:p w14:paraId="6C8B9821"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3. Para efeitos do presente artigo, a expressão "representantes dos trabalhadores interessados" aplica-se aos representantes dos trabalhadores reconhecidos como tais pela legislação ou a </w:t>
      </w:r>
      <w:proofErr w:type="gramStart"/>
      <w:r w:rsidRPr="00422FB0">
        <w:rPr>
          <w:rFonts w:ascii="Book Antiqua" w:eastAsia="Times New Roman" w:hAnsi="Book Antiqua" w:cs="Arial"/>
          <w:color w:val="000000"/>
          <w:kern w:val="0"/>
          <w:sz w:val="19"/>
          <w:szCs w:val="19"/>
          <w:lang w:eastAsia="pt-BR"/>
          <w14:ligatures w14:val="none"/>
        </w:rPr>
        <w:t>prática nacionais</w:t>
      </w:r>
      <w:proofErr w:type="gramEnd"/>
      <w:r w:rsidRPr="00422FB0">
        <w:rPr>
          <w:rFonts w:ascii="Book Antiqua" w:eastAsia="Times New Roman" w:hAnsi="Book Antiqua" w:cs="Arial"/>
          <w:color w:val="000000"/>
          <w:kern w:val="0"/>
          <w:sz w:val="19"/>
          <w:szCs w:val="19"/>
          <w:lang w:eastAsia="pt-BR"/>
          <w14:ligatures w14:val="none"/>
        </w:rPr>
        <w:t>, em conformidade com a Convenção sobre os Representantes dos Trabalhadores, em 1971.</w:t>
      </w:r>
    </w:p>
    <w:p w14:paraId="42581429"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SEÇÃO B</w:t>
      </w:r>
    </w:p>
    <w:p w14:paraId="480A5192"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Notificação à Autoridade Competente</w:t>
      </w:r>
    </w:p>
    <w:p w14:paraId="4EE81E5D"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14</w:t>
      </w:r>
    </w:p>
    <w:p w14:paraId="39E1A4D6"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1. Em conformidade com a legislação e a prática nacionais, o empregador que prever términos por motivos econômicos, tecnológicos, estruturais ou análogos, deverá notificá-los o mais breve possível à autoridade competente, comunicando-lhe a informação pertinente incluindo uma exposição, por escrito, dos motivos dos términos previstos, o número e as categorias dos trabalhadores que poderiam ser afetados e o período durante o qual serão efetuados esses términos.</w:t>
      </w:r>
    </w:p>
    <w:p w14:paraId="207D716C"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2. A legislação nacional poderá limitar a aplicabilidade do parágrafo 1 do presente artigo àqueles casos nos quais o número de trabalhadores, cuja relação de trabalho tiver previsão de ser terminada, for pelo igual a uma cifra ou uma </w:t>
      </w:r>
      <w:proofErr w:type="gramStart"/>
      <w:r w:rsidRPr="00422FB0">
        <w:rPr>
          <w:rFonts w:ascii="Book Antiqua" w:eastAsia="Times New Roman" w:hAnsi="Book Antiqua" w:cs="Arial"/>
          <w:color w:val="000000"/>
          <w:kern w:val="0"/>
          <w:sz w:val="19"/>
          <w:szCs w:val="19"/>
          <w:lang w:eastAsia="pt-BR"/>
          <w14:ligatures w14:val="none"/>
        </w:rPr>
        <w:t>porcentagem determinadas</w:t>
      </w:r>
      <w:proofErr w:type="gramEnd"/>
      <w:r w:rsidRPr="00422FB0">
        <w:rPr>
          <w:rFonts w:ascii="Book Antiqua" w:eastAsia="Times New Roman" w:hAnsi="Book Antiqua" w:cs="Arial"/>
          <w:color w:val="000000"/>
          <w:kern w:val="0"/>
          <w:sz w:val="19"/>
          <w:szCs w:val="19"/>
          <w:lang w:eastAsia="pt-BR"/>
          <w14:ligatures w14:val="none"/>
        </w:rPr>
        <w:t xml:space="preserve"> do total do pessoal.</w:t>
      </w:r>
    </w:p>
    <w:p w14:paraId="0775013F"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3. O empregador notificará às autoridades competentes os términos referidos no parágrafo 1 do presente artigo com um prazo mínimo de antecedência da data em que seriam efetuados os términos, prazo que será especificado pela legislação nacional.</w:t>
      </w:r>
    </w:p>
    <w:p w14:paraId="2EBD8C87"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PARTE IV</w:t>
      </w:r>
    </w:p>
    <w:p w14:paraId="38C4EB30"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lastRenderedPageBreak/>
        <w:t>Disposições Finais</w:t>
      </w:r>
    </w:p>
    <w:p w14:paraId="757F6999"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15</w:t>
      </w:r>
    </w:p>
    <w:p w14:paraId="340318A1"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As ratificações formais da presente Convenção serão comunicadas, para serem registradas, ao Diretor da Repartição Internacional do Trabalho.</w:t>
      </w:r>
    </w:p>
    <w:p w14:paraId="75D4B0AD"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16</w:t>
      </w:r>
    </w:p>
    <w:p w14:paraId="7B8AD508"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1. Esta Convenção obrigará exclusivamente àqueles Membros da Organização Internacional do Trabalho cujas ratificações tiverem sido registradas pelo Diretor-Geral.</w:t>
      </w:r>
    </w:p>
    <w:p w14:paraId="181B7B3C"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2. Entrará em vigor 12 (doze) meses após a data em que as ratificações de 2 (dois) Membros tiverem sido registradas pelo Diretor-Geral.</w:t>
      </w:r>
    </w:p>
    <w:p w14:paraId="715372DA"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3. A partir desse momento, esta Convenção entrará em vigor, para cada Membro, 12 (doze) meses após a data em que sua ratificação tiver sido registrada.</w:t>
      </w:r>
    </w:p>
    <w:p w14:paraId="296A0F08"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17</w:t>
      </w:r>
    </w:p>
    <w:p w14:paraId="64CF66DE"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1. Todo Membro que tiver ratificado a presente Convenção poderá denunciá-lo no fim de um período de 10 (dez) anos, a partir da data da entrada em vigor inicial, mediante um ato comunicado, para ser registrado, ao Diretor-Geral da Repartição Internacional do Trabalho. A denúncia tornar-se-á efetiva somente 1 (um) ano após a data de seu registro.</w:t>
      </w:r>
    </w:p>
    <w:p w14:paraId="03AA3F00"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2. Ao notificar aos Membros da Organização o registro da segunda ratificação que lhe tiver sido comunicada, o Diretor-Geral fará notar aos Membros da Organização a data em que a presente Convenção entrará em vigor.</w:t>
      </w:r>
    </w:p>
    <w:p w14:paraId="353F8924"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19</w:t>
      </w:r>
    </w:p>
    <w:p w14:paraId="617CEF03"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O Diretor-Geral da Repartição Internacional do Trabalho comunicará ao Secretário-Geral das Nações Unidas, para efeitos do registro e em conformidade com o artigo 102 da Carta das Nações Unidas, uma informação completa sobre todas as ratificações, declarações e atos de denúncia que tiver registrado, de acordo com os artigos precedentes.</w:t>
      </w:r>
    </w:p>
    <w:p w14:paraId="10EA2421"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20</w:t>
      </w:r>
    </w:p>
    <w:p w14:paraId="0178B7E5"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Cada vez que o considerar necessário, o Conselho de Administração da Repartição Internacional do Trabalho apresentará à Conferência um relatório sobre a aplicação da Convenção e considerará a conveniência de se incluir, na agenda da Conferência, a questão de sua revisão total ou parcial.</w:t>
      </w:r>
    </w:p>
    <w:p w14:paraId="0F337E9F"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Artigo 21</w:t>
      </w:r>
    </w:p>
    <w:p w14:paraId="458D569B"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xml:space="preserve">1. No caso </w:t>
      </w:r>
      <w:proofErr w:type="gramStart"/>
      <w:r w:rsidRPr="00422FB0">
        <w:rPr>
          <w:rFonts w:ascii="Book Antiqua" w:eastAsia="Times New Roman" w:hAnsi="Book Antiqua" w:cs="Arial"/>
          <w:color w:val="000000"/>
          <w:kern w:val="0"/>
          <w:sz w:val="19"/>
          <w:szCs w:val="19"/>
          <w:lang w:eastAsia="pt-BR"/>
          <w14:ligatures w14:val="none"/>
        </w:rPr>
        <w:t>da</w:t>
      </w:r>
      <w:proofErr w:type="gramEnd"/>
      <w:r w:rsidRPr="00422FB0">
        <w:rPr>
          <w:rFonts w:ascii="Book Antiqua" w:eastAsia="Times New Roman" w:hAnsi="Book Antiqua" w:cs="Arial"/>
          <w:color w:val="000000"/>
          <w:kern w:val="0"/>
          <w:sz w:val="19"/>
          <w:szCs w:val="19"/>
          <w:lang w:eastAsia="pt-BR"/>
          <w14:ligatures w14:val="none"/>
        </w:rPr>
        <w:t xml:space="preserve"> Conferência adotar uma nova Convenção que implique uma revisão total ou parcial do presente, e a não ser a nova Convenção contenha disposições em contrário:</w:t>
      </w:r>
    </w:p>
    <w:p w14:paraId="5A404A2B"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 ratificação, por um Membro, da nova Convenção revista implicará, </w:t>
      </w:r>
      <w:r w:rsidRPr="00422FB0">
        <w:rPr>
          <w:rFonts w:ascii="Book Antiqua" w:eastAsia="Times New Roman" w:hAnsi="Book Antiqua" w:cs="Arial"/>
          <w:color w:val="000000"/>
          <w:kern w:val="0"/>
          <w:sz w:val="19"/>
          <w:szCs w:val="19"/>
          <w:u w:val="single"/>
          <w:lang w:eastAsia="pt-BR"/>
          <w14:ligatures w14:val="none"/>
        </w:rPr>
        <w:t xml:space="preserve">ipso </w:t>
      </w:r>
      <w:proofErr w:type="gramStart"/>
      <w:r w:rsidRPr="00422FB0">
        <w:rPr>
          <w:rFonts w:ascii="Book Antiqua" w:eastAsia="Times New Roman" w:hAnsi="Book Antiqua" w:cs="Arial"/>
          <w:color w:val="000000"/>
          <w:kern w:val="0"/>
          <w:sz w:val="19"/>
          <w:szCs w:val="19"/>
          <w:u w:val="single"/>
          <w:lang w:eastAsia="pt-BR"/>
          <w14:ligatures w14:val="none"/>
        </w:rPr>
        <w:t>jure </w:t>
      </w:r>
      <w:r w:rsidRPr="00422FB0">
        <w:rPr>
          <w:rFonts w:ascii="Book Antiqua" w:eastAsia="Times New Roman" w:hAnsi="Book Antiqua" w:cs="Arial"/>
          <w:color w:val="000000"/>
          <w:kern w:val="0"/>
          <w:sz w:val="19"/>
          <w:szCs w:val="19"/>
          <w:lang w:eastAsia="pt-BR"/>
          <w14:ligatures w14:val="none"/>
        </w:rPr>
        <w:t>,</w:t>
      </w:r>
      <w:proofErr w:type="gramEnd"/>
      <w:r w:rsidRPr="00422FB0">
        <w:rPr>
          <w:rFonts w:ascii="Book Antiqua" w:eastAsia="Times New Roman" w:hAnsi="Book Antiqua" w:cs="Arial"/>
          <w:color w:val="000000"/>
          <w:kern w:val="0"/>
          <w:sz w:val="19"/>
          <w:szCs w:val="19"/>
          <w:lang w:eastAsia="pt-BR"/>
          <w14:ligatures w14:val="none"/>
        </w:rPr>
        <w:t xml:space="preserve"> a denúncia imediata da presente Convenção, não obstante as disposições contidas no artigo 17, sempre que a nova Convenção revista tiver entrado em vigor;</w:t>
      </w:r>
    </w:p>
    <w:p w14:paraId="6F6A2B49"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 partir da data de entrada em vigor da nova Convenção revista, a presente Convenção deixará de estar aberta para ratificação por parte dos Membros.</w:t>
      </w:r>
    </w:p>
    <w:p w14:paraId="570B7D4A"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 presente Convenção permanecerá em vigor em todos os casos em forma e conteúdo atuais, para aqueles Membros que a tiverem ratificado e que não ratificarem a Convenção revista.</w:t>
      </w:r>
    </w:p>
    <w:p w14:paraId="6ED25DC4" w14:textId="77777777" w:rsidR="00422FB0" w:rsidRPr="00422FB0" w:rsidRDefault="00422FB0" w:rsidP="00422FB0">
      <w:pPr>
        <w:spacing w:before="100" w:beforeAutospacing="1" w:after="100" w:afterAutospacing="1" w:line="240" w:lineRule="auto"/>
        <w:ind w:firstLine="450"/>
        <w:jc w:val="center"/>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lastRenderedPageBreak/>
        <w:t>    Artigo 22</w:t>
      </w:r>
    </w:p>
    <w:p w14:paraId="176418E6"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As versões inglesa e francesa do texto desta Convenção são igualmente autênticos.</w:t>
      </w:r>
    </w:p>
    <w:p w14:paraId="761BEA38"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w:t>
      </w:r>
    </w:p>
    <w:p w14:paraId="27F56F2A" w14:textId="77777777" w:rsidR="00422FB0" w:rsidRPr="00422FB0" w:rsidRDefault="00422FB0" w:rsidP="00422FB0">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r w:rsidRPr="00422FB0">
        <w:rPr>
          <w:rFonts w:ascii="Book Antiqua" w:eastAsia="Times New Roman" w:hAnsi="Book Antiqua" w:cs="Arial"/>
          <w:color w:val="000000"/>
          <w:kern w:val="0"/>
          <w:sz w:val="19"/>
          <w:szCs w:val="19"/>
          <w:lang w:eastAsia="pt-BR"/>
          <w14:ligatures w14:val="none"/>
        </w:rPr>
        <w:t> </w:t>
      </w:r>
    </w:p>
    <w:p w14:paraId="204DC7A1" w14:textId="77777777" w:rsidR="00BB7FE6" w:rsidRPr="00422FB0" w:rsidRDefault="00BB7FE6" w:rsidP="00422FB0">
      <w:pPr>
        <w:spacing w:before="100" w:beforeAutospacing="1" w:after="100" w:afterAutospacing="1" w:line="240" w:lineRule="auto"/>
        <w:rPr>
          <w:rFonts w:ascii="Book Antiqua" w:hAnsi="Book Antiqua"/>
          <w:sz w:val="19"/>
          <w:szCs w:val="19"/>
        </w:rPr>
      </w:pPr>
    </w:p>
    <w:sectPr w:rsidR="00BB7FE6" w:rsidRPr="00422FB0" w:rsidSect="00BA2D3C">
      <w:pgSz w:w="11906" w:h="16838"/>
      <w:pgMar w:top="1276"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5C29D8"/>
    <w:multiLevelType w:val="multilevel"/>
    <w:tmpl w:val="DC8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46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A9"/>
    <w:rsid w:val="0003064E"/>
    <w:rsid w:val="00074564"/>
    <w:rsid w:val="00111D84"/>
    <w:rsid w:val="002F6E95"/>
    <w:rsid w:val="00422FB0"/>
    <w:rsid w:val="00BA2D3C"/>
    <w:rsid w:val="00BB7FE6"/>
    <w:rsid w:val="00CD4543"/>
    <w:rsid w:val="00D346F6"/>
    <w:rsid w:val="00EF30A9"/>
    <w:rsid w:val="00F12663"/>
    <w:rsid w:val="00FA41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34DDE"/>
  <w15:chartTrackingRefBased/>
  <w15:docId w15:val="{59DA8EDD-4C51-42DD-BFDE-48EBDD58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22F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75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decreto/1996/ret/Ret1855.doc" TargetMode="External"/><Relationship Id="rId3" Type="http://schemas.openxmlformats.org/officeDocument/2006/relationships/settings" Target="settings.xml"/><Relationship Id="rId7" Type="http://schemas.openxmlformats.org/officeDocument/2006/relationships/hyperlink" Target="https://www.planalto.gov.br/ccivil_03/_Ato2019-2022/2019/Decreto/D1008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9-2022/2019/Decreto/D10088.htm" TargetMode="External"/><Relationship Id="rId5" Type="http://schemas.openxmlformats.org/officeDocument/2006/relationships/hyperlink" Target="http://legislacao.planalto.gov.br/legisla/legislacao.nsf/Viw_Identificacao/dec%201.855-1996?OpenDocu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3055</Words>
  <Characters>16503</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2024-01-28T16:35:00Z</dcterms:created>
  <dcterms:modified xsi:type="dcterms:W3CDTF">2024-02-06T18:15:00Z</dcterms:modified>
</cp:coreProperties>
</file>