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33F9A" w14:textId="1DB32A13" w:rsidR="00DB38F9" w:rsidRPr="00DB38F9" w:rsidRDefault="00DB38F9" w:rsidP="00F56EF9">
      <w:pPr>
        <w:spacing w:before="100" w:beforeAutospacing="1" w:after="100" w:afterAutospacing="1" w:line="240" w:lineRule="auto"/>
        <w:jc w:val="center"/>
        <w:rPr>
          <w:rFonts w:ascii="Book Antiqua" w:hAnsi="Book Antiqua"/>
          <w:b/>
          <w:bCs/>
          <w:color w:val="FF0000"/>
          <w:sz w:val="19"/>
          <w:szCs w:val="19"/>
        </w:rPr>
      </w:pPr>
      <w:r w:rsidRPr="00DB38F9">
        <w:rPr>
          <w:rFonts w:ascii="Book Antiqua" w:hAnsi="Book Antiqua"/>
          <w:b/>
          <w:bCs/>
          <w:color w:val="FF0000"/>
          <w:sz w:val="19"/>
          <w:szCs w:val="19"/>
        </w:rPr>
        <w:t xml:space="preserve">(Atualização em </w:t>
      </w:r>
      <w:r w:rsidR="00F56EF9">
        <w:rPr>
          <w:rFonts w:ascii="Book Antiqua" w:hAnsi="Book Antiqua"/>
          <w:b/>
          <w:bCs/>
          <w:color w:val="FF0000"/>
          <w:sz w:val="19"/>
          <w:szCs w:val="19"/>
        </w:rPr>
        <w:t>07/03</w:t>
      </w:r>
      <w:r w:rsidR="00EC5292">
        <w:rPr>
          <w:rFonts w:ascii="Book Antiqua" w:hAnsi="Book Antiqua"/>
          <w:b/>
          <w:bCs/>
          <w:color w:val="FF0000"/>
          <w:sz w:val="19"/>
          <w:szCs w:val="19"/>
        </w:rPr>
        <w:t>/2024</w:t>
      </w:r>
      <w:r w:rsidRPr="00DB38F9">
        <w:rPr>
          <w:rFonts w:ascii="Book Antiqua" w:hAnsi="Book Antiqua"/>
          <w:b/>
          <w:bCs/>
          <w:color w:val="FF0000"/>
          <w:sz w:val="19"/>
          <w:szCs w:val="19"/>
        </w:rPr>
        <w:t>: questões de concurso)</w:t>
      </w:r>
    </w:p>
    <w:p w14:paraId="7685E7E1" w14:textId="5E90BE08" w:rsidR="007422DB" w:rsidRDefault="007422DB" w:rsidP="00F56EF9">
      <w:pPr>
        <w:spacing w:before="100" w:beforeAutospacing="1" w:after="100" w:afterAutospacing="1" w:line="240" w:lineRule="auto"/>
        <w:jc w:val="center"/>
        <w:rPr>
          <w:rFonts w:ascii="Book Antiqua" w:hAnsi="Book Antiqua"/>
          <w:b/>
          <w:bCs/>
          <w:sz w:val="19"/>
          <w:szCs w:val="19"/>
        </w:rPr>
      </w:pPr>
      <w:r w:rsidRPr="007422DB">
        <w:rPr>
          <w:rFonts w:ascii="Book Antiqua" w:hAnsi="Book Antiqua"/>
          <w:b/>
          <w:bCs/>
          <w:sz w:val="19"/>
          <w:szCs w:val="19"/>
        </w:rPr>
        <w:t xml:space="preserve">Convenção </w:t>
      </w:r>
      <w:r w:rsidR="00DB38F9" w:rsidRPr="007422DB">
        <w:rPr>
          <w:rFonts w:ascii="Book Antiqua" w:hAnsi="Book Antiqua"/>
          <w:b/>
          <w:bCs/>
          <w:sz w:val="19"/>
          <w:szCs w:val="19"/>
        </w:rPr>
        <w:t>Europeia</w:t>
      </w:r>
      <w:r w:rsidRPr="007422DB">
        <w:rPr>
          <w:rFonts w:ascii="Book Antiqua" w:hAnsi="Book Antiqua"/>
          <w:b/>
          <w:bCs/>
          <w:sz w:val="19"/>
          <w:szCs w:val="19"/>
        </w:rPr>
        <w:t xml:space="preserve"> de Direitos Humanos</w:t>
      </w:r>
      <w:r>
        <w:rPr>
          <w:rStyle w:val="Refdenotaderodap"/>
          <w:rFonts w:ascii="Book Antiqua" w:hAnsi="Book Antiqua"/>
          <w:b/>
          <w:bCs/>
          <w:sz w:val="19"/>
          <w:szCs w:val="19"/>
        </w:rPr>
        <w:footnoteReference w:id="1"/>
      </w:r>
    </w:p>
    <w:p w14:paraId="0370C2B3" w14:textId="77777777" w:rsidR="007422DB" w:rsidRPr="007422DB" w:rsidRDefault="007422DB" w:rsidP="00F56EF9">
      <w:pPr>
        <w:spacing w:before="100" w:beforeAutospacing="1" w:after="100" w:afterAutospacing="1" w:line="240" w:lineRule="auto"/>
        <w:jc w:val="center"/>
        <w:rPr>
          <w:rFonts w:ascii="Book Antiqua" w:hAnsi="Book Antiqua"/>
          <w:b/>
          <w:bCs/>
          <w:sz w:val="19"/>
          <w:szCs w:val="19"/>
        </w:rPr>
      </w:pPr>
    </w:p>
    <w:p w14:paraId="5C0455EA" w14:textId="77777777" w:rsidR="007422DB" w:rsidRPr="007422DB" w:rsidRDefault="007422DB" w:rsidP="00F56EF9">
      <w:pPr>
        <w:spacing w:before="100" w:beforeAutospacing="1" w:after="100" w:afterAutospacing="1" w:line="240" w:lineRule="auto"/>
        <w:ind w:firstLine="567"/>
        <w:jc w:val="both"/>
        <w:rPr>
          <w:rFonts w:ascii="Book Antiqua" w:hAnsi="Book Antiqua"/>
          <w:sz w:val="19"/>
          <w:szCs w:val="19"/>
        </w:rPr>
      </w:pPr>
      <w:r w:rsidRPr="007422DB">
        <w:rPr>
          <w:rFonts w:ascii="Book Antiqua" w:hAnsi="Book Antiqua"/>
          <w:sz w:val="19"/>
          <w:szCs w:val="19"/>
        </w:rPr>
        <w:t xml:space="preserve">Considerando a Declaração Universal dos Direitos do Homem proclamada pela </w:t>
      </w:r>
      <w:proofErr w:type="spellStart"/>
      <w:r w:rsidRPr="007422DB">
        <w:rPr>
          <w:rFonts w:ascii="Book Antiqua" w:hAnsi="Book Antiqua"/>
          <w:sz w:val="19"/>
          <w:szCs w:val="19"/>
        </w:rPr>
        <w:t>Assembléia</w:t>
      </w:r>
      <w:proofErr w:type="spellEnd"/>
      <w:r w:rsidRPr="007422DB">
        <w:rPr>
          <w:rFonts w:ascii="Book Antiqua" w:hAnsi="Book Antiqua"/>
          <w:sz w:val="19"/>
          <w:szCs w:val="19"/>
        </w:rPr>
        <w:t xml:space="preserve"> Geral das Nações Unidas em 10 de </w:t>
      </w:r>
      <w:proofErr w:type="gramStart"/>
      <w:r w:rsidRPr="007422DB">
        <w:rPr>
          <w:rFonts w:ascii="Book Antiqua" w:hAnsi="Book Antiqua"/>
          <w:sz w:val="19"/>
          <w:szCs w:val="19"/>
        </w:rPr>
        <w:t>Dezembro</w:t>
      </w:r>
      <w:proofErr w:type="gramEnd"/>
      <w:r w:rsidRPr="007422DB">
        <w:rPr>
          <w:rFonts w:ascii="Book Antiqua" w:hAnsi="Book Antiqua"/>
          <w:sz w:val="19"/>
          <w:szCs w:val="19"/>
        </w:rPr>
        <w:t xml:space="preserve"> de 1948,</w:t>
      </w:r>
    </w:p>
    <w:p w14:paraId="2D60DF41" w14:textId="77777777" w:rsidR="007422DB" w:rsidRPr="007422DB" w:rsidRDefault="007422DB" w:rsidP="00F56EF9">
      <w:pPr>
        <w:spacing w:before="100" w:beforeAutospacing="1" w:after="100" w:afterAutospacing="1" w:line="240" w:lineRule="auto"/>
        <w:ind w:firstLine="567"/>
        <w:jc w:val="both"/>
        <w:rPr>
          <w:rFonts w:ascii="Book Antiqua" w:hAnsi="Book Antiqua"/>
          <w:sz w:val="19"/>
          <w:szCs w:val="19"/>
        </w:rPr>
      </w:pPr>
      <w:r w:rsidRPr="007422DB">
        <w:rPr>
          <w:rFonts w:ascii="Book Antiqua" w:hAnsi="Book Antiqua"/>
          <w:sz w:val="19"/>
          <w:szCs w:val="19"/>
        </w:rPr>
        <w:t>Considerando que esta Declaração se destina a assegurar o reconhecimento e aplicação universal e efetiva dos direitos nela enunciados,</w:t>
      </w:r>
    </w:p>
    <w:p w14:paraId="78619401" w14:textId="77777777" w:rsidR="007422DB" w:rsidRPr="007422DB" w:rsidRDefault="007422DB" w:rsidP="00F56EF9">
      <w:pPr>
        <w:spacing w:before="100" w:beforeAutospacing="1" w:after="100" w:afterAutospacing="1" w:line="240" w:lineRule="auto"/>
        <w:ind w:firstLine="567"/>
        <w:jc w:val="both"/>
        <w:rPr>
          <w:rFonts w:ascii="Book Antiqua" w:hAnsi="Book Antiqua"/>
          <w:sz w:val="19"/>
          <w:szCs w:val="19"/>
        </w:rPr>
      </w:pPr>
      <w:r w:rsidRPr="007422DB">
        <w:rPr>
          <w:rFonts w:ascii="Book Antiqua" w:hAnsi="Book Antiqua"/>
          <w:sz w:val="19"/>
          <w:szCs w:val="19"/>
        </w:rPr>
        <w:t>Considerando que a finalidade do Conselho da Europa é realizar uma união mais estreita entre os seus Membros e que um dos meios de alcançar esta finalidade é a proteção e o desenvolvimento dos direitos do homem e das liberdades fundamentais,</w:t>
      </w:r>
    </w:p>
    <w:p w14:paraId="5277F0EF" w14:textId="77777777" w:rsidR="007422DB" w:rsidRPr="007422DB" w:rsidRDefault="007422DB" w:rsidP="00F56EF9">
      <w:pPr>
        <w:spacing w:before="100" w:beforeAutospacing="1" w:after="100" w:afterAutospacing="1" w:line="240" w:lineRule="auto"/>
        <w:ind w:firstLine="567"/>
        <w:jc w:val="both"/>
        <w:rPr>
          <w:rFonts w:ascii="Book Antiqua" w:hAnsi="Book Antiqua"/>
          <w:sz w:val="19"/>
          <w:szCs w:val="19"/>
        </w:rPr>
      </w:pPr>
      <w:r w:rsidRPr="007422DB">
        <w:rPr>
          <w:rFonts w:ascii="Book Antiqua" w:hAnsi="Book Antiqua"/>
          <w:sz w:val="19"/>
          <w:szCs w:val="19"/>
        </w:rPr>
        <w:t>Reafirmando o seu profundo apego a estas liberdades fundamentais, que constituem as verdadeiras bases da justiça e da paz no mundo e cuja preservação repousa essencialmente, por um lado, num regime político verdadeiramente democrático e, por outro, numa concepção comum e no comum respeito dos direitos do homem,</w:t>
      </w:r>
    </w:p>
    <w:p w14:paraId="5E62E35A" w14:textId="77777777" w:rsidR="007422DB" w:rsidRPr="007422DB" w:rsidRDefault="007422DB" w:rsidP="00F56EF9">
      <w:pPr>
        <w:spacing w:before="100" w:beforeAutospacing="1" w:after="100" w:afterAutospacing="1" w:line="240" w:lineRule="auto"/>
        <w:ind w:firstLine="567"/>
        <w:jc w:val="both"/>
        <w:rPr>
          <w:rFonts w:ascii="Book Antiqua" w:hAnsi="Book Antiqua"/>
          <w:sz w:val="19"/>
          <w:szCs w:val="19"/>
        </w:rPr>
      </w:pPr>
      <w:r w:rsidRPr="007422DB">
        <w:rPr>
          <w:rFonts w:ascii="Book Antiqua" w:hAnsi="Book Antiqua"/>
          <w:sz w:val="19"/>
          <w:szCs w:val="19"/>
        </w:rPr>
        <w:t xml:space="preserve">Decididos, enquanto Governos de Estados Europeus animados no mesmo espírito, possuindo um património comum de ideais e tradições políticas, de respeito pela liberdade e pelo primado do direito, a tomar as primeiras providências apropriadas para assegurar a garantia </w:t>
      </w:r>
      <w:proofErr w:type="spellStart"/>
      <w:r w:rsidRPr="007422DB">
        <w:rPr>
          <w:rFonts w:ascii="Book Antiqua" w:hAnsi="Book Antiqua"/>
          <w:sz w:val="19"/>
          <w:szCs w:val="19"/>
        </w:rPr>
        <w:t>colectiva</w:t>
      </w:r>
      <w:proofErr w:type="spellEnd"/>
      <w:r w:rsidRPr="007422DB">
        <w:rPr>
          <w:rFonts w:ascii="Book Antiqua" w:hAnsi="Book Antiqua"/>
          <w:sz w:val="19"/>
          <w:szCs w:val="19"/>
        </w:rPr>
        <w:t xml:space="preserve"> de certo número de direitos enunciados na Declaração Universal,</w:t>
      </w:r>
    </w:p>
    <w:p w14:paraId="12B8EE6E" w14:textId="77777777" w:rsidR="007422DB" w:rsidRPr="007422DB" w:rsidRDefault="007422DB" w:rsidP="00F56EF9">
      <w:pPr>
        <w:spacing w:before="100" w:beforeAutospacing="1" w:after="100" w:afterAutospacing="1" w:line="240" w:lineRule="auto"/>
        <w:ind w:firstLine="567"/>
        <w:jc w:val="both"/>
        <w:rPr>
          <w:rFonts w:ascii="Book Antiqua" w:hAnsi="Book Antiqua"/>
          <w:sz w:val="19"/>
          <w:szCs w:val="19"/>
        </w:rPr>
      </w:pPr>
      <w:r w:rsidRPr="007422DB">
        <w:rPr>
          <w:rFonts w:ascii="Book Antiqua" w:hAnsi="Book Antiqua"/>
          <w:i/>
          <w:iCs/>
          <w:sz w:val="19"/>
          <w:szCs w:val="19"/>
        </w:rPr>
        <w:t>Convencionaram o seguinte:</w:t>
      </w:r>
    </w:p>
    <w:p w14:paraId="7098CDCF"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123832">
        <w:rPr>
          <w:rFonts w:ascii="Book Antiqua" w:hAnsi="Book Antiqua"/>
          <w:b/>
          <w:bCs/>
          <w:sz w:val="19"/>
          <w:szCs w:val="19"/>
          <w:highlight w:val="magenta"/>
        </w:rPr>
        <w:t>Artigo 1.º</w:t>
      </w:r>
    </w:p>
    <w:p w14:paraId="311C763C"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(Obrigação de respeitar os direitos do homem)</w:t>
      </w:r>
    </w:p>
    <w:p w14:paraId="2BF0B556" w14:textId="2071546A" w:rsidR="007422DB" w:rsidRPr="00AF61AC" w:rsidRDefault="007422DB" w:rsidP="00F56EF9">
      <w:pPr>
        <w:spacing w:before="100" w:beforeAutospacing="1" w:after="100" w:afterAutospacing="1" w:line="240" w:lineRule="auto"/>
        <w:jc w:val="both"/>
        <w:rPr>
          <w:rFonts w:ascii="Book Antiqua" w:hAnsi="Book Antiqua"/>
          <w:sz w:val="16"/>
          <w:szCs w:val="16"/>
        </w:rPr>
      </w:pPr>
      <w:r w:rsidRPr="0036328A">
        <w:rPr>
          <w:rFonts w:ascii="Book Antiqua" w:hAnsi="Book Antiqua"/>
          <w:b/>
          <w:bCs/>
          <w:sz w:val="19"/>
          <w:szCs w:val="19"/>
        </w:rPr>
        <w:t>As Altas Partes Contratantes reconhecem a qualquer pessoa dependente da sua jurisdição os direitos e liberdades definidos no título I da presente Convenção</w:t>
      </w:r>
      <w:r w:rsidRPr="00AF61AC">
        <w:rPr>
          <w:rFonts w:ascii="Book Antiqua" w:hAnsi="Book Antiqua"/>
          <w:sz w:val="16"/>
          <w:szCs w:val="16"/>
        </w:rPr>
        <w:t>.</w:t>
      </w:r>
      <w:r w:rsidR="00123832" w:rsidRPr="00AF61AC">
        <w:rPr>
          <w:rFonts w:ascii="Book Antiqua" w:hAnsi="Book Antiqua"/>
          <w:sz w:val="16"/>
          <w:szCs w:val="16"/>
        </w:rPr>
        <w:t xml:space="preserve"> </w:t>
      </w:r>
      <w:r w:rsidR="00123832" w:rsidRPr="00AF61AC">
        <w:rPr>
          <w:rFonts w:ascii="Book Antiqua" w:hAnsi="Book Antiqua"/>
          <w:b/>
          <w:bCs/>
          <w:color w:val="FF0000"/>
          <w:sz w:val="16"/>
          <w:szCs w:val="16"/>
          <w:u w:val="single"/>
        </w:rPr>
        <w:t>(TRF3-2011)</w:t>
      </w:r>
    </w:p>
    <w:p w14:paraId="4C698067"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TÍTULO I</w:t>
      </w:r>
    </w:p>
    <w:p w14:paraId="066FD94C"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(Direitos e liberdades)</w:t>
      </w:r>
    </w:p>
    <w:p w14:paraId="0BEFDEFA"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130089">
        <w:rPr>
          <w:rFonts w:ascii="Book Antiqua" w:hAnsi="Book Antiqua"/>
          <w:b/>
          <w:bCs/>
          <w:sz w:val="19"/>
          <w:szCs w:val="19"/>
          <w:highlight w:val="magenta"/>
        </w:rPr>
        <w:t>Artigo 2.º</w:t>
      </w:r>
    </w:p>
    <w:p w14:paraId="0C49D04D"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(Direito à vida)</w:t>
      </w:r>
    </w:p>
    <w:p w14:paraId="06C8C549" w14:textId="0BDEB880" w:rsidR="007422DB" w:rsidRPr="00AF61AC" w:rsidRDefault="007422DB" w:rsidP="00F56EF9">
      <w:pPr>
        <w:spacing w:before="100" w:beforeAutospacing="1" w:after="100" w:afterAutospacing="1" w:line="240" w:lineRule="auto"/>
        <w:jc w:val="both"/>
        <w:rPr>
          <w:rFonts w:ascii="Book Antiqua" w:hAnsi="Book Antiqua"/>
          <w:b/>
          <w:bCs/>
          <w:sz w:val="16"/>
          <w:szCs w:val="16"/>
        </w:rPr>
      </w:pPr>
      <w:r w:rsidRPr="00130089">
        <w:rPr>
          <w:rFonts w:ascii="Book Antiqua" w:hAnsi="Book Antiqua"/>
          <w:b/>
          <w:bCs/>
          <w:sz w:val="19"/>
          <w:szCs w:val="19"/>
          <w:highlight w:val="magenta"/>
        </w:rPr>
        <w:t>1</w:t>
      </w:r>
      <w:r w:rsidRPr="007422DB">
        <w:rPr>
          <w:rFonts w:ascii="Book Antiqua" w:hAnsi="Book Antiqua"/>
          <w:sz w:val="19"/>
          <w:szCs w:val="19"/>
        </w:rPr>
        <w:t xml:space="preserve">. </w:t>
      </w:r>
      <w:r w:rsidRPr="0036328A">
        <w:rPr>
          <w:rFonts w:ascii="Book Antiqua" w:hAnsi="Book Antiqua"/>
          <w:b/>
          <w:bCs/>
          <w:sz w:val="19"/>
          <w:szCs w:val="19"/>
        </w:rPr>
        <w:t>O direito de qualquer pessoa à vida é protegido pela lei. Ninguém poderá ser intencionalmente privado da vida, salvo em execução de uma sentença capital pronunciada por um tribunal, no caso de o crime ser punido com esta pena pela lei</w:t>
      </w:r>
      <w:r w:rsidRPr="00AF61AC">
        <w:rPr>
          <w:rFonts w:ascii="Book Antiqua" w:hAnsi="Book Antiqua"/>
          <w:b/>
          <w:bCs/>
          <w:sz w:val="16"/>
          <w:szCs w:val="16"/>
        </w:rPr>
        <w:t>.</w:t>
      </w:r>
      <w:r w:rsidR="00130089" w:rsidRPr="00AF61AC">
        <w:rPr>
          <w:rFonts w:ascii="Book Antiqua" w:hAnsi="Book Antiqua"/>
          <w:b/>
          <w:bCs/>
          <w:sz w:val="16"/>
          <w:szCs w:val="16"/>
        </w:rPr>
        <w:t xml:space="preserve"> </w:t>
      </w:r>
      <w:r w:rsidR="00130089" w:rsidRPr="00AF61AC">
        <w:rPr>
          <w:rFonts w:ascii="Book Antiqua" w:hAnsi="Book Antiqua"/>
          <w:b/>
          <w:bCs/>
          <w:color w:val="FF0000"/>
          <w:sz w:val="16"/>
          <w:szCs w:val="16"/>
          <w:u w:val="single"/>
        </w:rPr>
        <w:t>(TRF5-2015)</w:t>
      </w:r>
    </w:p>
    <w:p w14:paraId="5F45348B" w14:textId="7FACA3C1" w:rsidR="007422DB" w:rsidRPr="00AF61AC" w:rsidRDefault="007422DB" w:rsidP="00F56EF9">
      <w:pPr>
        <w:spacing w:before="100" w:beforeAutospacing="1" w:after="100" w:afterAutospacing="1" w:line="240" w:lineRule="auto"/>
        <w:jc w:val="both"/>
        <w:rPr>
          <w:rFonts w:ascii="Book Antiqua" w:hAnsi="Book Antiqua"/>
          <w:sz w:val="16"/>
          <w:szCs w:val="16"/>
        </w:rPr>
      </w:pPr>
      <w:r w:rsidRPr="0036328A">
        <w:rPr>
          <w:rFonts w:ascii="Book Antiqua" w:hAnsi="Book Antiqua"/>
          <w:b/>
          <w:bCs/>
          <w:sz w:val="19"/>
          <w:szCs w:val="19"/>
          <w:highlight w:val="magenta"/>
        </w:rPr>
        <w:t>2</w:t>
      </w:r>
      <w:r w:rsidRPr="0036328A">
        <w:rPr>
          <w:rFonts w:ascii="Book Antiqua" w:hAnsi="Book Antiqua"/>
          <w:b/>
          <w:bCs/>
          <w:sz w:val="19"/>
          <w:szCs w:val="19"/>
        </w:rPr>
        <w:t>. Não haverá violação do presente artigo quando a morte resulte de recurso à força, tornado absolutamente necessário</w:t>
      </w:r>
      <w:r w:rsidRPr="00AF61AC">
        <w:rPr>
          <w:rFonts w:ascii="Book Antiqua" w:hAnsi="Book Antiqua"/>
          <w:sz w:val="16"/>
          <w:szCs w:val="16"/>
        </w:rPr>
        <w:t>:</w:t>
      </w:r>
      <w:r w:rsidR="00130089" w:rsidRPr="00AF61AC">
        <w:rPr>
          <w:rFonts w:ascii="Book Antiqua" w:hAnsi="Book Antiqua"/>
          <w:sz w:val="16"/>
          <w:szCs w:val="16"/>
        </w:rPr>
        <w:t xml:space="preserve"> </w:t>
      </w:r>
      <w:r w:rsidR="00130089" w:rsidRPr="00AF61AC">
        <w:rPr>
          <w:rFonts w:ascii="Book Antiqua" w:hAnsi="Book Antiqua"/>
          <w:b/>
          <w:bCs/>
          <w:color w:val="FF0000"/>
          <w:sz w:val="16"/>
          <w:szCs w:val="16"/>
          <w:u w:val="single"/>
        </w:rPr>
        <w:t>(TRF5-2015)</w:t>
      </w:r>
    </w:p>
    <w:p w14:paraId="7CFDAD15"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 Para assegurar a defesa de qualquer pessoa contra uma violência ilegal;</w:t>
      </w:r>
    </w:p>
    <w:p w14:paraId="2AE5F0BF"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b) Para efetuar uma detenção legal ou para impedir a evasão de uma pessoa detida legalmente;</w:t>
      </w:r>
    </w:p>
    <w:p w14:paraId="52519B70" w14:textId="316C6B4A" w:rsidR="007422DB" w:rsidRPr="00AF61AC" w:rsidRDefault="007422DB" w:rsidP="00F56EF9">
      <w:pPr>
        <w:spacing w:before="100" w:beforeAutospacing="1" w:after="100" w:afterAutospacing="1" w:line="240" w:lineRule="auto"/>
        <w:jc w:val="both"/>
        <w:rPr>
          <w:rFonts w:ascii="Book Antiqua" w:hAnsi="Book Antiqua"/>
          <w:sz w:val="16"/>
          <w:szCs w:val="16"/>
        </w:rPr>
      </w:pPr>
      <w:r w:rsidRPr="0036328A">
        <w:rPr>
          <w:rFonts w:ascii="Book Antiqua" w:hAnsi="Book Antiqua"/>
          <w:b/>
          <w:bCs/>
          <w:sz w:val="19"/>
          <w:szCs w:val="19"/>
        </w:rPr>
        <w:t>c) Para reprimir, em conformidade com a lei, uma revolta ou uma insurreição</w:t>
      </w:r>
      <w:r w:rsidRPr="00AF61AC">
        <w:rPr>
          <w:rFonts w:ascii="Book Antiqua" w:hAnsi="Book Antiqua"/>
          <w:sz w:val="16"/>
          <w:szCs w:val="16"/>
        </w:rPr>
        <w:t>.</w:t>
      </w:r>
      <w:r w:rsidR="00130089" w:rsidRPr="00AF61AC">
        <w:rPr>
          <w:rFonts w:ascii="Book Antiqua" w:hAnsi="Book Antiqua"/>
          <w:sz w:val="16"/>
          <w:szCs w:val="16"/>
        </w:rPr>
        <w:t xml:space="preserve"> </w:t>
      </w:r>
      <w:r w:rsidR="00130089" w:rsidRPr="00AF61AC">
        <w:rPr>
          <w:rFonts w:ascii="Book Antiqua" w:hAnsi="Book Antiqua"/>
          <w:b/>
          <w:bCs/>
          <w:color w:val="FF0000"/>
          <w:sz w:val="16"/>
          <w:szCs w:val="16"/>
          <w:u w:val="single"/>
        </w:rPr>
        <w:t>(TRF5-2015)</w:t>
      </w:r>
    </w:p>
    <w:p w14:paraId="1FC4FF8A"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highlight w:val="magenta"/>
        </w:rPr>
        <w:lastRenderedPageBreak/>
        <w:t>Artigo 3.º</w:t>
      </w:r>
    </w:p>
    <w:p w14:paraId="638C2187"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(Proibição da tortura)</w:t>
      </w:r>
    </w:p>
    <w:p w14:paraId="11EF346D" w14:textId="172B0890" w:rsidR="007422DB" w:rsidRPr="00AF61AC" w:rsidRDefault="007422DB" w:rsidP="00F56EF9">
      <w:pPr>
        <w:spacing w:before="100" w:beforeAutospacing="1" w:after="100" w:afterAutospacing="1" w:line="240" w:lineRule="auto"/>
        <w:jc w:val="both"/>
        <w:rPr>
          <w:rFonts w:ascii="Book Antiqua" w:hAnsi="Book Antiqua"/>
          <w:b/>
          <w:bCs/>
          <w:sz w:val="16"/>
          <w:szCs w:val="16"/>
          <w:u w:val="single"/>
        </w:rPr>
      </w:pPr>
      <w:r w:rsidRPr="00AF61AC">
        <w:rPr>
          <w:rFonts w:ascii="Book Antiqua" w:hAnsi="Book Antiqua"/>
          <w:b/>
          <w:bCs/>
          <w:sz w:val="19"/>
          <w:szCs w:val="19"/>
        </w:rPr>
        <w:t>Ninguém pode ser submetido a torturas, nem a penas ou tratamentos desumanos ou degradantes</w:t>
      </w:r>
      <w:r w:rsidRPr="00AF61AC">
        <w:rPr>
          <w:rFonts w:ascii="Book Antiqua" w:hAnsi="Book Antiqua"/>
          <w:b/>
          <w:bCs/>
          <w:sz w:val="16"/>
          <w:szCs w:val="16"/>
        </w:rPr>
        <w:t>.</w:t>
      </w:r>
      <w:r w:rsidR="00123832" w:rsidRPr="00AF61AC">
        <w:rPr>
          <w:rFonts w:ascii="Book Antiqua" w:hAnsi="Book Antiqua"/>
          <w:b/>
          <w:bCs/>
          <w:sz w:val="16"/>
          <w:szCs w:val="16"/>
        </w:rPr>
        <w:t xml:space="preserve"> </w:t>
      </w:r>
      <w:bookmarkStart w:id="0" w:name="_Hlk66270072"/>
      <w:r w:rsidR="00123832" w:rsidRPr="00AF61AC">
        <w:rPr>
          <w:rFonts w:ascii="Book Antiqua" w:hAnsi="Book Antiqua"/>
          <w:b/>
          <w:bCs/>
          <w:color w:val="FF0000"/>
          <w:sz w:val="16"/>
          <w:szCs w:val="16"/>
          <w:u w:val="single"/>
        </w:rPr>
        <w:t>(TRF3-2011)</w:t>
      </w:r>
      <w:bookmarkEnd w:id="0"/>
      <w:r w:rsidRPr="00AF61AC">
        <w:rPr>
          <w:rFonts w:ascii="Book Antiqua" w:hAnsi="Book Antiqua"/>
          <w:b/>
          <w:bCs/>
          <w:sz w:val="16"/>
          <w:szCs w:val="16"/>
        </w:rPr>
        <w:t xml:space="preserve"> </w:t>
      </w:r>
      <w:r w:rsidRPr="00AF61AC">
        <w:rPr>
          <w:rFonts w:ascii="Book Antiqua" w:hAnsi="Book Antiqua"/>
          <w:b/>
          <w:bCs/>
          <w:color w:val="FF0000"/>
          <w:sz w:val="16"/>
          <w:szCs w:val="16"/>
          <w:u w:val="single"/>
        </w:rPr>
        <w:t>(MPF-2011/2012</w:t>
      </w:r>
      <w:r w:rsidR="00D84DE3">
        <w:rPr>
          <w:rFonts w:ascii="Book Antiqua" w:hAnsi="Book Antiqua"/>
          <w:b/>
          <w:bCs/>
          <w:color w:val="FF0000"/>
          <w:sz w:val="16"/>
          <w:szCs w:val="16"/>
          <w:u w:val="single"/>
        </w:rPr>
        <w:t>/2013</w:t>
      </w:r>
      <w:r w:rsidRPr="00AF61AC">
        <w:rPr>
          <w:rFonts w:ascii="Book Antiqua" w:hAnsi="Book Antiqua"/>
          <w:b/>
          <w:bCs/>
          <w:color w:val="FF0000"/>
          <w:sz w:val="16"/>
          <w:szCs w:val="16"/>
          <w:u w:val="single"/>
        </w:rPr>
        <w:t>)</w:t>
      </w:r>
    </w:p>
    <w:p w14:paraId="20BB0128"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4.º</w:t>
      </w:r>
    </w:p>
    <w:p w14:paraId="412820EA"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(Proibição da escravatura e do trabalho forçado)</w:t>
      </w:r>
    </w:p>
    <w:p w14:paraId="3B83927D"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Ninguém pode ser mantido em escravidão ou servidão.</w:t>
      </w:r>
    </w:p>
    <w:p w14:paraId="4197AB50"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Ninguém pode ser constrangido a realizar um trabalho forçado ou obrigatório.</w:t>
      </w:r>
    </w:p>
    <w:p w14:paraId="7293F719"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3. Não será considerado "trabalho forçado ou obrigatório" no sentido do presente artigo:</w:t>
      </w:r>
    </w:p>
    <w:p w14:paraId="317B6E86"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 Qualquer trabalho exigido normalmente a uma pessoa submetida a detenção nas condições previstas pelo artigo 5.º da presente Convenção, ou enquanto estiver em liberdade condicional;</w:t>
      </w:r>
    </w:p>
    <w:p w14:paraId="674BC8A5"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b) Qualquer serviço de carácter militar ou, no caso de </w:t>
      </w:r>
      <w:proofErr w:type="spellStart"/>
      <w:r w:rsidRPr="007422DB">
        <w:rPr>
          <w:rFonts w:ascii="Book Antiqua" w:hAnsi="Book Antiqua"/>
          <w:sz w:val="19"/>
          <w:szCs w:val="19"/>
        </w:rPr>
        <w:t>objectores</w:t>
      </w:r>
      <w:proofErr w:type="spellEnd"/>
      <w:r w:rsidRPr="007422DB">
        <w:rPr>
          <w:rFonts w:ascii="Book Antiqua" w:hAnsi="Book Antiqua"/>
          <w:sz w:val="19"/>
          <w:szCs w:val="19"/>
        </w:rPr>
        <w:t xml:space="preserve"> de consciência, nos países em que a objecção de consciência for reconhecida como legítima, qualquer outro serviço que substitua o serviço militar obrigatório;</w:t>
      </w:r>
    </w:p>
    <w:p w14:paraId="615D4419"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c) Qualquer serviço exigido no caso de crise ou de calamidade que ameacem a vida ou o bem-estar da comunidade;</w:t>
      </w:r>
    </w:p>
    <w:p w14:paraId="520A4AF9"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d) Qualquer trabalho ou serviço que fizer parte das obrigações cívicas normais.</w:t>
      </w:r>
    </w:p>
    <w:p w14:paraId="6FEB0EC4"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DF4B30">
        <w:rPr>
          <w:rFonts w:ascii="Book Antiqua" w:hAnsi="Book Antiqua"/>
          <w:b/>
          <w:bCs/>
          <w:sz w:val="19"/>
          <w:szCs w:val="19"/>
          <w:highlight w:val="magenta"/>
        </w:rPr>
        <w:t>Artigo 5.º</w:t>
      </w:r>
    </w:p>
    <w:p w14:paraId="27A26D04"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(Direito à liberdade e à segurança)</w:t>
      </w:r>
    </w:p>
    <w:p w14:paraId="1D3CF704"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Toda a pessoa tem direito à liberdade e segurança. Ninguém pode ser privado da sua liberdade, salvo nos casos seguintes e de acordo com o procedimento legal:</w:t>
      </w:r>
    </w:p>
    <w:p w14:paraId="46DD0FA5"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 Se for preso em consequência de condenação por tribunal competente;</w:t>
      </w:r>
    </w:p>
    <w:p w14:paraId="29AE19D0"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b) Se for preso ou detido legalmente, por desobediência a uma decisão tomada, em conformidade com a lei, por um tribunal, ou para garantir o cumprimento de uma obrigação prescrita pela lei;</w:t>
      </w:r>
    </w:p>
    <w:p w14:paraId="1721177B"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c) Se for preso e detido a fim de comparecer perante a autoridade judicial competente, quando houver suspeita razoável de ter cometido uma infracção, ou quando houver motivos razoáveis para crer que é necessário </w:t>
      </w:r>
      <w:proofErr w:type="spellStart"/>
      <w:proofErr w:type="gramStart"/>
      <w:r w:rsidRPr="007422DB">
        <w:rPr>
          <w:rFonts w:ascii="Book Antiqua" w:hAnsi="Book Antiqua"/>
          <w:sz w:val="19"/>
          <w:szCs w:val="19"/>
        </w:rPr>
        <w:t>impedi?lo</w:t>
      </w:r>
      <w:proofErr w:type="spellEnd"/>
      <w:proofErr w:type="gramEnd"/>
      <w:r w:rsidRPr="007422DB">
        <w:rPr>
          <w:rFonts w:ascii="Book Antiqua" w:hAnsi="Book Antiqua"/>
          <w:sz w:val="19"/>
          <w:szCs w:val="19"/>
        </w:rPr>
        <w:t xml:space="preserve"> de cometer uma infracção ou de se pôr em fuga depois de a ter cometido;</w:t>
      </w:r>
    </w:p>
    <w:p w14:paraId="6B8E9822"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d) Se se tratar da detenção legal de um menor, feita com o propósito de o educar sob vigilância, ou da sua detenção legal com o fim de o fazer comparecer perante a autoridade competente;</w:t>
      </w:r>
    </w:p>
    <w:p w14:paraId="586F3102"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e) Se se tratar da detenção legal de uma pessoa susceptível de propagar uma doença contagiosa, de um alienado mental, de um alcoólico, de um toxicómano ou de um vagabundo;</w:t>
      </w:r>
    </w:p>
    <w:p w14:paraId="3CB7FFDB"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f) Se se tratar de prisão ou detenção legal de uma pessoa para lhe impedir a entrada ilegal no território ou contra a qual está em curso um processo de expulsão ou de extradição.</w:t>
      </w:r>
    </w:p>
    <w:p w14:paraId="79DF3E23"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Qualquer pessoa presa deve ser informada, no mais breve prazo e em língua que compreenda, das razões da sua prisão e de qualquer acusação formulada contra ela.</w:t>
      </w:r>
    </w:p>
    <w:p w14:paraId="045FACCB" w14:textId="43793FD8" w:rsidR="007422DB" w:rsidRDefault="007422DB" w:rsidP="00F56EF9">
      <w:pPr>
        <w:spacing w:before="100" w:beforeAutospacing="1" w:after="100" w:afterAutospacing="1" w:line="240" w:lineRule="auto"/>
        <w:jc w:val="both"/>
        <w:rPr>
          <w:rFonts w:ascii="Book Antiqua" w:hAnsi="Book Antiqua"/>
          <w:sz w:val="19"/>
          <w:szCs w:val="19"/>
        </w:rPr>
      </w:pPr>
      <w:bookmarkStart w:id="1" w:name="_Hlk78901504"/>
      <w:r w:rsidRPr="00DF4B30">
        <w:rPr>
          <w:rFonts w:ascii="Book Antiqua" w:hAnsi="Book Antiqua"/>
          <w:b/>
          <w:bCs/>
          <w:sz w:val="19"/>
          <w:szCs w:val="19"/>
          <w:highlight w:val="magenta"/>
        </w:rPr>
        <w:lastRenderedPageBreak/>
        <w:t>3</w:t>
      </w:r>
      <w:r w:rsidRPr="007422DB">
        <w:rPr>
          <w:rFonts w:ascii="Book Antiqua" w:hAnsi="Book Antiqua"/>
          <w:sz w:val="19"/>
          <w:szCs w:val="19"/>
        </w:rPr>
        <w:t xml:space="preserve">. Qualquer pessoa presa ou detida nas condições previstas no parágrafo 1, alínea c), do presente artigo deve ser apresentada imediatamente a um juiz ou outro magistrado habilitado pela lei para exercer funções judiciais e tem direito a ser julgada num prazo razoável, ou posta em liberdade durante o processo. </w:t>
      </w:r>
      <w:r w:rsidRPr="00DF4B30">
        <w:rPr>
          <w:rFonts w:ascii="Book Antiqua" w:hAnsi="Book Antiqua"/>
          <w:b/>
          <w:bCs/>
          <w:sz w:val="19"/>
          <w:szCs w:val="19"/>
          <w:highlight w:val="yellow"/>
        </w:rPr>
        <w:t>A colocação em liberdade pode estar condicionada a uma garantia que assegure a comparência do interessado em juízo</w:t>
      </w:r>
      <w:r w:rsidRPr="007422DB">
        <w:rPr>
          <w:rFonts w:ascii="Book Antiqua" w:hAnsi="Book Antiqua"/>
          <w:sz w:val="19"/>
          <w:szCs w:val="19"/>
        </w:rPr>
        <w:t>.</w:t>
      </w:r>
      <w:bookmarkEnd w:id="1"/>
      <w:r w:rsidR="00AF61AC">
        <w:rPr>
          <w:rFonts w:ascii="Book Antiqua" w:hAnsi="Book Antiqua"/>
          <w:sz w:val="19"/>
          <w:szCs w:val="19"/>
        </w:rPr>
        <w:t xml:space="preserve"> </w:t>
      </w:r>
      <w:r w:rsidR="00AF61AC" w:rsidRPr="00AF61AC">
        <w:rPr>
          <w:rFonts w:ascii="Book Antiqua" w:hAnsi="Book Antiqua"/>
          <w:b/>
          <w:bCs/>
          <w:color w:val="FF0000"/>
          <w:sz w:val="16"/>
          <w:szCs w:val="16"/>
          <w:u w:val="single"/>
        </w:rPr>
        <w:t>(</w:t>
      </w:r>
      <w:r w:rsidR="00AF61AC">
        <w:rPr>
          <w:rFonts w:ascii="Book Antiqua" w:hAnsi="Book Antiqua"/>
          <w:b/>
          <w:bCs/>
          <w:color w:val="FF0000"/>
          <w:sz w:val="16"/>
          <w:szCs w:val="16"/>
          <w:u w:val="single"/>
        </w:rPr>
        <w:t>DPETO-2013</w:t>
      </w:r>
      <w:r w:rsidR="00AF61AC" w:rsidRPr="00AF61AC">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DF4B30" w14:paraId="03709CA6" w14:textId="77777777" w:rsidTr="00DF4B30">
        <w:tc>
          <w:tcPr>
            <w:tcW w:w="8494" w:type="dxa"/>
            <w:shd w:val="clear" w:color="auto" w:fill="CCFFFF"/>
          </w:tcPr>
          <w:p w14:paraId="23D026E3" w14:textId="4A0830E7" w:rsidR="00DF4B30" w:rsidRPr="00DF4B30" w:rsidRDefault="00DF4B30" w:rsidP="007422DB">
            <w:pPr>
              <w:jc w:val="both"/>
              <w:rPr>
                <w:rFonts w:ascii="Book Antiqua" w:hAnsi="Book Antiqua"/>
                <w:b/>
                <w:bCs/>
                <w:sz w:val="19"/>
                <w:szCs w:val="19"/>
              </w:rPr>
            </w:pPr>
            <w:r>
              <w:rPr>
                <w:rFonts w:ascii="Book Antiqua" w:hAnsi="Book Antiqua"/>
                <w:b/>
                <w:bCs/>
                <w:sz w:val="19"/>
                <w:szCs w:val="19"/>
              </w:rPr>
              <w:t>(</w:t>
            </w:r>
            <w:r w:rsidRPr="00DF4B30">
              <w:rPr>
                <w:rFonts w:ascii="Book Antiqua" w:hAnsi="Book Antiqua"/>
                <w:b/>
                <w:bCs/>
                <w:sz w:val="19"/>
                <w:szCs w:val="19"/>
                <w:highlight w:val="yellow"/>
              </w:rPr>
              <w:t>DPETO-2013-CESPE</w:t>
            </w:r>
            <w:r>
              <w:rPr>
                <w:rFonts w:ascii="Book Antiqua" w:hAnsi="Book Antiqua"/>
                <w:b/>
                <w:bCs/>
                <w:sz w:val="19"/>
                <w:szCs w:val="19"/>
              </w:rPr>
              <w:t>)</w:t>
            </w:r>
            <w:r>
              <w:rPr>
                <w:rFonts w:ascii="Book Antiqua" w:hAnsi="Book Antiqua"/>
                <w:sz w:val="19"/>
                <w:szCs w:val="19"/>
              </w:rPr>
              <w:t xml:space="preserve">: </w:t>
            </w:r>
            <w:r w:rsidRPr="00DF4B30">
              <w:rPr>
                <w:rFonts w:ascii="Book Antiqua" w:hAnsi="Book Antiqua"/>
                <w:sz w:val="19"/>
                <w:szCs w:val="19"/>
              </w:rPr>
              <w:t>A respeito da proteção aos presos no âmbito do direito internacional, assinale a opção correta</w:t>
            </w:r>
            <w:r>
              <w:rPr>
                <w:rFonts w:ascii="Book Antiqua" w:hAnsi="Book Antiqua"/>
                <w:sz w:val="19"/>
                <w:szCs w:val="19"/>
              </w:rPr>
              <w:t xml:space="preserve">: </w:t>
            </w:r>
            <w:r w:rsidRPr="00DF4B30">
              <w:rPr>
                <w:rFonts w:ascii="Book Antiqua" w:hAnsi="Book Antiqua"/>
                <w:sz w:val="19"/>
                <w:szCs w:val="19"/>
              </w:rPr>
              <w:t>A Convenção Europeia sobre Direitos Humanos e o Pacto Internacional de Direitos Civis e Políticos prescrevem que poderá ser exigida garantia de comparecimento ao juízo para a libertação de preso suspeito da prática de infração penal.</w:t>
            </w:r>
            <w:r>
              <w:rPr>
                <w:rFonts w:ascii="Book Antiqua" w:hAnsi="Book Antiqua"/>
                <w:sz w:val="19"/>
                <w:szCs w:val="19"/>
              </w:rPr>
              <w:t xml:space="preserve"> </w:t>
            </w:r>
            <w:r>
              <w:rPr>
                <w:rFonts w:ascii="Book Antiqua" w:hAnsi="Book Antiqua"/>
                <w:b/>
                <w:bCs/>
                <w:sz w:val="19"/>
                <w:szCs w:val="19"/>
              </w:rPr>
              <w:t xml:space="preserve">BL: art. 5º, item 3 da </w:t>
            </w:r>
            <w:proofErr w:type="spellStart"/>
            <w:r>
              <w:rPr>
                <w:rFonts w:ascii="Book Antiqua" w:hAnsi="Book Antiqua"/>
                <w:b/>
                <w:bCs/>
                <w:sz w:val="19"/>
                <w:szCs w:val="19"/>
              </w:rPr>
              <w:t>Conv</w:t>
            </w:r>
            <w:proofErr w:type="spellEnd"/>
            <w:r>
              <w:rPr>
                <w:rFonts w:ascii="Book Antiqua" w:hAnsi="Book Antiqua"/>
                <w:b/>
                <w:bCs/>
                <w:sz w:val="19"/>
                <w:szCs w:val="19"/>
              </w:rPr>
              <w:t>. Europeia e art. 9º, item 3, PIDCP.</w:t>
            </w:r>
            <w:r>
              <w:rPr>
                <w:rStyle w:val="Refdenotaderodap"/>
                <w:rFonts w:ascii="Book Antiqua" w:hAnsi="Book Antiqua"/>
                <w:b/>
                <w:bCs/>
                <w:sz w:val="19"/>
                <w:szCs w:val="19"/>
              </w:rPr>
              <w:footnoteReference w:id="2"/>
            </w:r>
          </w:p>
        </w:tc>
      </w:tr>
    </w:tbl>
    <w:p w14:paraId="6574A6C2" w14:textId="4F576BC8" w:rsidR="007422DB" w:rsidRPr="007422DB" w:rsidRDefault="007422DB" w:rsidP="00DF4B30">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4. Qualquer pessoa privada da sua liberdade por prisão ou detenção tem direito a recorrer a um tribunal, a fim de que este se pronuncie, em curto prazo de tempo, sobre a legalidade da sua detenção e ordene a sua libertação, se a detenção for ilegal.</w:t>
      </w:r>
    </w:p>
    <w:p w14:paraId="472E5776" w14:textId="77777777" w:rsidR="007422DB" w:rsidRPr="007422DB" w:rsidRDefault="007422DB" w:rsidP="00DF4B30">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5. Qualquer pessoa vítima de prisão ou detenção em condições contrárias às disposições deste artigo tem direito a indemnização.</w:t>
      </w:r>
    </w:p>
    <w:p w14:paraId="57DE34CA"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DF4B30">
        <w:rPr>
          <w:rFonts w:ascii="Book Antiqua" w:hAnsi="Book Antiqua"/>
          <w:b/>
          <w:bCs/>
          <w:sz w:val="19"/>
          <w:szCs w:val="19"/>
          <w:highlight w:val="magenta"/>
        </w:rPr>
        <w:t>Artigo 6.º</w:t>
      </w:r>
    </w:p>
    <w:p w14:paraId="029C0AF2"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(Direito a um processo equitativo)</w:t>
      </w:r>
    </w:p>
    <w:p w14:paraId="375C860F" w14:textId="0DAD94E6" w:rsidR="007422DB" w:rsidRPr="00F56EF9" w:rsidRDefault="007422DB" w:rsidP="00F56EF9">
      <w:pPr>
        <w:spacing w:before="100" w:beforeAutospacing="1" w:after="100" w:afterAutospacing="1" w:line="240" w:lineRule="auto"/>
        <w:jc w:val="both"/>
        <w:rPr>
          <w:rFonts w:ascii="Book Antiqua" w:hAnsi="Book Antiqua"/>
          <w:b/>
          <w:bCs/>
          <w:sz w:val="19"/>
          <w:szCs w:val="19"/>
        </w:rPr>
      </w:pPr>
      <w:r w:rsidRPr="00DF4B30">
        <w:rPr>
          <w:rFonts w:ascii="Book Antiqua" w:hAnsi="Book Antiqua"/>
          <w:b/>
          <w:bCs/>
          <w:sz w:val="19"/>
          <w:szCs w:val="19"/>
          <w:highlight w:val="magenta"/>
        </w:rPr>
        <w:t>1</w:t>
      </w:r>
      <w:r w:rsidRPr="007422DB">
        <w:rPr>
          <w:rFonts w:ascii="Book Antiqua" w:hAnsi="Book Antiqua"/>
          <w:sz w:val="19"/>
          <w:szCs w:val="19"/>
        </w:rPr>
        <w:t xml:space="preserve">. </w:t>
      </w:r>
      <w:r w:rsidRPr="00F56EF9">
        <w:rPr>
          <w:rFonts w:ascii="Book Antiqua" w:hAnsi="Book Antiqua"/>
          <w:b/>
          <w:bCs/>
          <w:sz w:val="19"/>
          <w:szCs w:val="19"/>
        </w:rPr>
        <w:t xml:space="preserve">Qualquer pessoa tem direito a que a sua causa seja examinada, equitativa e publicamente, num prazo razoável por um tribunal independente e imparcial, estabelecido pela lei, o qual decidirá, quer sobre a determinação dos seus direitos e obrigações de carácter civil, quer sobre o fundamento de qualquer acusação em matéria penal dirigida contra ela. O julgamento deve ser público, mas o acesso à sala de audiências </w:t>
      </w:r>
      <w:r w:rsidRPr="00F56EF9">
        <w:rPr>
          <w:rFonts w:ascii="Book Antiqua" w:hAnsi="Book Antiqua"/>
          <w:b/>
          <w:bCs/>
          <w:caps/>
          <w:sz w:val="19"/>
          <w:szCs w:val="19"/>
          <w:highlight w:val="green"/>
        </w:rPr>
        <w:t>pode ser proibido</w:t>
      </w:r>
      <w:r w:rsidRPr="00F56EF9">
        <w:rPr>
          <w:rFonts w:ascii="Book Antiqua" w:hAnsi="Book Antiqua"/>
          <w:b/>
          <w:bCs/>
          <w:sz w:val="19"/>
          <w:szCs w:val="19"/>
        </w:rPr>
        <w:t xml:space="preserve"> </w:t>
      </w:r>
      <w:r w:rsidRPr="00F56EF9">
        <w:rPr>
          <w:rFonts w:ascii="Book Antiqua" w:hAnsi="Book Antiqua"/>
          <w:b/>
          <w:bCs/>
          <w:sz w:val="19"/>
          <w:szCs w:val="19"/>
          <w:highlight w:val="cyan"/>
        </w:rPr>
        <w:t>à imprensa</w:t>
      </w:r>
      <w:r w:rsidRPr="00F56EF9">
        <w:rPr>
          <w:rFonts w:ascii="Book Antiqua" w:hAnsi="Book Antiqua"/>
          <w:b/>
          <w:bCs/>
          <w:sz w:val="19"/>
          <w:szCs w:val="19"/>
        </w:rPr>
        <w:t xml:space="preserve"> ou ao público durante a totalidade ou parte do processo, quando a bem da moralidade, da ordem pública ou da segurança nacional numa sociedade democrática, quando os interesses de menores ou a </w:t>
      </w:r>
      <w:proofErr w:type="spellStart"/>
      <w:r w:rsidRPr="00F56EF9">
        <w:rPr>
          <w:rFonts w:ascii="Book Antiqua" w:hAnsi="Book Antiqua"/>
          <w:b/>
          <w:bCs/>
          <w:sz w:val="19"/>
          <w:szCs w:val="19"/>
        </w:rPr>
        <w:t>protecção</w:t>
      </w:r>
      <w:proofErr w:type="spellEnd"/>
      <w:r w:rsidRPr="00F56EF9">
        <w:rPr>
          <w:rFonts w:ascii="Book Antiqua" w:hAnsi="Book Antiqua"/>
          <w:b/>
          <w:bCs/>
          <w:sz w:val="19"/>
          <w:szCs w:val="19"/>
        </w:rPr>
        <w:t xml:space="preserve"> da vida privada das partes no processo o exigirem, ou, na medida julgada estritamente necessária pelo tribunal, quando, em circunstâncias especiais, a publicidade pudesse ser prejudicial para os interesses da justiça.</w:t>
      </w:r>
      <w:r w:rsidR="00AF61AC" w:rsidRPr="00F56EF9">
        <w:rPr>
          <w:rFonts w:ascii="Book Antiqua" w:hAnsi="Book Antiqua"/>
          <w:b/>
          <w:bCs/>
          <w:sz w:val="19"/>
          <w:szCs w:val="19"/>
        </w:rPr>
        <w:t xml:space="preserve"> </w:t>
      </w:r>
      <w:r w:rsidR="00AF61AC" w:rsidRPr="00F56EF9">
        <w:rPr>
          <w:rFonts w:ascii="Book Antiqua" w:hAnsi="Book Antiqua"/>
          <w:b/>
          <w:bCs/>
          <w:color w:val="FF0000"/>
          <w:sz w:val="16"/>
          <w:szCs w:val="16"/>
          <w:u w:val="single"/>
        </w:rPr>
        <w:t>(DPETO-2013)</w:t>
      </w:r>
    </w:p>
    <w:tbl>
      <w:tblPr>
        <w:tblStyle w:val="Tabelacomgrade"/>
        <w:tblW w:w="0" w:type="auto"/>
        <w:tblLook w:val="04A0" w:firstRow="1" w:lastRow="0" w:firstColumn="1" w:lastColumn="0" w:noHBand="0" w:noVBand="1"/>
      </w:tblPr>
      <w:tblGrid>
        <w:gridCol w:w="8494"/>
      </w:tblGrid>
      <w:tr w:rsidR="00DF4B30" w14:paraId="19060DC8" w14:textId="77777777" w:rsidTr="00DF4B30">
        <w:tc>
          <w:tcPr>
            <w:tcW w:w="8494" w:type="dxa"/>
            <w:shd w:val="clear" w:color="auto" w:fill="CCFFFF"/>
          </w:tcPr>
          <w:p w14:paraId="24317945" w14:textId="5D539FF9" w:rsidR="00DF4B30" w:rsidRPr="00DF4B30" w:rsidRDefault="00DF4B30" w:rsidP="007422DB">
            <w:pPr>
              <w:jc w:val="both"/>
              <w:rPr>
                <w:rFonts w:ascii="Book Antiqua" w:hAnsi="Book Antiqua"/>
                <w:b/>
                <w:bCs/>
                <w:sz w:val="19"/>
                <w:szCs w:val="19"/>
              </w:rPr>
            </w:pPr>
            <w:r>
              <w:rPr>
                <w:rFonts w:ascii="Book Antiqua" w:hAnsi="Book Antiqua"/>
                <w:b/>
                <w:bCs/>
                <w:sz w:val="19"/>
                <w:szCs w:val="19"/>
              </w:rPr>
              <w:t>(</w:t>
            </w:r>
            <w:r w:rsidRPr="00DF4B30">
              <w:rPr>
                <w:rFonts w:ascii="Book Antiqua" w:hAnsi="Book Antiqua"/>
                <w:b/>
                <w:bCs/>
                <w:sz w:val="19"/>
                <w:szCs w:val="19"/>
                <w:highlight w:val="yellow"/>
              </w:rPr>
              <w:t>DPETO-2013-CESPE</w:t>
            </w:r>
            <w:r>
              <w:rPr>
                <w:rFonts w:ascii="Book Antiqua" w:hAnsi="Book Antiqua"/>
                <w:b/>
                <w:bCs/>
                <w:sz w:val="19"/>
                <w:szCs w:val="19"/>
              </w:rPr>
              <w:t>)</w:t>
            </w:r>
            <w:r>
              <w:rPr>
                <w:rFonts w:ascii="Book Antiqua" w:hAnsi="Book Antiqua"/>
                <w:sz w:val="19"/>
                <w:szCs w:val="19"/>
              </w:rPr>
              <w:t xml:space="preserve">: </w:t>
            </w:r>
            <w:r w:rsidRPr="00DF4B30">
              <w:rPr>
                <w:rFonts w:ascii="Book Antiqua" w:hAnsi="Book Antiqua"/>
                <w:sz w:val="19"/>
                <w:szCs w:val="19"/>
              </w:rPr>
              <w:t>Assinale a opção correta acerca das garantias judiciais no âmbito do direito internacional</w:t>
            </w:r>
            <w:r>
              <w:rPr>
                <w:rFonts w:ascii="Book Antiqua" w:hAnsi="Book Antiqua"/>
                <w:sz w:val="19"/>
                <w:szCs w:val="19"/>
              </w:rPr>
              <w:t xml:space="preserve">: </w:t>
            </w:r>
            <w:r w:rsidRPr="00DF4B30">
              <w:rPr>
                <w:rFonts w:ascii="Book Antiqua" w:hAnsi="Book Antiqua"/>
                <w:sz w:val="19"/>
                <w:szCs w:val="19"/>
              </w:rPr>
              <w:t>A Convenção Europeia sobre Direitos Humanos permite que à imprensa seja negado o acesso às sessões de julgamento nos tribunais.</w:t>
            </w:r>
            <w:r>
              <w:rPr>
                <w:rFonts w:ascii="Book Antiqua" w:hAnsi="Book Antiqua"/>
                <w:sz w:val="19"/>
                <w:szCs w:val="19"/>
              </w:rPr>
              <w:t xml:space="preserve"> </w:t>
            </w:r>
            <w:r>
              <w:rPr>
                <w:rFonts w:ascii="Book Antiqua" w:hAnsi="Book Antiqua"/>
                <w:b/>
                <w:bCs/>
                <w:sz w:val="19"/>
                <w:szCs w:val="19"/>
              </w:rPr>
              <w:t xml:space="preserve">BL: art. 6º, item 1, </w:t>
            </w:r>
            <w:proofErr w:type="spellStart"/>
            <w:r>
              <w:rPr>
                <w:rFonts w:ascii="Book Antiqua" w:hAnsi="Book Antiqua"/>
                <w:b/>
                <w:bCs/>
                <w:sz w:val="19"/>
                <w:szCs w:val="19"/>
              </w:rPr>
              <w:t>Conv</w:t>
            </w:r>
            <w:proofErr w:type="spellEnd"/>
            <w:r>
              <w:rPr>
                <w:rFonts w:ascii="Book Antiqua" w:hAnsi="Book Antiqua"/>
                <w:b/>
                <w:bCs/>
                <w:sz w:val="19"/>
                <w:szCs w:val="19"/>
              </w:rPr>
              <w:t>. Europeia.</w:t>
            </w:r>
          </w:p>
        </w:tc>
      </w:tr>
    </w:tbl>
    <w:p w14:paraId="738FC45E" w14:textId="0D3BF082"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Qualquer pessoa acusada de uma infracção presume-se inocente enquanto a sua culpabilidade não tiver sido legalmente provada.</w:t>
      </w:r>
    </w:p>
    <w:p w14:paraId="6D6D2F99"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DF4B30">
        <w:rPr>
          <w:rFonts w:ascii="Book Antiqua" w:hAnsi="Book Antiqua"/>
          <w:b/>
          <w:bCs/>
          <w:sz w:val="19"/>
          <w:szCs w:val="19"/>
          <w:highlight w:val="magenta"/>
        </w:rPr>
        <w:t>3</w:t>
      </w:r>
      <w:r w:rsidRPr="007422DB">
        <w:rPr>
          <w:rFonts w:ascii="Book Antiqua" w:hAnsi="Book Antiqua"/>
          <w:sz w:val="19"/>
          <w:szCs w:val="19"/>
        </w:rPr>
        <w:t>. O acusado tem, como mínimo, os seguintes direitos:</w:t>
      </w:r>
    </w:p>
    <w:p w14:paraId="10C7FEB1"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 Ser informado no mais curto prazo, em língua que entenda e de forma minuciosa, da natureza e da causa da acusação contra ele formulada;</w:t>
      </w:r>
    </w:p>
    <w:p w14:paraId="63827463"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b) Dispor do tempo e dos meios necessários para a preparação da sua defesa;</w:t>
      </w:r>
    </w:p>
    <w:p w14:paraId="1EB7DAA0" w14:textId="3081283E"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c) Defender</w:t>
      </w:r>
      <w:r w:rsidR="00DF4B30">
        <w:rPr>
          <w:rFonts w:ascii="Book Antiqua" w:hAnsi="Book Antiqua"/>
          <w:sz w:val="19"/>
          <w:szCs w:val="19"/>
        </w:rPr>
        <w:t>-</w:t>
      </w:r>
      <w:r w:rsidRPr="007422DB">
        <w:rPr>
          <w:rFonts w:ascii="Book Antiqua" w:hAnsi="Book Antiqua"/>
          <w:sz w:val="19"/>
          <w:szCs w:val="19"/>
        </w:rPr>
        <w:t>se a si próprio ou ter a assistência de um defensor da sua escolha e, se não tiver meios para remunerar um defensor, poder ser assistido gratuitamente por um defensor oficioso, quando os interesses da justiça o exigirem;</w:t>
      </w:r>
    </w:p>
    <w:p w14:paraId="0E4AEBBE"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lastRenderedPageBreak/>
        <w:t>d) Interrogar ou fazer interrogar as testemunhas de acusação e obter a convocação e o interrogatório das testemunhas de defesa nas mesmas condições que as testemunhas de acusação;</w:t>
      </w:r>
    </w:p>
    <w:p w14:paraId="6B4293AA" w14:textId="4C4E9A59" w:rsidR="007422DB" w:rsidRPr="00AF61AC" w:rsidRDefault="007422DB" w:rsidP="00F56EF9">
      <w:pPr>
        <w:spacing w:before="100" w:beforeAutospacing="1" w:after="100" w:afterAutospacing="1" w:line="240" w:lineRule="auto"/>
        <w:jc w:val="both"/>
        <w:rPr>
          <w:rFonts w:ascii="Book Antiqua" w:hAnsi="Book Antiqua"/>
          <w:sz w:val="16"/>
          <w:szCs w:val="16"/>
        </w:rPr>
      </w:pPr>
      <w:r w:rsidRPr="00DF4B30">
        <w:rPr>
          <w:rFonts w:ascii="Book Antiqua" w:hAnsi="Book Antiqua"/>
          <w:b/>
          <w:bCs/>
          <w:sz w:val="19"/>
          <w:szCs w:val="19"/>
        </w:rPr>
        <w:t>e) Fazer</w:t>
      </w:r>
      <w:r w:rsidR="00DF4B30" w:rsidRPr="00DF4B30">
        <w:rPr>
          <w:rFonts w:ascii="Book Antiqua" w:hAnsi="Book Antiqua"/>
          <w:b/>
          <w:bCs/>
          <w:sz w:val="19"/>
          <w:szCs w:val="19"/>
        </w:rPr>
        <w:t>-</w:t>
      </w:r>
      <w:r w:rsidRPr="00DF4B30">
        <w:rPr>
          <w:rFonts w:ascii="Book Antiqua" w:hAnsi="Book Antiqua"/>
          <w:b/>
          <w:bCs/>
          <w:sz w:val="19"/>
          <w:szCs w:val="19"/>
        </w:rPr>
        <w:t>se assistir gratuitamente por intérprete, se não compreender ou não falar a língua usada no processo</w:t>
      </w:r>
      <w:r w:rsidRPr="00AF61AC">
        <w:rPr>
          <w:rFonts w:ascii="Book Antiqua" w:hAnsi="Book Antiqua"/>
          <w:sz w:val="16"/>
          <w:szCs w:val="16"/>
        </w:rPr>
        <w:t>.</w:t>
      </w:r>
      <w:r w:rsidR="00DF4B30" w:rsidRPr="00AF61AC">
        <w:rPr>
          <w:rFonts w:ascii="Book Antiqua" w:hAnsi="Book Antiqua"/>
          <w:sz w:val="16"/>
          <w:szCs w:val="16"/>
        </w:rPr>
        <w:t xml:space="preserve"> </w:t>
      </w:r>
      <w:r w:rsidR="00DF4B30" w:rsidRPr="00AF61AC">
        <w:rPr>
          <w:rFonts w:ascii="Book Antiqua" w:hAnsi="Book Antiqua"/>
          <w:b/>
          <w:bCs/>
          <w:color w:val="FF0000"/>
          <w:sz w:val="16"/>
          <w:szCs w:val="16"/>
          <w:u w:val="single"/>
        </w:rPr>
        <w:t>(DPETO-2013)</w:t>
      </w:r>
    </w:p>
    <w:p w14:paraId="7427D113"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7.º</w:t>
      </w:r>
    </w:p>
    <w:p w14:paraId="368CAA88"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(Princípio da legalidade)</w:t>
      </w:r>
    </w:p>
    <w:p w14:paraId="4D76FB26"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1. Ninguém pode ser condenado por uma </w:t>
      </w:r>
      <w:proofErr w:type="spellStart"/>
      <w:r w:rsidRPr="007422DB">
        <w:rPr>
          <w:rFonts w:ascii="Book Antiqua" w:hAnsi="Book Antiqua"/>
          <w:sz w:val="19"/>
          <w:szCs w:val="19"/>
        </w:rPr>
        <w:t>acção</w:t>
      </w:r>
      <w:proofErr w:type="spellEnd"/>
      <w:r w:rsidRPr="007422DB">
        <w:rPr>
          <w:rFonts w:ascii="Book Antiqua" w:hAnsi="Book Antiqua"/>
          <w:sz w:val="19"/>
          <w:szCs w:val="19"/>
        </w:rPr>
        <w:t xml:space="preserve"> ou uma omissão que, no momento em que foi cometida, não constituía infracção, segundo o direito nacional ou internacional. Igualmente não pode ser imposta uma </w:t>
      </w:r>
      <w:proofErr w:type="gramStart"/>
      <w:r w:rsidRPr="007422DB">
        <w:rPr>
          <w:rFonts w:ascii="Book Antiqua" w:hAnsi="Book Antiqua"/>
          <w:sz w:val="19"/>
          <w:szCs w:val="19"/>
        </w:rPr>
        <w:t>pena mais grave</w:t>
      </w:r>
      <w:proofErr w:type="gramEnd"/>
      <w:r w:rsidRPr="007422DB">
        <w:rPr>
          <w:rFonts w:ascii="Book Antiqua" w:hAnsi="Book Antiqua"/>
          <w:sz w:val="19"/>
          <w:szCs w:val="19"/>
        </w:rPr>
        <w:t xml:space="preserve"> do que a aplicável no momento em que a infracção foi cometida.</w:t>
      </w:r>
    </w:p>
    <w:p w14:paraId="688DAF2D"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2. O presente artigo não invalidará a sentença ou a pena de uma pessoa culpada de uma </w:t>
      </w:r>
      <w:proofErr w:type="spellStart"/>
      <w:r w:rsidRPr="007422DB">
        <w:rPr>
          <w:rFonts w:ascii="Book Antiqua" w:hAnsi="Book Antiqua"/>
          <w:sz w:val="19"/>
          <w:szCs w:val="19"/>
        </w:rPr>
        <w:t>acção</w:t>
      </w:r>
      <w:proofErr w:type="spellEnd"/>
      <w:r w:rsidRPr="007422DB">
        <w:rPr>
          <w:rFonts w:ascii="Book Antiqua" w:hAnsi="Book Antiqua"/>
          <w:sz w:val="19"/>
          <w:szCs w:val="19"/>
        </w:rPr>
        <w:t xml:space="preserve"> ou de uma omissão que, no momento em que foi cometida, constituía crime segundo os princípios gerais de direito reconhecidos pelas nações civilizadas.</w:t>
      </w:r>
    </w:p>
    <w:p w14:paraId="1E865167"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8.º</w:t>
      </w:r>
    </w:p>
    <w:p w14:paraId="21EDA028"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(Direito ao respeito pela vida privada e familiar)</w:t>
      </w:r>
    </w:p>
    <w:p w14:paraId="3425D9CD"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Qualquer pessoa tem direito ao respeito da sua vida privada e familiar, do seu domicílio e da sua correspondência.</w:t>
      </w:r>
    </w:p>
    <w:p w14:paraId="2B215AF3"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2. Não pode haver ingerência da autoridade pública no exercício deste direito senão quando esta ingerência estiver prevista na lei e constituir uma providência que, numa sociedade democrática, seja necessária para a segurança nacional, para a segurança pública, para o bem-estar económico do país, a defesa da ordem e a prevenção das infracções penais, a </w:t>
      </w:r>
      <w:proofErr w:type="spellStart"/>
      <w:r w:rsidRPr="007422DB">
        <w:rPr>
          <w:rFonts w:ascii="Book Antiqua" w:hAnsi="Book Antiqua"/>
          <w:sz w:val="19"/>
          <w:szCs w:val="19"/>
        </w:rPr>
        <w:t>protecção</w:t>
      </w:r>
      <w:proofErr w:type="spellEnd"/>
      <w:r w:rsidRPr="007422DB">
        <w:rPr>
          <w:rFonts w:ascii="Book Antiqua" w:hAnsi="Book Antiqua"/>
          <w:sz w:val="19"/>
          <w:szCs w:val="19"/>
        </w:rPr>
        <w:t xml:space="preserve"> da saúde ou da moral, ou a </w:t>
      </w:r>
      <w:proofErr w:type="spellStart"/>
      <w:r w:rsidRPr="007422DB">
        <w:rPr>
          <w:rFonts w:ascii="Book Antiqua" w:hAnsi="Book Antiqua"/>
          <w:sz w:val="19"/>
          <w:szCs w:val="19"/>
        </w:rPr>
        <w:t>protecção</w:t>
      </w:r>
      <w:proofErr w:type="spellEnd"/>
      <w:r w:rsidRPr="007422DB">
        <w:rPr>
          <w:rFonts w:ascii="Book Antiqua" w:hAnsi="Book Antiqua"/>
          <w:sz w:val="19"/>
          <w:szCs w:val="19"/>
        </w:rPr>
        <w:t xml:space="preserve"> dos direitos e das liberdades de terceiros.</w:t>
      </w:r>
    </w:p>
    <w:p w14:paraId="39AAEF13"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9.º</w:t>
      </w:r>
    </w:p>
    <w:p w14:paraId="6DA27AB9"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(Liberdade de pensamento, de consciência e de religião)</w:t>
      </w:r>
    </w:p>
    <w:p w14:paraId="0D4B0EB6"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1. Qualquer pessoa tem direito à liberdade de pensamento, de consciência e de religião; este direito implica a liberdade de mudar de religião ou de crença, assim como a liberdade de manifestar a sua religião ou a sua crença, individual ou </w:t>
      </w:r>
      <w:proofErr w:type="spellStart"/>
      <w:r w:rsidRPr="007422DB">
        <w:rPr>
          <w:rFonts w:ascii="Book Antiqua" w:hAnsi="Book Antiqua"/>
          <w:sz w:val="19"/>
          <w:szCs w:val="19"/>
        </w:rPr>
        <w:t>colectivamente</w:t>
      </w:r>
      <w:proofErr w:type="spellEnd"/>
      <w:r w:rsidRPr="007422DB">
        <w:rPr>
          <w:rFonts w:ascii="Book Antiqua" w:hAnsi="Book Antiqua"/>
          <w:sz w:val="19"/>
          <w:szCs w:val="19"/>
        </w:rPr>
        <w:t>, em público e em privado, por meio do culto, do ensino, de práticas e da celebração de ritos.</w:t>
      </w:r>
    </w:p>
    <w:p w14:paraId="13800734"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2. A liberdade de manifestar a sua religião ou convicções, individual ou </w:t>
      </w:r>
      <w:proofErr w:type="spellStart"/>
      <w:r w:rsidRPr="007422DB">
        <w:rPr>
          <w:rFonts w:ascii="Book Antiqua" w:hAnsi="Book Antiqua"/>
          <w:sz w:val="19"/>
          <w:szCs w:val="19"/>
        </w:rPr>
        <w:t>colectivamente</w:t>
      </w:r>
      <w:proofErr w:type="spellEnd"/>
      <w:r w:rsidRPr="007422DB">
        <w:rPr>
          <w:rFonts w:ascii="Book Antiqua" w:hAnsi="Book Antiqua"/>
          <w:sz w:val="19"/>
          <w:szCs w:val="19"/>
        </w:rPr>
        <w:t xml:space="preserve">, não pode ser </w:t>
      </w:r>
      <w:proofErr w:type="spellStart"/>
      <w:r w:rsidRPr="007422DB">
        <w:rPr>
          <w:rFonts w:ascii="Book Antiqua" w:hAnsi="Book Antiqua"/>
          <w:sz w:val="19"/>
          <w:szCs w:val="19"/>
        </w:rPr>
        <w:t>objecto</w:t>
      </w:r>
      <w:proofErr w:type="spellEnd"/>
      <w:r w:rsidRPr="007422DB">
        <w:rPr>
          <w:rFonts w:ascii="Book Antiqua" w:hAnsi="Book Antiqua"/>
          <w:sz w:val="19"/>
          <w:szCs w:val="19"/>
        </w:rPr>
        <w:t xml:space="preserve"> de outras restrições senão as que, previstas na lei, constituírem disposições necessárias, numa sociedade democrática, à segurança pública, à </w:t>
      </w:r>
      <w:proofErr w:type="spellStart"/>
      <w:r w:rsidRPr="007422DB">
        <w:rPr>
          <w:rFonts w:ascii="Book Antiqua" w:hAnsi="Book Antiqua"/>
          <w:sz w:val="19"/>
          <w:szCs w:val="19"/>
        </w:rPr>
        <w:t>protecção</w:t>
      </w:r>
      <w:proofErr w:type="spellEnd"/>
      <w:r w:rsidRPr="007422DB">
        <w:rPr>
          <w:rFonts w:ascii="Book Antiqua" w:hAnsi="Book Antiqua"/>
          <w:sz w:val="19"/>
          <w:szCs w:val="19"/>
        </w:rPr>
        <w:t xml:space="preserve"> da ordem, da saúde e moral públicas, ou à </w:t>
      </w:r>
      <w:proofErr w:type="spellStart"/>
      <w:r w:rsidRPr="007422DB">
        <w:rPr>
          <w:rFonts w:ascii="Book Antiqua" w:hAnsi="Book Antiqua"/>
          <w:sz w:val="19"/>
          <w:szCs w:val="19"/>
        </w:rPr>
        <w:t>protecção</w:t>
      </w:r>
      <w:proofErr w:type="spellEnd"/>
      <w:r w:rsidRPr="007422DB">
        <w:rPr>
          <w:rFonts w:ascii="Book Antiqua" w:hAnsi="Book Antiqua"/>
          <w:sz w:val="19"/>
          <w:szCs w:val="19"/>
        </w:rPr>
        <w:t xml:space="preserve"> dos direitos e liberdades de outrem.</w:t>
      </w:r>
    </w:p>
    <w:p w14:paraId="31A11A6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234C89">
        <w:rPr>
          <w:rFonts w:ascii="Book Antiqua" w:hAnsi="Book Antiqua"/>
          <w:b/>
          <w:bCs/>
          <w:sz w:val="19"/>
          <w:szCs w:val="19"/>
          <w:highlight w:val="magenta"/>
        </w:rPr>
        <w:t>Artigo 10.º</w:t>
      </w:r>
    </w:p>
    <w:p w14:paraId="0C7DAF77"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(Liberdade de expressão)</w:t>
      </w:r>
    </w:p>
    <w:p w14:paraId="4CC132DC" w14:textId="558206CD" w:rsidR="007422DB" w:rsidRPr="00AF61AC" w:rsidRDefault="007422DB" w:rsidP="00F56EF9">
      <w:pPr>
        <w:spacing w:before="100" w:beforeAutospacing="1" w:after="100" w:afterAutospacing="1" w:line="240" w:lineRule="auto"/>
        <w:jc w:val="both"/>
        <w:rPr>
          <w:rFonts w:ascii="Book Antiqua" w:hAnsi="Book Antiqua"/>
          <w:b/>
          <w:bCs/>
          <w:sz w:val="16"/>
          <w:szCs w:val="16"/>
          <w:u w:val="single"/>
        </w:rPr>
      </w:pPr>
      <w:r w:rsidRPr="00234C89">
        <w:rPr>
          <w:rFonts w:ascii="Book Antiqua" w:hAnsi="Book Antiqua"/>
          <w:b/>
          <w:bCs/>
          <w:sz w:val="19"/>
          <w:szCs w:val="19"/>
          <w:highlight w:val="magenta"/>
        </w:rPr>
        <w:t>1</w:t>
      </w:r>
      <w:r w:rsidRPr="007422DB">
        <w:rPr>
          <w:rFonts w:ascii="Book Antiqua" w:hAnsi="Book Antiqua"/>
          <w:sz w:val="19"/>
          <w:szCs w:val="19"/>
        </w:rPr>
        <w:t xml:space="preserve">. Qualquer pessoa tem direito à liberdade de expressão. Este direito compreende a liberdade de opinião e a liberdade de receber ou de transmitir informações ou ideias sem que possa haver ingerência de quaisquer autoridades públicas e sem considerações de fronteiras. </w:t>
      </w:r>
      <w:r w:rsidRPr="00234C89">
        <w:rPr>
          <w:rFonts w:ascii="Book Antiqua" w:hAnsi="Book Antiqua"/>
          <w:b/>
          <w:bCs/>
          <w:sz w:val="19"/>
          <w:szCs w:val="19"/>
        </w:rPr>
        <w:t xml:space="preserve">O presente artigo </w:t>
      </w:r>
      <w:r w:rsidRPr="00234C89">
        <w:rPr>
          <w:rFonts w:ascii="Book Antiqua" w:hAnsi="Book Antiqua"/>
          <w:b/>
          <w:bCs/>
          <w:caps/>
          <w:sz w:val="19"/>
          <w:szCs w:val="19"/>
          <w:highlight w:val="green"/>
        </w:rPr>
        <w:t>não impede</w:t>
      </w:r>
      <w:r w:rsidRPr="00234C89">
        <w:rPr>
          <w:rFonts w:ascii="Book Antiqua" w:hAnsi="Book Antiqua"/>
          <w:b/>
          <w:bCs/>
          <w:sz w:val="19"/>
          <w:szCs w:val="19"/>
        </w:rPr>
        <w:t xml:space="preserve"> que os Estados submetam as empresas de radiodifusão, de cinematografia ou de televisão a um regime de autorização prévia</w:t>
      </w:r>
      <w:r w:rsidRPr="00AF61AC">
        <w:rPr>
          <w:rFonts w:ascii="Book Antiqua" w:hAnsi="Book Antiqua"/>
          <w:sz w:val="16"/>
          <w:szCs w:val="16"/>
        </w:rPr>
        <w:t>.</w:t>
      </w:r>
      <w:r w:rsidR="00234C89" w:rsidRPr="00AF61AC">
        <w:rPr>
          <w:rFonts w:ascii="Book Antiqua" w:hAnsi="Book Antiqua"/>
          <w:sz w:val="16"/>
          <w:szCs w:val="16"/>
        </w:rPr>
        <w:t xml:space="preserve"> </w:t>
      </w:r>
      <w:r w:rsidR="00234C89" w:rsidRPr="00AF61AC">
        <w:rPr>
          <w:rFonts w:ascii="Book Antiqua" w:hAnsi="Book Antiqua"/>
          <w:b/>
          <w:bCs/>
          <w:color w:val="FF0000"/>
          <w:sz w:val="16"/>
          <w:szCs w:val="16"/>
          <w:u w:val="single"/>
        </w:rPr>
        <w:t>(DPETO-2013)</w:t>
      </w:r>
    </w:p>
    <w:p w14:paraId="2AC8F877"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2. O exercício desta liberdades, porquanto implica deveres e responsabilidades, pode ser submetido a certas formalidades, condições, restrições ou sanções, previstas pela lei, que constituam providências necessárias, numa sociedade democrática, para a segurança nacional, a integridade territorial ou a segurança pública, a defesa da ordem e a prevenção do crime, a </w:t>
      </w:r>
      <w:proofErr w:type="spellStart"/>
      <w:r w:rsidRPr="007422DB">
        <w:rPr>
          <w:rFonts w:ascii="Book Antiqua" w:hAnsi="Book Antiqua"/>
          <w:sz w:val="19"/>
          <w:szCs w:val="19"/>
        </w:rPr>
        <w:t>protecção</w:t>
      </w:r>
      <w:proofErr w:type="spellEnd"/>
      <w:r w:rsidRPr="007422DB">
        <w:rPr>
          <w:rFonts w:ascii="Book Antiqua" w:hAnsi="Book Antiqua"/>
          <w:sz w:val="19"/>
          <w:szCs w:val="19"/>
        </w:rPr>
        <w:t xml:space="preserve"> da saúde ou da moral, a </w:t>
      </w:r>
      <w:proofErr w:type="spellStart"/>
      <w:r w:rsidRPr="007422DB">
        <w:rPr>
          <w:rFonts w:ascii="Book Antiqua" w:hAnsi="Book Antiqua"/>
          <w:sz w:val="19"/>
          <w:szCs w:val="19"/>
        </w:rPr>
        <w:lastRenderedPageBreak/>
        <w:t>protecção</w:t>
      </w:r>
      <w:proofErr w:type="spellEnd"/>
      <w:r w:rsidRPr="007422DB">
        <w:rPr>
          <w:rFonts w:ascii="Book Antiqua" w:hAnsi="Book Antiqua"/>
          <w:sz w:val="19"/>
          <w:szCs w:val="19"/>
        </w:rPr>
        <w:t xml:space="preserve"> da honra ou dos direitos de outrem, para impedir a divulgação de informações confidenciais, ou para garantir a autoridade e a imparcialidade do poder judicial.</w:t>
      </w:r>
    </w:p>
    <w:p w14:paraId="7AF0BF33"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11.º</w:t>
      </w:r>
    </w:p>
    <w:p w14:paraId="00E3FCCB"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(Liberdade de reunião e de associação)</w:t>
      </w:r>
    </w:p>
    <w:p w14:paraId="4565B590"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Qualquer pessoa tem direito à liberdade de reunião pacífica e à liberdade de associação, incluindo o direito de, com outrem, fundar e filiar-se em sindicatos para a defesa dos seus interesses.</w:t>
      </w:r>
    </w:p>
    <w:p w14:paraId="69F32988"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2. O exercício deste direito só pode ser </w:t>
      </w:r>
      <w:proofErr w:type="spellStart"/>
      <w:r w:rsidRPr="007422DB">
        <w:rPr>
          <w:rFonts w:ascii="Book Antiqua" w:hAnsi="Book Antiqua"/>
          <w:sz w:val="19"/>
          <w:szCs w:val="19"/>
        </w:rPr>
        <w:t>objecto</w:t>
      </w:r>
      <w:proofErr w:type="spellEnd"/>
      <w:r w:rsidRPr="007422DB">
        <w:rPr>
          <w:rFonts w:ascii="Book Antiqua" w:hAnsi="Book Antiqua"/>
          <w:sz w:val="19"/>
          <w:szCs w:val="19"/>
        </w:rPr>
        <w:t xml:space="preserve"> de restrições que, sendo previstas na lei, constituírem disposições necessárias, numa sociedade democrática, para a segurança nacional, a segurança pública, a defesa da ordem e a prevenção do crime, a </w:t>
      </w:r>
      <w:proofErr w:type="spellStart"/>
      <w:r w:rsidRPr="007422DB">
        <w:rPr>
          <w:rFonts w:ascii="Book Antiqua" w:hAnsi="Book Antiqua"/>
          <w:sz w:val="19"/>
          <w:szCs w:val="19"/>
        </w:rPr>
        <w:t>protecção</w:t>
      </w:r>
      <w:proofErr w:type="spellEnd"/>
      <w:r w:rsidRPr="007422DB">
        <w:rPr>
          <w:rFonts w:ascii="Book Antiqua" w:hAnsi="Book Antiqua"/>
          <w:sz w:val="19"/>
          <w:szCs w:val="19"/>
        </w:rPr>
        <w:t xml:space="preserve"> da saúde ou da moral, ou a </w:t>
      </w:r>
      <w:proofErr w:type="spellStart"/>
      <w:r w:rsidRPr="007422DB">
        <w:rPr>
          <w:rFonts w:ascii="Book Antiqua" w:hAnsi="Book Antiqua"/>
          <w:sz w:val="19"/>
          <w:szCs w:val="19"/>
        </w:rPr>
        <w:t>protecção</w:t>
      </w:r>
      <w:proofErr w:type="spellEnd"/>
      <w:r w:rsidRPr="007422DB">
        <w:rPr>
          <w:rFonts w:ascii="Book Antiqua" w:hAnsi="Book Antiqua"/>
          <w:sz w:val="19"/>
          <w:szCs w:val="19"/>
        </w:rPr>
        <w:t xml:space="preserve"> dos direitos e das liberdades de terceiros. O presente artigo não proíbe que sejam impostas restrições legítimas ao exercício destes direitos aos membros das forças armadas, da polícia ou da administração do Estado.</w:t>
      </w:r>
    </w:p>
    <w:p w14:paraId="308D3201"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12.º</w:t>
      </w:r>
    </w:p>
    <w:p w14:paraId="33C423E9"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(Direito ao casamento)</w:t>
      </w:r>
    </w:p>
    <w:p w14:paraId="06A2696E"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 partir da idade núbil, o homem e a mulher têm o direito de se casar e de constituir família, segundo as leis nacionais que regem o exercício deste direito.</w:t>
      </w:r>
    </w:p>
    <w:p w14:paraId="1FB354E3"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13.º</w:t>
      </w:r>
    </w:p>
    <w:p w14:paraId="3DCC5D95"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 xml:space="preserve">(Direito a um recurso </w:t>
      </w:r>
      <w:proofErr w:type="spellStart"/>
      <w:r w:rsidRPr="007422DB">
        <w:rPr>
          <w:rFonts w:ascii="Book Antiqua" w:hAnsi="Book Antiqua"/>
          <w:b/>
          <w:bCs/>
          <w:sz w:val="19"/>
          <w:szCs w:val="19"/>
        </w:rPr>
        <w:t>efectivo</w:t>
      </w:r>
      <w:proofErr w:type="spellEnd"/>
      <w:r w:rsidRPr="007422DB">
        <w:rPr>
          <w:rFonts w:ascii="Book Antiqua" w:hAnsi="Book Antiqua"/>
          <w:b/>
          <w:bCs/>
          <w:sz w:val="19"/>
          <w:szCs w:val="19"/>
        </w:rPr>
        <w:t>)</w:t>
      </w:r>
    </w:p>
    <w:p w14:paraId="642F0427"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Qualquer pessoa cujos direitos e liberdades reconhecidos na presente Convenção tiverem sido violados tem direito a recurso perante uma instância nacional, mesmo quando a violação tiver sido cometida por pessoas que </w:t>
      </w:r>
      <w:proofErr w:type="spellStart"/>
      <w:r w:rsidRPr="007422DB">
        <w:rPr>
          <w:rFonts w:ascii="Book Antiqua" w:hAnsi="Book Antiqua"/>
          <w:sz w:val="19"/>
          <w:szCs w:val="19"/>
        </w:rPr>
        <w:t>actuem</w:t>
      </w:r>
      <w:proofErr w:type="spellEnd"/>
      <w:r w:rsidRPr="007422DB">
        <w:rPr>
          <w:rFonts w:ascii="Book Antiqua" w:hAnsi="Book Antiqua"/>
          <w:sz w:val="19"/>
          <w:szCs w:val="19"/>
        </w:rPr>
        <w:t xml:space="preserve"> no exercício das suas funções oficiais.</w:t>
      </w:r>
    </w:p>
    <w:p w14:paraId="7ABF430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14.º</w:t>
      </w:r>
    </w:p>
    <w:p w14:paraId="167A5A5A"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(Proibição de discriminação)</w:t>
      </w:r>
    </w:p>
    <w:p w14:paraId="6EE8F234"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O gozo dos direitos e liberdades reconhecidos na presente Convenção deve ser assegurado sem quaisquer distinções, tais como as fundadas no sexo, raça, cor, língua, religião, opiniões políticas ou outras, a origem nacional ou social, a pertença a uma minoria nacional, a riqueza, o nascimento ou qualquer outra situação.</w:t>
      </w:r>
    </w:p>
    <w:p w14:paraId="79A0A7FA"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15.º</w:t>
      </w:r>
    </w:p>
    <w:p w14:paraId="23592206"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(Derrogação em caso de estado de necessidade)</w:t>
      </w:r>
    </w:p>
    <w:p w14:paraId="2D7B11EE"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Em caso de guerra ou de outro perigo público que ameace a vida da nação, qualquer Alta Parte Contratante pode tomar providências que derroguem as obrigações previstas na presente Convenção, na estrita medida em que o exigir a situação, e em que tais providências não estejam em contradição com as outras obrigações decorrentes do direito internacional.</w:t>
      </w:r>
    </w:p>
    <w:p w14:paraId="656B9174"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2. A disposição precedente não autoriza nenhuma derrogação ao artigo 2.º, salvo quanto ao caso de morte resultante de </w:t>
      </w:r>
      <w:proofErr w:type="spellStart"/>
      <w:r w:rsidRPr="007422DB">
        <w:rPr>
          <w:rFonts w:ascii="Book Antiqua" w:hAnsi="Book Antiqua"/>
          <w:sz w:val="19"/>
          <w:szCs w:val="19"/>
        </w:rPr>
        <w:t>actos</w:t>
      </w:r>
      <w:proofErr w:type="spellEnd"/>
      <w:r w:rsidRPr="007422DB">
        <w:rPr>
          <w:rFonts w:ascii="Book Antiqua" w:hAnsi="Book Antiqua"/>
          <w:sz w:val="19"/>
          <w:szCs w:val="19"/>
        </w:rPr>
        <w:t xml:space="preserve"> lícitos de guerra, nem aos artigos 3.º, 4.º (parágrafo 1) e 7.º</w:t>
      </w:r>
    </w:p>
    <w:p w14:paraId="6AB7FF9B"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3. Qualquer Alta Parte Contratante que exercer este direito de derrogação manterá completamente informado o Secretário-Geral do Conselho da Europa das providências tomadas e dos motivos que as provocaram. Deverá igualmente informar o Secretário-Geral do Conselho da Europa da data em que essas disposições tiverem deixado de estar em vigor e da data em que as da Convenção voltarem a ter plena aplicação.</w:t>
      </w:r>
    </w:p>
    <w:p w14:paraId="2FD5CFCD"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F31AF3">
        <w:rPr>
          <w:rFonts w:ascii="Book Antiqua" w:hAnsi="Book Antiqua"/>
          <w:b/>
          <w:bCs/>
          <w:sz w:val="19"/>
          <w:szCs w:val="19"/>
          <w:highlight w:val="magenta"/>
        </w:rPr>
        <w:lastRenderedPageBreak/>
        <w:t>Artigo 16.º</w:t>
      </w:r>
    </w:p>
    <w:p w14:paraId="3891B3EE"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 xml:space="preserve">(Restrições à </w:t>
      </w:r>
      <w:proofErr w:type="spellStart"/>
      <w:r w:rsidRPr="007422DB">
        <w:rPr>
          <w:rFonts w:ascii="Book Antiqua" w:hAnsi="Book Antiqua"/>
          <w:b/>
          <w:bCs/>
          <w:sz w:val="19"/>
          <w:szCs w:val="19"/>
        </w:rPr>
        <w:t>actividade</w:t>
      </w:r>
      <w:proofErr w:type="spellEnd"/>
      <w:r w:rsidRPr="007422DB">
        <w:rPr>
          <w:rFonts w:ascii="Book Antiqua" w:hAnsi="Book Antiqua"/>
          <w:b/>
          <w:bCs/>
          <w:sz w:val="19"/>
          <w:szCs w:val="19"/>
        </w:rPr>
        <w:t xml:space="preserve"> política dos estrangeiros)</w:t>
      </w:r>
    </w:p>
    <w:p w14:paraId="48B07DBD" w14:textId="5BA64B29" w:rsidR="007422DB" w:rsidRPr="00AF61AC" w:rsidRDefault="007422DB" w:rsidP="00F56EF9">
      <w:pPr>
        <w:spacing w:before="100" w:beforeAutospacing="1" w:after="100" w:afterAutospacing="1" w:line="240" w:lineRule="auto"/>
        <w:jc w:val="both"/>
        <w:rPr>
          <w:rFonts w:ascii="Book Antiqua" w:hAnsi="Book Antiqua"/>
          <w:sz w:val="16"/>
          <w:szCs w:val="16"/>
        </w:rPr>
      </w:pPr>
      <w:r w:rsidRPr="007422DB">
        <w:rPr>
          <w:rFonts w:ascii="Book Antiqua" w:hAnsi="Book Antiqua"/>
          <w:sz w:val="19"/>
          <w:szCs w:val="19"/>
        </w:rPr>
        <w:t xml:space="preserve">Nenhuma das disposições dos artigos 10.º, 11.º e 14.º pode ser considerada como proibição às Altas Partes Contratantes de imporem restrições à </w:t>
      </w:r>
      <w:proofErr w:type="spellStart"/>
      <w:r w:rsidRPr="007422DB">
        <w:rPr>
          <w:rFonts w:ascii="Book Antiqua" w:hAnsi="Book Antiqua"/>
          <w:sz w:val="19"/>
          <w:szCs w:val="19"/>
        </w:rPr>
        <w:t>actividade</w:t>
      </w:r>
      <w:proofErr w:type="spellEnd"/>
      <w:r w:rsidRPr="007422DB">
        <w:rPr>
          <w:rFonts w:ascii="Book Antiqua" w:hAnsi="Book Antiqua"/>
          <w:sz w:val="19"/>
          <w:szCs w:val="19"/>
        </w:rPr>
        <w:t xml:space="preserve"> política dos estrangeiros</w:t>
      </w:r>
      <w:r w:rsidRPr="00AF61AC">
        <w:rPr>
          <w:rFonts w:ascii="Book Antiqua" w:hAnsi="Book Antiqua"/>
          <w:sz w:val="16"/>
          <w:szCs w:val="16"/>
        </w:rPr>
        <w:t>.</w:t>
      </w:r>
      <w:r w:rsidR="00F31AF3" w:rsidRPr="00AF61AC">
        <w:rPr>
          <w:rFonts w:ascii="Book Antiqua" w:hAnsi="Book Antiqua"/>
          <w:sz w:val="16"/>
          <w:szCs w:val="16"/>
        </w:rPr>
        <w:t xml:space="preserve"> </w:t>
      </w:r>
      <w:r w:rsidR="00F31AF3" w:rsidRPr="00AF61AC">
        <w:rPr>
          <w:rFonts w:ascii="Book Antiqua" w:hAnsi="Book Antiqua"/>
          <w:b/>
          <w:bCs/>
          <w:color w:val="FF0000"/>
          <w:sz w:val="16"/>
          <w:szCs w:val="16"/>
          <w:u w:val="single"/>
        </w:rPr>
        <w:t>(DPERO-2012)</w:t>
      </w:r>
    </w:p>
    <w:p w14:paraId="35D4920E"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B43644">
        <w:rPr>
          <w:rFonts w:ascii="Book Antiqua" w:hAnsi="Book Antiqua"/>
          <w:b/>
          <w:bCs/>
          <w:sz w:val="19"/>
          <w:szCs w:val="19"/>
          <w:highlight w:val="magenta"/>
        </w:rPr>
        <w:t>Artigo 17.º</w:t>
      </w:r>
    </w:p>
    <w:p w14:paraId="36F3E71F"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(Proibição do abuso de direito)</w:t>
      </w:r>
    </w:p>
    <w:p w14:paraId="45F66767" w14:textId="6F07B8CB" w:rsidR="007422DB" w:rsidRPr="007422DB" w:rsidRDefault="007422DB" w:rsidP="00F56EF9">
      <w:pPr>
        <w:spacing w:before="100" w:beforeAutospacing="1" w:after="100" w:afterAutospacing="1" w:line="240" w:lineRule="auto"/>
        <w:jc w:val="both"/>
        <w:rPr>
          <w:rFonts w:ascii="Book Antiqua" w:hAnsi="Book Antiqua"/>
          <w:sz w:val="19"/>
          <w:szCs w:val="19"/>
        </w:rPr>
      </w:pPr>
      <w:r w:rsidRPr="00B43644">
        <w:rPr>
          <w:rFonts w:ascii="Book Antiqua" w:hAnsi="Book Antiqua"/>
          <w:b/>
          <w:bCs/>
          <w:sz w:val="19"/>
          <w:szCs w:val="19"/>
        </w:rPr>
        <w:t xml:space="preserve">Nenhuma das disposições da presente Convenção se pode interpretar no sentido de implicar para um Estado, grupo ou indivíduo qualquer direito de se dedicar a </w:t>
      </w:r>
      <w:proofErr w:type="spellStart"/>
      <w:r w:rsidRPr="00B43644">
        <w:rPr>
          <w:rFonts w:ascii="Book Antiqua" w:hAnsi="Book Antiqua"/>
          <w:b/>
          <w:bCs/>
          <w:sz w:val="19"/>
          <w:szCs w:val="19"/>
        </w:rPr>
        <w:t>actividade</w:t>
      </w:r>
      <w:proofErr w:type="spellEnd"/>
      <w:r w:rsidRPr="00B43644">
        <w:rPr>
          <w:rFonts w:ascii="Book Antiqua" w:hAnsi="Book Antiqua"/>
          <w:b/>
          <w:bCs/>
          <w:sz w:val="19"/>
          <w:szCs w:val="19"/>
        </w:rPr>
        <w:t xml:space="preserve"> ou praticar </w:t>
      </w:r>
      <w:proofErr w:type="spellStart"/>
      <w:r w:rsidRPr="00B43644">
        <w:rPr>
          <w:rFonts w:ascii="Book Antiqua" w:hAnsi="Book Antiqua"/>
          <w:b/>
          <w:bCs/>
          <w:sz w:val="19"/>
          <w:szCs w:val="19"/>
        </w:rPr>
        <w:t>actos</w:t>
      </w:r>
      <w:proofErr w:type="spellEnd"/>
      <w:r w:rsidRPr="00B43644">
        <w:rPr>
          <w:rFonts w:ascii="Book Antiqua" w:hAnsi="Book Antiqua"/>
          <w:b/>
          <w:bCs/>
          <w:sz w:val="19"/>
          <w:szCs w:val="19"/>
        </w:rPr>
        <w:t xml:space="preserve"> em ordem à destruição dos direitos ou liberdades reconhecidos na presente Convenção ou a maiores limitações de tais direitos e liberdades do que as previstas na Convenção</w:t>
      </w:r>
      <w:r w:rsidRPr="007422DB">
        <w:rPr>
          <w:rFonts w:ascii="Book Antiqua" w:hAnsi="Book Antiqua"/>
          <w:sz w:val="19"/>
          <w:szCs w:val="19"/>
        </w:rPr>
        <w:t>.</w:t>
      </w:r>
      <w:r w:rsidR="00B43644">
        <w:rPr>
          <w:rFonts w:ascii="Book Antiqua" w:hAnsi="Book Antiqua"/>
          <w:sz w:val="19"/>
          <w:szCs w:val="19"/>
        </w:rPr>
        <w:t xml:space="preserve"> </w:t>
      </w:r>
      <w:bookmarkStart w:id="2" w:name="_Hlk137553765"/>
      <w:r w:rsidR="00B43644" w:rsidRPr="00AF61AC">
        <w:rPr>
          <w:rFonts w:ascii="Book Antiqua" w:hAnsi="Book Antiqua"/>
          <w:b/>
          <w:bCs/>
          <w:color w:val="FF0000"/>
          <w:sz w:val="16"/>
          <w:szCs w:val="16"/>
          <w:u w:val="single"/>
        </w:rPr>
        <w:t>(</w:t>
      </w:r>
      <w:r w:rsidR="00B43644">
        <w:rPr>
          <w:rFonts w:ascii="Book Antiqua" w:hAnsi="Book Antiqua"/>
          <w:b/>
          <w:bCs/>
          <w:color w:val="FF0000"/>
          <w:sz w:val="16"/>
          <w:szCs w:val="16"/>
          <w:u w:val="single"/>
        </w:rPr>
        <w:t>PCSP-2014</w:t>
      </w:r>
      <w:r w:rsidR="00B43644" w:rsidRPr="00AF61AC">
        <w:rPr>
          <w:rFonts w:ascii="Book Antiqua" w:hAnsi="Book Antiqua"/>
          <w:b/>
          <w:bCs/>
          <w:color w:val="FF0000"/>
          <w:sz w:val="16"/>
          <w:szCs w:val="16"/>
          <w:u w:val="single"/>
        </w:rPr>
        <w:t>)</w:t>
      </w:r>
      <w:bookmarkEnd w:id="2"/>
    </w:p>
    <w:p w14:paraId="18E9BDC7"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18.º</w:t>
      </w:r>
    </w:p>
    <w:p w14:paraId="5A222939"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(Limitação da aplicação de restrições aos direitos)</w:t>
      </w:r>
    </w:p>
    <w:p w14:paraId="6B9456CE"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As restrições feitas nos termos da presente Convenção aos referidos direitos e liberdades só podem ser aplicadas para os fins que foram previstas.</w:t>
      </w:r>
    </w:p>
    <w:p w14:paraId="34D31AA4"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TÍTULO II</w:t>
      </w:r>
    </w:p>
    <w:p w14:paraId="21B1DE85"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(Tribunal Europeu dos Direitos do Homem)</w:t>
      </w:r>
    </w:p>
    <w:p w14:paraId="3FB25F18"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B43644">
        <w:rPr>
          <w:rFonts w:ascii="Book Antiqua" w:hAnsi="Book Antiqua"/>
          <w:b/>
          <w:bCs/>
          <w:sz w:val="19"/>
          <w:szCs w:val="19"/>
          <w:highlight w:val="magenta"/>
        </w:rPr>
        <w:t>Artigo 19.º</w:t>
      </w:r>
    </w:p>
    <w:p w14:paraId="38F70033"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(Criação do Tribunal)</w:t>
      </w:r>
    </w:p>
    <w:p w14:paraId="76CF6E41" w14:textId="5DE8439E" w:rsidR="007422DB" w:rsidRPr="007422DB" w:rsidRDefault="007422DB" w:rsidP="00F56EF9">
      <w:pPr>
        <w:spacing w:before="100" w:beforeAutospacing="1" w:after="100" w:afterAutospacing="1" w:line="240" w:lineRule="auto"/>
        <w:jc w:val="both"/>
        <w:rPr>
          <w:rFonts w:ascii="Book Antiqua" w:hAnsi="Book Antiqua"/>
          <w:sz w:val="19"/>
          <w:szCs w:val="19"/>
        </w:rPr>
      </w:pPr>
      <w:r w:rsidRPr="00AF61AC">
        <w:rPr>
          <w:rFonts w:ascii="Book Antiqua" w:hAnsi="Book Antiqua"/>
          <w:b/>
          <w:bCs/>
          <w:sz w:val="19"/>
          <w:szCs w:val="19"/>
        </w:rPr>
        <w:t>A fim de assegurar o respeito dos compromissos que resultam, para as Altas Partes Contratantes, da presente Convenção e dos seus protocolos, é criado um Tribunal Europeu dos Direitos do Homem, a seguir designado "o Tribunal", o qual funcionará a título permanente</w:t>
      </w:r>
      <w:r w:rsidRPr="007422DB">
        <w:rPr>
          <w:rFonts w:ascii="Book Antiqua" w:hAnsi="Book Antiqua"/>
          <w:sz w:val="19"/>
          <w:szCs w:val="19"/>
        </w:rPr>
        <w:t>.</w:t>
      </w:r>
      <w:r w:rsidR="00AF61AC">
        <w:rPr>
          <w:rFonts w:ascii="Book Antiqua" w:hAnsi="Book Antiqua"/>
          <w:sz w:val="19"/>
          <w:szCs w:val="19"/>
        </w:rPr>
        <w:t xml:space="preserve"> </w:t>
      </w:r>
      <w:r w:rsidR="00AF61AC" w:rsidRPr="00AF61AC">
        <w:rPr>
          <w:rFonts w:ascii="Book Antiqua" w:hAnsi="Book Antiqua"/>
          <w:b/>
          <w:bCs/>
          <w:color w:val="FF0000"/>
          <w:sz w:val="16"/>
          <w:szCs w:val="16"/>
          <w:u w:val="single"/>
        </w:rPr>
        <w:t>(</w:t>
      </w:r>
      <w:r w:rsidR="00AF61AC">
        <w:rPr>
          <w:rFonts w:ascii="Book Antiqua" w:hAnsi="Book Antiqua"/>
          <w:b/>
          <w:bCs/>
          <w:color w:val="FF0000"/>
          <w:sz w:val="16"/>
          <w:szCs w:val="16"/>
          <w:u w:val="single"/>
        </w:rPr>
        <w:t>PCSP-2014</w:t>
      </w:r>
      <w:r w:rsidR="00AF61AC" w:rsidRPr="00AF61AC">
        <w:rPr>
          <w:rFonts w:ascii="Book Antiqua" w:hAnsi="Book Antiqua"/>
          <w:b/>
          <w:bCs/>
          <w:color w:val="FF0000"/>
          <w:sz w:val="16"/>
          <w:szCs w:val="16"/>
          <w:u w:val="single"/>
        </w:rPr>
        <w:t>)</w:t>
      </w:r>
    </w:p>
    <w:p w14:paraId="0EC5A9A1"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20.º</w:t>
      </w:r>
    </w:p>
    <w:p w14:paraId="50093C43"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(Número de juízes)</w:t>
      </w:r>
    </w:p>
    <w:p w14:paraId="0D59A7B7"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O Tribunal compõe-se de um número de juízes igual ao número de Altas Partes Contratantes.</w:t>
      </w:r>
    </w:p>
    <w:p w14:paraId="4383D4FF"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21.º</w:t>
      </w:r>
    </w:p>
    <w:p w14:paraId="338F1959"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(Condições para o exercício de funções)</w:t>
      </w:r>
    </w:p>
    <w:p w14:paraId="13CC3597"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Os juízes deverão gozar da mais alta reputação moral e reunir as condições requeridas para o exercício de altas funções judiciais ou ser jurisconsultos de reconhecida competência.</w:t>
      </w:r>
    </w:p>
    <w:p w14:paraId="1C30958F"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Os juízes exercem as suas funções a título individual.</w:t>
      </w:r>
    </w:p>
    <w:p w14:paraId="0EE64F2B"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3. Durante o respectivo mandato, os juízes não poderão exercer qualquer </w:t>
      </w:r>
      <w:proofErr w:type="spellStart"/>
      <w:r w:rsidRPr="007422DB">
        <w:rPr>
          <w:rFonts w:ascii="Book Antiqua" w:hAnsi="Book Antiqua"/>
          <w:sz w:val="19"/>
          <w:szCs w:val="19"/>
        </w:rPr>
        <w:t>actividade</w:t>
      </w:r>
      <w:proofErr w:type="spellEnd"/>
      <w:r w:rsidRPr="007422DB">
        <w:rPr>
          <w:rFonts w:ascii="Book Antiqua" w:hAnsi="Book Antiqua"/>
          <w:sz w:val="19"/>
          <w:szCs w:val="19"/>
        </w:rPr>
        <w:t xml:space="preserve"> incompatível com as exigências de independência, imparcialidade ou disponibilidade exigidas por uma </w:t>
      </w:r>
      <w:proofErr w:type="spellStart"/>
      <w:r w:rsidRPr="007422DB">
        <w:rPr>
          <w:rFonts w:ascii="Book Antiqua" w:hAnsi="Book Antiqua"/>
          <w:sz w:val="19"/>
          <w:szCs w:val="19"/>
        </w:rPr>
        <w:t>actividade</w:t>
      </w:r>
      <w:proofErr w:type="spellEnd"/>
      <w:r w:rsidRPr="007422DB">
        <w:rPr>
          <w:rFonts w:ascii="Book Antiqua" w:hAnsi="Book Antiqua"/>
          <w:sz w:val="19"/>
          <w:szCs w:val="19"/>
        </w:rPr>
        <w:t xml:space="preserve"> exercida a tempo inteiro. Qualquer questão relativa à aplicação do disposto no presente número é decidida pelo Tribunal.</w:t>
      </w:r>
    </w:p>
    <w:p w14:paraId="3477CB49"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22.º</w:t>
      </w:r>
    </w:p>
    <w:p w14:paraId="72BE7EDE"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(Eleição dos juízes)</w:t>
      </w:r>
    </w:p>
    <w:p w14:paraId="1115F234"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lastRenderedPageBreak/>
        <w:t>1. Os juízes são eleitos pela Assembleia Parlamentar relativamente a cada Alta Parte Contratante, por maioria dos votos expressos, recaindo numa lista de três candidatos apresentados pela Alta Parte Contratante.</w:t>
      </w:r>
    </w:p>
    <w:p w14:paraId="11F96991"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Observa-se o mesmo processo para completar o Tribunal no caso de adesão de novas Altas Partes Contratantes e para prover os lugares que vagarem.</w:t>
      </w:r>
    </w:p>
    <w:p w14:paraId="2853ADC1"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23.º</w:t>
      </w:r>
    </w:p>
    <w:p w14:paraId="2D3D82EE"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(Duração do mandato)</w:t>
      </w:r>
    </w:p>
    <w:p w14:paraId="2BD4B8AF"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Os juízes são eleitos por um período de seis anos. São reelegíveis. Contudo, as funções de metade dos juízes designados na primeira eleição cessarão ao fim de três anos.</w:t>
      </w:r>
    </w:p>
    <w:p w14:paraId="1ABDCB59"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2. Os juízes cujas funções devam cessar decorrido o período inicial de três anos serão designados por sorteio, </w:t>
      </w:r>
      <w:proofErr w:type="spellStart"/>
      <w:r w:rsidRPr="007422DB">
        <w:rPr>
          <w:rFonts w:ascii="Book Antiqua" w:hAnsi="Book Antiqua"/>
          <w:sz w:val="19"/>
          <w:szCs w:val="19"/>
        </w:rPr>
        <w:t>efectuado</w:t>
      </w:r>
      <w:proofErr w:type="spellEnd"/>
      <w:r w:rsidRPr="007422DB">
        <w:rPr>
          <w:rFonts w:ascii="Book Antiqua" w:hAnsi="Book Antiqua"/>
          <w:sz w:val="19"/>
          <w:szCs w:val="19"/>
        </w:rPr>
        <w:t xml:space="preserve"> pelo </w:t>
      </w:r>
      <w:proofErr w:type="spellStart"/>
      <w:proofErr w:type="gramStart"/>
      <w:r w:rsidRPr="007422DB">
        <w:rPr>
          <w:rFonts w:ascii="Book Antiqua" w:hAnsi="Book Antiqua"/>
          <w:sz w:val="19"/>
          <w:szCs w:val="19"/>
        </w:rPr>
        <w:t>Secretário?Geral</w:t>
      </w:r>
      <w:proofErr w:type="spellEnd"/>
      <w:proofErr w:type="gramEnd"/>
      <w:r w:rsidRPr="007422DB">
        <w:rPr>
          <w:rFonts w:ascii="Book Antiqua" w:hAnsi="Book Antiqua"/>
          <w:sz w:val="19"/>
          <w:szCs w:val="19"/>
        </w:rPr>
        <w:t xml:space="preserve"> do Conselho da Europa, imediatamente após a sua eleição.</w:t>
      </w:r>
    </w:p>
    <w:p w14:paraId="7E2ECA87"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3. Com o fim de assegurar, na medida do possível, a renovação dos mandatos de metade dos juízes de três em três anos, a Assembleia Parlamentar pode decidir, antes de proceder a qualquer eleição ulterior, que o mandato de um ou vários juízes a eleger terá uma duração diversa de seis anos, sem que esta duração possa, no entanto, exceder nove anos ou ser inferior a três.</w:t>
      </w:r>
    </w:p>
    <w:p w14:paraId="641C9BE5"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4. No caso de se terem conferido mandatos variados e de a Assembleia Parlamentar ter aplicado o disposto no número precedente, a distribuição dos mandatos será feita por sorteio pelo Secretário-Geral do Conselho da Europa imediatamente após a eleição.</w:t>
      </w:r>
    </w:p>
    <w:p w14:paraId="38958DF6"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5. O juiz eleito para substituir outro cujo mandato não tenha expirado completará o mandato do seu predecessor.</w:t>
      </w:r>
    </w:p>
    <w:p w14:paraId="5C73F42D"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6. O mandato dos juízes cessará logo que estes atinjam a idade de 70 anos.</w:t>
      </w:r>
    </w:p>
    <w:p w14:paraId="676B4C12"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7. Os juízes permanecerão em funções até serem substituídos. Depois da sua substituição continuarão a ocupar-se dos assuntos que já lhes tinham sido cometidos.</w:t>
      </w:r>
    </w:p>
    <w:p w14:paraId="1A5233B2"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24.º</w:t>
      </w:r>
    </w:p>
    <w:p w14:paraId="5E95EF61"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(Destituição)</w:t>
      </w:r>
    </w:p>
    <w:p w14:paraId="390D5386"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Nenhum juiz poderá ser afastado das suas funções, salvo se os restantes juízes decidirem, por maioria de dois terços, que o juiz em causa deixou de corresponder aos requisitos exigidos.</w:t>
      </w:r>
    </w:p>
    <w:p w14:paraId="4F4A1C1D"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25.º</w:t>
      </w:r>
    </w:p>
    <w:p w14:paraId="6925559B"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(Secretaria e oficiais de justiça)</w:t>
      </w:r>
    </w:p>
    <w:p w14:paraId="585209AD"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O Tribunal dispõe de uma secretaria, cujas tarefas e organização serão definidas no regulamento do Tribunal. O Tribunal será assistido por oficiais de justiça.</w:t>
      </w:r>
    </w:p>
    <w:p w14:paraId="5E4A210A"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26.º</w:t>
      </w:r>
    </w:p>
    <w:p w14:paraId="5CE26BC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(Assembleia plenária do Tribunal)</w:t>
      </w:r>
    </w:p>
    <w:p w14:paraId="754C8CE6"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O Tribunal, reunido em assembleia plenária:</w:t>
      </w:r>
    </w:p>
    <w:p w14:paraId="14C63FD4"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 Elegerá o seu presidente e um ou dois vice-presidentes por um período de três anos. Todos eles são reelegíveis;</w:t>
      </w:r>
    </w:p>
    <w:p w14:paraId="148B6DA1"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b) Criará secções, que funcionarão por período determinado;</w:t>
      </w:r>
    </w:p>
    <w:p w14:paraId="43F96326"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lastRenderedPageBreak/>
        <w:t>c) Elegerá os presidentes das secções do Tribunal, os quais são reelegíveis;</w:t>
      </w:r>
    </w:p>
    <w:p w14:paraId="515D8258"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d) Adoptará o regulamento do Tribunal;</w:t>
      </w:r>
    </w:p>
    <w:p w14:paraId="0B5E4622"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e) Elegerá o secretário e um ou vários secretários-adjuntos.</w:t>
      </w:r>
    </w:p>
    <w:p w14:paraId="3AB549DD"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27.º</w:t>
      </w:r>
    </w:p>
    <w:p w14:paraId="57DF7003"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(Comités, secções e tribunal pleno)</w:t>
      </w:r>
    </w:p>
    <w:p w14:paraId="31D8FCEE"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1. Para o exame dos assuntos que lhe sejam submetidos, o Tribunal funcionará em comités compostos por três juízes, em secções compostas por sete juízes e em tribunal pleno composto por </w:t>
      </w:r>
      <w:proofErr w:type="spellStart"/>
      <w:r w:rsidRPr="007422DB">
        <w:rPr>
          <w:rFonts w:ascii="Book Antiqua" w:hAnsi="Book Antiqua"/>
          <w:sz w:val="19"/>
          <w:szCs w:val="19"/>
        </w:rPr>
        <w:t>dezassete</w:t>
      </w:r>
      <w:proofErr w:type="spellEnd"/>
      <w:r w:rsidRPr="007422DB">
        <w:rPr>
          <w:rFonts w:ascii="Book Antiqua" w:hAnsi="Book Antiqua"/>
          <w:sz w:val="19"/>
          <w:szCs w:val="19"/>
        </w:rPr>
        <w:t xml:space="preserve"> juízes. As secções do Tribunal constituem os comités por período determinado.</w:t>
      </w:r>
    </w:p>
    <w:p w14:paraId="6C6C0821"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O juiz eleito por um Estado parte no diferendo será membro de direito da secção e do tribunal pleno; em caso de ausência deste juiz ou se ele não estiver em condições de intervir, tal Estado parte designará a pessoa que intervirá na qualidade de juiz.</w:t>
      </w:r>
    </w:p>
    <w:p w14:paraId="0780D9BF"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3. Integram igualmente o tribunal pleno o presidente do Tribunal, os vice-presidentes, os presidentes das secções e outros juízes designados em conformidade com o regulamento do Tribunal. Se o assunto tiver sido deferido ao tribunal pleno nos termos do artigo 43.º, nenhum juiz da secção que haja proferido a decisão poderá naquele intervir, salvo no que respeita ao presidente da secção e ao juiz que decidiu em nome do Estado que seja parte interessada.</w:t>
      </w:r>
    </w:p>
    <w:p w14:paraId="752E1C52"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28.º</w:t>
      </w:r>
    </w:p>
    <w:p w14:paraId="05016EE1"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(Declarações de inadmissibilidade por parte dos comités)</w:t>
      </w:r>
    </w:p>
    <w:p w14:paraId="23074F3C"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Qualquer comité pode, por voto unânime, declarar a inadmissibilidade ou mandar arquivar qualquer petição individual formulada nos termos do artigo 34.º, se essa decisão puder ser tomada sem posterior apreciação. Esta decisão é definitiva.</w:t>
      </w:r>
    </w:p>
    <w:p w14:paraId="6A776BB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29.º</w:t>
      </w:r>
    </w:p>
    <w:p w14:paraId="026B364D"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(Decisões das secções quanto à admissibilidade e ao fundo)</w:t>
      </w:r>
    </w:p>
    <w:p w14:paraId="660EE902"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Se nenhuma decisão tiver sido tomada nos termos do artigo 28.º, uma das secções pronunciar-se-á quanto à admissibilidade e ao fundo das petições individuais formuladas nos termos do artigo 34.º</w:t>
      </w:r>
    </w:p>
    <w:p w14:paraId="650DE50B"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Uma das secções pronunciar-se-á quanto à admissibilidade e ao fundo das petições estaduais formuladas nos termos do artigo 33.º</w:t>
      </w:r>
    </w:p>
    <w:p w14:paraId="6118B661"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3. A decisão quanto à admissibilidade é tomada em separado, salvo deliberação em contrário do Tribunal relativamente a casos excepcionais.</w:t>
      </w:r>
    </w:p>
    <w:p w14:paraId="0C1989D9"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30.º</w:t>
      </w:r>
    </w:p>
    <w:p w14:paraId="4AC9FECE"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(Devolução da decisão a favor do tribunal pleno)</w:t>
      </w:r>
    </w:p>
    <w:p w14:paraId="42410EC9"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Se um assunto pendente numa secção levantar uma questão grave quanto à interpretação da Convenção ou dos seus protocolos, ou se a solução de um litígio puder conduzir a uma contradição com uma sentença já proferida pelo Tribunal, a secção pode, antes de proferir a sua sentença, devolver a decisão do litígio ao tribunal pleno, salvo se qualquer das partes do mesmo a tal se opuser.</w:t>
      </w:r>
    </w:p>
    <w:p w14:paraId="54E108B7"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31.º</w:t>
      </w:r>
    </w:p>
    <w:p w14:paraId="58182A33"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(Atribuições do tribunal pleno)</w:t>
      </w:r>
    </w:p>
    <w:p w14:paraId="3217B893"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lastRenderedPageBreak/>
        <w:t>O tribunal pleno:</w:t>
      </w:r>
    </w:p>
    <w:p w14:paraId="5310B545"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 Pronunciar-se-á sobre as petições formuladas nos termos do artigo 33.º ou do artigo 34.º, se a secção tiver cessado de conhecer de um assunto nos termos do artigo 30.º ou se o assunto lhe tiver sido cometido nos termos do artigo 43.º;</w:t>
      </w:r>
    </w:p>
    <w:p w14:paraId="4306F80D"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b) Apreciará os pedidos de parecer formulados nos termos do artigo 47.º</w:t>
      </w:r>
    </w:p>
    <w:p w14:paraId="7D66D858"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32.º</w:t>
      </w:r>
    </w:p>
    <w:p w14:paraId="6D86AF1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(Competência do Tribunal)</w:t>
      </w:r>
    </w:p>
    <w:p w14:paraId="62F6E5D5"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A competência do Tribunal abrange todas as questões relativas à interpretação e à aplicação da Convenção e dos respectivos protocolos que lhe sejam submetidas nas condições previstas pelos artigos 33.º, 34.º e 47.º</w:t>
      </w:r>
    </w:p>
    <w:p w14:paraId="34DC014F"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33.º</w:t>
      </w:r>
    </w:p>
    <w:p w14:paraId="772B00DF"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(Assuntos interestaduais)</w:t>
      </w:r>
    </w:p>
    <w:p w14:paraId="47CD6EA9"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Qualquer Alta Parte Contratante pode submeter ao Tribunal qualquer violação das </w:t>
      </w:r>
      <w:proofErr w:type="spellStart"/>
      <w:r w:rsidRPr="007422DB">
        <w:rPr>
          <w:rFonts w:ascii="Book Antiqua" w:hAnsi="Book Antiqua"/>
          <w:sz w:val="19"/>
          <w:szCs w:val="19"/>
        </w:rPr>
        <w:t>disposicões</w:t>
      </w:r>
      <w:proofErr w:type="spellEnd"/>
      <w:r w:rsidRPr="007422DB">
        <w:rPr>
          <w:rFonts w:ascii="Book Antiqua" w:hAnsi="Book Antiqua"/>
          <w:sz w:val="19"/>
          <w:szCs w:val="19"/>
        </w:rPr>
        <w:t xml:space="preserve"> da Convenção e dos seus protocolos que creia poder ser imputada a outra Alta Parte Contratante.</w:t>
      </w:r>
    </w:p>
    <w:p w14:paraId="2F1B28C8"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F31AF3">
        <w:rPr>
          <w:rFonts w:ascii="Book Antiqua" w:hAnsi="Book Antiqua"/>
          <w:b/>
          <w:bCs/>
          <w:sz w:val="19"/>
          <w:szCs w:val="19"/>
          <w:highlight w:val="magenta"/>
        </w:rPr>
        <w:t>Artigo 34.º</w:t>
      </w:r>
    </w:p>
    <w:p w14:paraId="3FF83CE6"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(Petições individuais)</w:t>
      </w:r>
    </w:p>
    <w:p w14:paraId="31451EE5" w14:textId="0540C4FF" w:rsidR="007422DB" w:rsidRPr="00AF61AC" w:rsidRDefault="007422DB" w:rsidP="00F56EF9">
      <w:pPr>
        <w:spacing w:before="100" w:beforeAutospacing="1" w:after="100" w:afterAutospacing="1" w:line="240" w:lineRule="auto"/>
        <w:jc w:val="both"/>
        <w:rPr>
          <w:rFonts w:ascii="Book Antiqua" w:hAnsi="Book Antiqua"/>
          <w:b/>
          <w:bCs/>
          <w:sz w:val="16"/>
          <w:szCs w:val="16"/>
          <w:u w:val="single"/>
        </w:rPr>
      </w:pPr>
      <w:r w:rsidRPr="00F56EF9">
        <w:rPr>
          <w:rFonts w:ascii="Book Antiqua" w:hAnsi="Book Antiqua"/>
          <w:b/>
          <w:bCs/>
          <w:sz w:val="19"/>
          <w:szCs w:val="19"/>
        </w:rPr>
        <w:t xml:space="preserve">O Tribunal pode receber petições de qualquer pessoa singular, organização não governamental ou grupo de particulares que se considere vítima de violação por qualquer Alta Parte Contratante dos direitos reconhecidos na Convenção ou nos seus protocolos. As Altas Partes Contratantes comprometem-se a não criar qualquer entrave ao exercício </w:t>
      </w:r>
      <w:proofErr w:type="spellStart"/>
      <w:r w:rsidRPr="00F56EF9">
        <w:rPr>
          <w:rFonts w:ascii="Book Antiqua" w:hAnsi="Book Antiqua"/>
          <w:b/>
          <w:bCs/>
          <w:sz w:val="19"/>
          <w:szCs w:val="19"/>
        </w:rPr>
        <w:t>efectivo</w:t>
      </w:r>
      <w:proofErr w:type="spellEnd"/>
      <w:r w:rsidRPr="00F56EF9">
        <w:rPr>
          <w:rFonts w:ascii="Book Antiqua" w:hAnsi="Book Antiqua"/>
          <w:b/>
          <w:bCs/>
          <w:sz w:val="19"/>
          <w:szCs w:val="19"/>
        </w:rPr>
        <w:t xml:space="preserve"> desse direito</w:t>
      </w:r>
      <w:r w:rsidRPr="00AF61AC">
        <w:rPr>
          <w:rFonts w:ascii="Book Antiqua" w:hAnsi="Book Antiqua"/>
          <w:sz w:val="16"/>
          <w:szCs w:val="16"/>
        </w:rPr>
        <w:t>.</w:t>
      </w:r>
      <w:r w:rsidR="00F31AF3" w:rsidRPr="00AF61AC">
        <w:rPr>
          <w:rFonts w:ascii="Book Antiqua" w:hAnsi="Book Antiqua"/>
          <w:sz w:val="16"/>
          <w:szCs w:val="16"/>
        </w:rPr>
        <w:t xml:space="preserve"> </w:t>
      </w:r>
      <w:r w:rsidR="00F31AF3" w:rsidRPr="00AF61AC">
        <w:rPr>
          <w:rFonts w:ascii="Book Antiqua" w:hAnsi="Book Antiqua"/>
          <w:b/>
          <w:bCs/>
          <w:color w:val="FF0000"/>
          <w:sz w:val="16"/>
          <w:szCs w:val="16"/>
          <w:u w:val="single"/>
        </w:rPr>
        <w:t>(DPERO-2012)</w:t>
      </w:r>
    </w:p>
    <w:p w14:paraId="43BEFAC7"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6048A7">
        <w:rPr>
          <w:rFonts w:ascii="Book Antiqua" w:hAnsi="Book Antiqua"/>
          <w:b/>
          <w:bCs/>
          <w:sz w:val="19"/>
          <w:szCs w:val="19"/>
          <w:highlight w:val="magenta"/>
        </w:rPr>
        <w:t>Artigo 35.º</w:t>
      </w:r>
    </w:p>
    <w:p w14:paraId="10A777FE"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(Condições de admissibilidade)</w:t>
      </w:r>
    </w:p>
    <w:p w14:paraId="03B2FAA2" w14:textId="0377ED7B" w:rsidR="007422DB" w:rsidRPr="00AF61AC" w:rsidRDefault="007422DB" w:rsidP="00F56EF9">
      <w:pPr>
        <w:spacing w:before="100" w:beforeAutospacing="1" w:after="100" w:afterAutospacing="1" w:line="240" w:lineRule="auto"/>
        <w:jc w:val="both"/>
        <w:rPr>
          <w:rFonts w:ascii="Book Antiqua" w:hAnsi="Book Antiqua"/>
          <w:sz w:val="16"/>
          <w:szCs w:val="16"/>
        </w:rPr>
      </w:pPr>
      <w:r w:rsidRPr="006048A7">
        <w:rPr>
          <w:rFonts w:ascii="Book Antiqua" w:hAnsi="Book Antiqua"/>
          <w:b/>
          <w:bCs/>
          <w:sz w:val="19"/>
          <w:szCs w:val="19"/>
          <w:highlight w:val="magenta"/>
        </w:rPr>
        <w:t>1</w:t>
      </w:r>
      <w:r w:rsidRPr="007422DB">
        <w:rPr>
          <w:rFonts w:ascii="Book Antiqua" w:hAnsi="Book Antiqua"/>
          <w:sz w:val="19"/>
          <w:szCs w:val="19"/>
        </w:rPr>
        <w:t xml:space="preserve">. </w:t>
      </w:r>
      <w:r w:rsidRPr="006048A7">
        <w:rPr>
          <w:rFonts w:ascii="Book Antiqua" w:hAnsi="Book Antiqua"/>
          <w:b/>
          <w:bCs/>
          <w:sz w:val="19"/>
          <w:szCs w:val="19"/>
        </w:rPr>
        <w:t>O Tribunal só pode ser solicitado a conhecer de um assunto depois de esgotadas todas as vias de recurso internas, em conformidade com os princípios de direito internacional geralmente reconhecidos e num prazo de seis meses a contar da data da decisão interna definitiva</w:t>
      </w:r>
      <w:r w:rsidRPr="00AF61AC">
        <w:rPr>
          <w:rFonts w:ascii="Book Antiqua" w:hAnsi="Book Antiqua"/>
          <w:sz w:val="16"/>
          <w:szCs w:val="16"/>
        </w:rPr>
        <w:t>.</w:t>
      </w:r>
      <w:r w:rsidR="006048A7" w:rsidRPr="00AF61AC">
        <w:rPr>
          <w:rFonts w:ascii="Book Antiqua" w:hAnsi="Book Antiqua"/>
          <w:sz w:val="16"/>
          <w:szCs w:val="16"/>
        </w:rPr>
        <w:t xml:space="preserve"> </w:t>
      </w:r>
      <w:r w:rsidR="006048A7" w:rsidRPr="00AF61AC">
        <w:rPr>
          <w:rFonts w:ascii="Book Antiqua" w:eastAsia="Times New Roman" w:hAnsi="Book Antiqua" w:cs="Times New Roman"/>
          <w:b/>
          <w:bCs/>
          <w:color w:val="FF0000"/>
          <w:sz w:val="16"/>
          <w:szCs w:val="16"/>
          <w:u w:val="single"/>
          <w:lang w:eastAsia="pt-BR"/>
        </w:rPr>
        <w:t>(DPETO-2013)</w:t>
      </w:r>
    </w:p>
    <w:p w14:paraId="0445C48A"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O Tribunal não conhecerá de qualquer petição individual formulada em aplicação do disposto no artigo 34.º se tal petição:</w:t>
      </w:r>
    </w:p>
    <w:p w14:paraId="039191A4"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 For anónima;</w:t>
      </w:r>
    </w:p>
    <w:p w14:paraId="028CFA34"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b) For, no essencial, idêntica a uma petição anteriormente examinada pelo Tribunal ou já submetida a outra instância internacional de inquérito ou de decisão e não contiver factos novos.</w:t>
      </w:r>
    </w:p>
    <w:p w14:paraId="65742B58" w14:textId="7A973D3C" w:rsidR="00F56EF9" w:rsidRPr="00F56EF9" w:rsidRDefault="00F56EF9" w:rsidP="00F56EF9">
      <w:pPr>
        <w:spacing w:before="100" w:beforeAutospacing="1" w:after="100" w:afterAutospacing="1" w:line="240" w:lineRule="auto"/>
        <w:jc w:val="both"/>
        <w:rPr>
          <w:rFonts w:ascii="Book Antiqua" w:hAnsi="Book Antiqua"/>
          <w:b/>
          <w:bCs/>
          <w:sz w:val="19"/>
          <w:szCs w:val="19"/>
        </w:rPr>
      </w:pPr>
      <w:r w:rsidRPr="00F56EF9">
        <w:rPr>
          <w:rFonts w:ascii="Book Antiqua" w:hAnsi="Book Antiqua"/>
          <w:b/>
          <w:bCs/>
          <w:sz w:val="19"/>
          <w:szCs w:val="19"/>
          <w:highlight w:val="magenta"/>
        </w:rPr>
        <w:t>3</w:t>
      </w:r>
      <w:r w:rsidRPr="00F56EF9">
        <w:rPr>
          <w:rFonts w:ascii="Book Antiqua" w:hAnsi="Book Antiqua"/>
          <w:b/>
          <w:bCs/>
          <w:sz w:val="19"/>
          <w:szCs w:val="19"/>
        </w:rPr>
        <w:t>. O Tribunal declarará a inadmissibilidade de qualquer petição individual formulada nos termos do artigo 34° sempre que considerar que:</w:t>
      </w:r>
      <w:r>
        <w:rPr>
          <w:rFonts w:ascii="Book Antiqua" w:hAnsi="Book Antiqua"/>
          <w:b/>
          <w:bCs/>
          <w:sz w:val="19"/>
          <w:szCs w:val="19"/>
        </w:rPr>
        <w:t xml:space="preserve"> </w:t>
      </w:r>
      <w:r w:rsidRPr="00AF61AC">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MPF</w:t>
      </w:r>
      <w:r w:rsidRPr="00AF61AC">
        <w:rPr>
          <w:rFonts w:ascii="Book Antiqua" w:eastAsia="Times New Roman" w:hAnsi="Book Antiqua" w:cs="Times New Roman"/>
          <w:b/>
          <w:bCs/>
          <w:color w:val="FF0000"/>
          <w:sz w:val="16"/>
          <w:szCs w:val="16"/>
          <w:u w:val="single"/>
          <w:lang w:eastAsia="pt-BR"/>
        </w:rPr>
        <w:t>-201</w:t>
      </w:r>
      <w:r>
        <w:rPr>
          <w:rFonts w:ascii="Book Antiqua" w:eastAsia="Times New Roman" w:hAnsi="Book Antiqua" w:cs="Times New Roman"/>
          <w:b/>
          <w:bCs/>
          <w:color w:val="FF0000"/>
          <w:sz w:val="16"/>
          <w:szCs w:val="16"/>
          <w:u w:val="single"/>
          <w:lang w:eastAsia="pt-BR"/>
        </w:rPr>
        <w:t>7</w:t>
      </w:r>
      <w:r w:rsidRPr="00AF61AC">
        <w:rPr>
          <w:rFonts w:ascii="Book Antiqua" w:eastAsia="Times New Roman" w:hAnsi="Book Antiqua" w:cs="Times New Roman"/>
          <w:b/>
          <w:bCs/>
          <w:color w:val="FF0000"/>
          <w:sz w:val="16"/>
          <w:szCs w:val="16"/>
          <w:u w:val="single"/>
          <w:lang w:eastAsia="pt-BR"/>
        </w:rPr>
        <w:t>)</w:t>
      </w:r>
    </w:p>
    <w:p w14:paraId="05714C0C" w14:textId="4B24B0B5" w:rsidR="00F56EF9" w:rsidRPr="00F56EF9" w:rsidRDefault="00F56EF9" w:rsidP="00F56EF9">
      <w:pPr>
        <w:spacing w:before="100" w:beforeAutospacing="1" w:after="100" w:afterAutospacing="1" w:line="240" w:lineRule="auto"/>
        <w:jc w:val="both"/>
        <w:rPr>
          <w:rFonts w:ascii="Book Antiqua" w:hAnsi="Book Antiqua"/>
          <w:sz w:val="19"/>
          <w:szCs w:val="19"/>
        </w:rPr>
      </w:pPr>
      <w:r w:rsidRPr="00F56EF9">
        <w:rPr>
          <w:rFonts w:ascii="Book Antiqua" w:hAnsi="Book Antiqua"/>
          <w:sz w:val="19"/>
          <w:szCs w:val="19"/>
        </w:rPr>
        <w:t>a) A petição é incompatível com o disposto na Convenção ou nos seus Protocolos, é manifestamente mal fundada ou tem carácter abusivo; ou</w:t>
      </w:r>
    </w:p>
    <w:p w14:paraId="0A3C447D" w14:textId="265149C7" w:rsidR="00F56EF9" w:rsidRDefault="00F56EF9" w:rsidP="00F56EF9">
      <w:pPr>
        <w:spacing w:before="100" w:beforeAutospacing="1" w:after="100" w:afterAutospacing="1" w:line="240" w:lineRule="auto"/>
        <w:jc w:val="both"/>
        <w:rPr>
          <w:rFonts w:ascii="Book Antiqua" w:hAnsi="Book Antiqua"/>
          <w:sz w:val="19"/>
          <w:szCs w:val="19"/>
        </w:rPr>
      </w:pPr>
      <w:r w:rsidRPr="00F56EF9">
        <w:rPr>
          <w:rFonts w:ascii="Book Antiqua" w:hAnsi="Book Antiqua"/>
          <w:b/>
          <w:bCs/>
          <w:sz w:val="19"/>
          <w:szCs w:val="19"/>
        </w:rPr>
        <w:t xml:space="preserve">b) O autor da petição </w:t>
      </w:r>
      <w:r w:rsidRPr="00F56EF9">
        <w:rPr>
          <w:rFonts w:ascii="Book Antiqua" w:hAnsi="Book Antiqua"/>
          <w:b/>
          <w:bCs/>
          <w:caps/>
          <w:sz w:val="19"/>
          <w:szCs w:val="19"/>
          <w:highlight w:val="green"/>
        </w:rPr>
        <w:t>não sofreu</w:t>
      </w:r>
      <w:r w:rsidRPr="00F56EF9">
        <w:rPr>
          <w:rFonts w:ascii="Book Antiqua" w:hAnsi="Book Antiqua"/>
          <w:b/>
          <w:bCs/>
          <w:sz w:val="19"/>
          <w:szCs w:val="19"/>
        </w:rPr>
        <w:t xml:space="preserve"> </w:t>
      </w:r>
      <w:r w:rsidRPr="00F56EF9">
        <w:rPr>
          <w:rFonts w:ascii="Book Antiqua" w:hAnsi="Book Antiqua"/>
          <w:b/>
          <w:bCs/>
          <w:sz w:val="19"/>
          <w:szCs w:val="19"/>
          <w:highlight w:val="cyan"/>
        </w:rPr>
        <w:t>qualquer prejuízo significativo</w:t>
      </w:r>
      <w:r w:rsidRPr="00F56EF9">
        <w:rPr>
          <w:rFonts w:ascii="Book Antiqua" w:hAnsi="Book Antiqua"/>
          <w:b/>
          <w:bCs/>
          <w:sz w:val="19"/>
          <w:szCs w:val="19"/>
        </w:rPr>
        <w:t>, salvo se o respeito pelos direitos do homem garantidos na Convenção e nos respectivos Protocolos exigir uma apreciação da petição quanto ao fundo</w:t>
      </w:r>
      <w:r>
        <w:rPr>
          <w:rFonts w:ascii="Book Antiqua" w:hAnsi="Book Antiqua"/>
          <w:sz w:val="19"/>
          <w:szCs w:val="19"/>
        </w:rPr>
        <w:t xml:space="preserve">. </w:t>
      </w:r>
      <w:r w:rsidRPr="00AF61AC">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MPF</w:t>
      </w:r>
      <w:r w:rsidRPr="00AF61AC">
        <w:rPr>
          <w:rFonts w:ascii="Book Antiqua" w:eastAsia="Times New Roman" w:hAnsi="Book Antiqua" w:cs="Times New Roman"/>
          <w:b/>
          <w:bCs/>
          <w:color w:val="FF0000"/>
          <w:sz w:val="16"/>
          <w:szCs w:val="16"/>
          <w:u w:val="single"/>
          <w:lang w:eastAsia="pt-BR"/>
        </w:rPr>
        <w:t>-201</w:t>
      </w:r>
      <w:r>
        <w:rPr>
          <w:rFonts w:ascii="Book Antiqua" w:eastAsia="Times New Roman" w:hAnsi="Book Antiqua" w:cs="Times New Roman"/>
          <w:b/>
          <w:bCs/>
          <w:color w:val="FF0000"/>
          <w:sz w:val="16"/>
          <w:szCs w:val="16"/>
          <w:u w:val="single"/>
          <w:lang w:eastAsia="pt-BR"/>
        </w:rPr>
        <w:t>7</w:t>
      </w:r>
      <w:r w:rsidRPr="00AF61AC">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56EF9" w14:paraId="497A564F" w14:textId="77777777" w:rsidTr="009723A6">
        <w:tc>
          <w:tcPr>
            <w:tcW w:w="8494" w:type="dxa"/>
            <w:shd w:val="clear" w:color="auto" w:fill="CCFFFF"/>
          </w:tcPr>
          <w:p w14:paraId="17C05B46" w14:textId="29B3B226" w:rsidR="00F56EF9" w:rsidRPr="00DF4B30" w:rsidRDefault="00F56EF9" w:rsidP="009723A6">
            <w:pPr>
              <w:jc w:val="both"/>
              <w:rPr>
                <w:rFonts w:ascii="Book Antiqua" w:hAnsi="Book Antiqua"/>
                <w:b/>
                <w:bCs/>
                <w:sz w:val="19"/>
                <w:szCs w:val="19"/>
              </w:rPr>
            </w:pPr>
            <w:r>
              <w:rPr>
                <w:rFonts w:ascii="Book Antiqua" w:hAnsi="Book Antiqua"/>
                <w:b/>
                <w:bCs/>
                <w:sz w:val="19"/>
                <w:szCs w:val="19"/>
              </w:rPr>
              <w:lastRenderedPageBreak/>
              <w:t>(</w:t>
            </w:r>
            <w:r>
              <w:rPr>
                <w:rFonts w:ascii="Book Antiqua" w:hAnsi="Book Antiqua"/>
                <w:b/>
                <w:bCs/>
                <w:sz w:val="19"/>
                <w:szCs w:val="19"/>
                <w:highlight w:val="yellow"/>
              </w:rPr>
              <w:t>MPF-2017</w:t>
            </w:r>
            <w:r>
              <w:rPr>
                <w:rFonts w:ascii="Book Antiqua" w:hAnsi="Book Antiqua"/>
                <w:b/>
                <w:bCs/>
                <w:sz w:val="19"/>
                <w:szCs w:val="19"/>
              </w:rPr>
              <w:t>)</w:t>
            </w:r>
            <w:r>
              <w:rPr>
                <w:rFonts w:ascii="Book Antiqua" w:hAnsi="Book Antiqua"/>
                <w:sz w:val="19"/>
                <w:szCs w:val="19"/>
              </w:rPr>
              <w:t xml:space="preserve">: </w:t>
            </w:r>
            <w:r w:rsidRPr="00DF4B30">
              <w:rPr>
                <w:rFonts w:ascii="Book Antiqua" w:hAnsi="Book Antiqua"/>
                <w:sz w:val="19"/>
                <w:szCs w:val="19"/>
              </w:rPr>
              <w:t xml:space="preserve">Assinale a </w:t>
            </w:r>
            <w:r>
              <w:rPr>
                <w:rFonts w:ascii="Book Antiqua" w:hAnsi="Book Antiqua"/>
                <w:sz w:val="19"/>
                <w:szCs w:val="19"/>
              </w:rPr>
              <w:t>alternativa correta:</w:t>
            </w:r>
            <w:r>
              <w:rPr>
                <w:rFonts w:ascii="Book Antiqua" w:hAnsi="Book Antiqua"/>
                <w:sz w:val="19"/>
                <w:szCs w:val="19"/>
              </w:rPr>
              <w:t xml:space="preserve"> </w:t>
            </w:r>
            <w:r w:rsidRPr="00F56EF9">
              <w:rPr>
                <w:rFonts w:ascii="Book Antiqua" w:hAnsi="Book Antiqua"/>
                <w:sz w:val="19"/>
                <w:szCs w:val="19"/>
              </w:rPr>
              <w:t>No sistema regional europeu de direitos humanos, a demanda individual pode ser considerada inadmissível se o prejuízo causado à vítima pela violação de direitos humanos for considerado insignificante.</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35, item 3, ‘b’,</w:t>
            </w:r>
            <w:r>
              <w:rPr>
                <w:rFonts w:ascii="Book Antiqua" w:hAnsi="Book Antiqua"/>
                <w:b/>
                <w:bCs/>
                <w:sz w:val="19"/>
                <w:szCs w:val="19"/>
              </w:rPr>
              <w:t xml:space="preserve"> </w:t>
            </w:r>
            <w:proofErr w:type="spellStart"/>
            <w:r>
              <w:rPr>
                <w:rFonts w:ascii="Book Antiqua" w:hAnsi="Book Antiqua"/>
                <w:b/>
                <w:bCs/>
                <w:sz w:val="19"/>
                <w:szCs w:val="19"/>
              </w:rPr>
              <w:t>Conv</w:t>
            </w:r>
            <w:proofErr w:type="spellEnd"/>
            <w:r>
              <w:rPr>
                <w:rFonts w:ascii="Book Antiqua" w:hAnsi="Book Antiqua"/>
                <w:b/>
                <w:bCs/>
                <w:sz w:val="19"/>
                <w:szCs w:val="19"/>
              </w:rPr>
              <w:t>. Europeia.</w:t>
            </w:r>
          </w:p>
        </w:tc>
      </w:tr>
    </w:tbl>
    <w:p w14:paraId="15AE6CE8" w14:textId="357AD6A0"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4. O Tribunal rejeitará qualquer petição que considere inadmissível nos termos do presente artigo. o Tribunal poderá decidir nestes termos em qualquer momento do processo.</w:t>
      </w:r>
    </w:p>
    <w:p w14:paraId="5F94B78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36.º</w:t>
      </w:r>
    </w:p>
    <w:p w14:paraId="6750A4AE"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(Intervenção de terceiros)</w:t>
      </w:r>
    </w:p>
    <w:p w14:paraId="1BCA98BB"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Em qualquer assunto pendente numa secção ou no tribunal pleno, a Alta Parte Contratante da qual o autor da petição seja nacional terá o direito de formular observações por escrito ou de participar nas audiências.</w:t>
      </w:r>
    </w:p>
    <w:p w14:paraId="4651F887"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No interesse da boa administração da justiça, o presidente do Tribunal pode convidar qualquer Alta Parte Contratante que não seja parte no processo ou qualquer outra pessoa interessada que não o autor da petição a apresentar observações escritas ou a participar nas audiências.</w:t>
      </w:r>
    </w:p>
    <w:p w14:paraId="51B82E88"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37.º</w:t>
      </w:r>
    </w:p>
    <w:p w14:paraId="21DDE8EE"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(Arquivamento)</w:t>
      </w:r>
    </w:p>
    <w:p w14:paraId="593DBDEA"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O Tribunal pode decidir, em qualquer momento do processo, arquivar uma petição se as circunstâncias permitirem concluir que:</w:t>
      </w:r>
    </w:p>
    <w:p w14:paraId="30AB907A"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 O requerente não pretende mais manter tal petição;</w:t>
      </w:r>
    </w:p>
    <w:p w14:paraId="40D26353"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b) O litígio foi resolvido;</w:t>
      </w:r>
    </w:p>
    <w:p w14:paraId="62393A2C"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c) Por qualquer outro motivo constatado pelo Tribunal, não se justifica prosseguir a apreciação da petição.</w:t>
      </w:r>
    </w:p>
    <w:p w14:paraId="48798DB7"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Contudo, o Tribunal dará seguimento à apreciação da petição se o respeito pelos direitos do homem garantidos na Convenção assim o exigir.</w:t>
      </w:r>
    </w:p>
    <w:p w14:paraId="7A3E7640"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O Tribunal poderá decidir-se pelo desarquivamento de uma petição se considerar que as circunstâncias assim o justificam.</w:t>
      </w:r>
    </w:p>
    <w:p w14:paraId="494B6E1C"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38.º</w:t>
      </w:r>
    </w:p>
    <w:p w14:paraId="6DCC018F"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(Apreciação contraditória do assunto e processo de resolução amigável)</w:t>
      </w:r>
    </w:p>
    <w:p w14:paraId="4664BF8A"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Se declarar admissível uma petição, o Tribunal:</w:t>
      </w:r>
    </w:p>
    <w:p w14:paraId="2214DCE3"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 Procederá a uma apreciação contraditória da petição em conjunto com os representantes das partes e, se for caso disso, realizará um inquérito para cuja eficaz condução os Estados interessados fornecerão todas as facilidades necessárias;</w:t>
      </w:r>
    </w:p>
    <w:p w14:paraId="156ABC72"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b) Colocar-se-á à disposição dos interessados com o </w:t>
      </w:r>
      <w:proofErr w:type="spellStart"/>
      <w:r w:rsidRPr="007422DB">
        <w:rPr>
          <w:rFonts w:ascii="Book Antiqua" w:hAnsi="Book Antiqua"/>
          <w:sz w:val="19"/>
          <w:szCs w:val="19"/>
        </w:rPr>
        <w:t>objectivo</w:t>
      </w:r>
      <w:proofErr w:type="spellEnd"/>
      <w:r w:rsidRPr="007422DB">
        <w:rPr>
          <w:rFonts w:ascii="Book Antiqua" w:hAnsi="Book Antiqua"/>
          <w:sz w:val="19"/>
          <w:szCs w:val="19"/>
        </w:rPr>
        <w:t xml:space="preserve"> de se alcançar uma resolução amigável do assunto, inspirada no respeito pelos direitos do homem como tais reconhecidos pela Convenção e pelos seus protocolos.</w:t>
      </w:r>
    </w:p>
    <w:p w14:paraId="3ACC1BEF"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O processo descrito no n.º 1, alínea b), do presente artigo é confidencial.</w:t>
      </w:r>
    </w:p>
    <w:p w14:paraId="43587458"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39.º</w:t>
      </w:r>
    </w:p>
    <w:p w14:paraId="3374299D"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(Conclusão de uma resolução amigável)</w:t>
      </w:r>
    </w:p>
    <w:p w14:paraId="0A6D371E"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lastRenderedPageBreak/>
        <w:t>Em caso de resolução amigável, o Tribunal arquivará o assunto, proferindo, para o efeito, uma decisão que conterá uma breve exposição dos factos e da solução adoptada.</w:t>
      </w:r>
    </w:p>
    <w:p w14:paraId="1AE82D87"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40.º</w:t>
      </w:r>
    </w:p>
    <w:p w14:paraId="58274D49"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(Audiência pública e acesso aos documentos)</w:t>
      </w:r>
    </w:p>
    <w:p w14:paraId="76CCE107"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A audiência é pública, salvo se o Tribunal decidir em contrário por força de circunstâncias excepcionais.</w:t>
      </w:r>
    </w:p>
    <w:p w14:paraId="2CE1BEE2"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Os documentos depositados na secretaria ficarão acessíveis ao público, salvo decisão em contrário do presidente do Tribunal.</w:t>
      </w:r>
    </w:p>
    <w:p w14:paraId="6B64A8F5"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41.º</w:t>
      </w:r>
    </w:p>
    <w:p w14:paraId="0FB2BC7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sz w:val="19"/>
          <w:szCs w:val="19"/>
        </w:rPr>
        <w:t>(Reparação razoável)</w:t>
      </w:r>
    </w:p>
    <w:p w14:paraId="56F3CADC"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Se o Tribunal declarar que houve violação da Convenção ou dos seus protocolos e se o direito interno da Alta Parte Contratante não permitir senão imperfeitamente obviar às consequências de tal violação, o Tribunal atribuirá à parte lesada uma reparação razoável, se necessário.</w:t>
      </w:r>
    </w:p>
    <w:p w14:paraId="61BA4046"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42.º</w:t>
      </w:r>
    </w:p>
    <w:p w14:paraId="41409BEA"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(Decisões das secções)</w:t>
      </w:r>
    </w:p>
    <w:p w14:paraId="66AA3BB8"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As decisões tomadas pelas secções tornam-se definitivas em conformidade com o disposto no n.º 2 do artigo 44.º</w:t>
      </w:r>
    </w:p>
    <w:p w14:paraId="2BC1E846"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43.º</w:t>
      </w:r>
    </w:p>
    <w:p w14:paraId="48F88485"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(Devolução ao tribunal pleno)</w:t>
      </w:r>
    </w:p>
    <w:p w14:paraId="0100B9E9"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Num prazo de três meses a contar da data da sentença proferida por uma secção, qualquer parte no assunto poderá, em casos excepcionais, solicitar a devolução do assunto ao tribunal pleno.</w:t>
      </w:r>
    </w:p>
    <w:p w14:paraId="13E8E016"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2. Um </w:t>
      </w:r>
      <w:proofErr w:type="spellStart"/>
      <w:r w:rsidRPr="007422DB">
        <w:rPr>
          <w:rFonts w:ascii="Book Antiqua" w:hAnsi="Book Antiqua"/>
          <w:sz w:val="19"/>
          <w:szCs w:val="19"/>
        </w:rPr>
        <w:t>colectivo</w:t>
      </w:r>
      <w:proofErr w:type="spellEnd"/>
      <w:r w:rsidRPr="007422DB">
        <w:rPr>
          <w:rFonts w:ascii="Book Antiqua" w:hAnsi="Book Antiqua"/>
          <w:sz w:val="19"/>
          <w:szCs w:val="19"/>
        </w:rPr>
        <w:t xml:space="preserve"> composto por cinco juízes do tribunal pleno aceitará a petição, se o assunto levantar uma questão grave quanto à interpretação ou à aplicação da Convenção ou dos seus protocolos ou ainda se levantar uma questão grave de carácter geral.</w:t>
      </w:r>
    </w:p>
    <w:p w14:paraId="67E9678F"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3. Se o </w:t>
      </w:r>
      <w:proofErr w:type="spellStart"/>
      <w:r w:rsidRPr="007422DB">
        <w:rPr>
          <w:rFonts w:ascii="Book Antiqua" w:hAnsi="Book Antiqua"/>
          <w:sz w:val="19"/>
          <w:szCs w:val="19"/>
        </w:rPr>
        <w:t>colectivo</w:t>
      </w:r>
      <w:proofErr w:type="spellEnd"/>
      <w:r w:rsidRPr="007422DB">
        <w:rPr>
          <w:rFonts w:ascii="Book Antiqua" w:hAnsi="Book Antiqua"/>
          <w:sz w:val="19"/>
          <w:szCs w:val="19"/>
        </w:rPr>
        <w:t xml:space="preserve"> aceitar a petição, o tribunal pleno pronunciar-se-á sobre o assunto por meio de sentença.</w:t>
      </w:r>
    </w:p>
    <w:p w14:paraId="0036CDCE"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44.º</w:t>
      </w:r>
    </w:p>
    <w:p w14:paraId="51820265"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(Sentenças definitivas)</w:t>
      </w:r>
    </w:p>
    <w:p w14:paraId="03A2BD21"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A sentença do tribunal pleno é definitiva.</w:t>
      </w:r>
    </w:p>
    <w:p w14:paraId="153E5416"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A sentença de uma secção tornar-se-á definitiva:</w:t>
      </w:r>
    </w:p>
    <w:p w14:paraId="132C9335"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 Se as partes declararem que não solicitarão a devolução do assunto ao tribunal pleno;</w:t>
      </w:r>
    </w:p>
    <w:p w14:paraId="3018091C"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b) Três meses após a data da sentença, se a devolução do assunto ao tribunal pleno não for solicitada;</w:t>
      </w:r>
    </w:p>
    <w:p w14:paraId="25223B22"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c) Se o </w:t>
      </w:r>
      <w:proofErr w:type="spellStart"/>
      <w:r w:rsidRPr="007422DB">
        <w:rPr>
          <w:rFonts w:ascii="Book Antiqua" w:hAnsi="Book Antiqua"/>
          <w:sz w:val="19"/>
          <w:szCs w:val="19"/>
        </w:rPr>
        <w:t>colectivo</w:t>
      </w:r>
      <w:proofErr w:type="spellEnd"/>
      <w:r w:rsidRPr="007422DB">
        <w:rPr>
          <w:rFonts w:ascii="Book Antiqua" w:hAnsi="Book Antiqua"/>
          <w:sz w:val="19"/>
          <w:szCs w:val="19"/>
        </w:rPr>
        <w:t xml:space="preserve"> do tribunal pleno rejeitar a petição de devolução formulada nos termos do artigo 43.º</w:t>
      </w:r>
    </w:p>
    <w:p w14:paraId="2D435787"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3. A sentença definitiva será publicada.</w:t>
      </w:r>
    </w:p>
    <w:p w14:paraId="0B819729"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lastRenderedPageBreak/>
        <w:t>Artigo 45.º</w:t>
      </w:r>
    </w:p>
    <w:p w14:paraId="0590AD74"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(Fundamentação das sentenças e das decisões)</w:t>
      </w:r>
    </w:p>
    <w:p w14:paraId="1A5AFF67"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As sentenças, bem como as decisões que declarem a admissibilidade ou a inadmissibilidade das petições, serão fundamentadas.</w:t>
      </w:r>
    </w:p>
    <w:p w14:paraId="3004D81A"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Se a sentença não expressar, no todo ou em parte, a opinião unânime dos juízes, qualquer juiz terá o direito de lhe juntar uma exposição da sua opinião divergente.</w:t>
      </w:r>
    </w:p>
    <w:p w14:paraId="44E3347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123832">
        <w:rPr>
          <w:rFonts w:ascii="Book Antiqua" w:hAnsi="Book Antiqua"/>
          <w:b/>
          <w:bCs/>
          <w:sz w:val="19"/>
          <w:szCs w:val="19"/>
          <w:highlight w:val="magenta"/>
        </w:rPr>
        <w:t>Artigo 46.º</w:t>
      </w:r>
    </w:p>
    <w:p w14:paraId="5B5F821B"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(Força vinculativa e execução das sentenças)</w:t>
      </w:r>
    </w:p>
    <w:p w14:paraId="7A0F2258" w14:textId="2A9313CD" w:rsidR="007422DB" w:rsidRPr="00AF61AC" w:rsidRDefault="007422DB" w:rsidP="00F56EF9">
      <w:pPr>
        <w:spacing w:before="100" w:beforeAutospacing="1" w:after="100" w:afterAutospacing="1" w:line="240" w:lineRule="auto"/>
        <w:jc w:val="both"/>
        <w:rPr>
          <w:rFonts w:ascii="Book Antiqua" w:hAnsi="Book Antiqua"/>
          <w:sz w:val="16"/>
          <w:szCs w:val="16"/>
        </w:rPr>
      </w:pPr>
      <w:r w:rsidRPr="00AF61AC">
        <w:rPr>
          <w:rFonts w:ascii="Book Antiqua" w:hAnsi="Book Antiqua"/>
          <w:b/>
          <w:bCs/>
          <w:sz w:val="19"/>
          <w:szCs w:val="19"/>
          <w:highlight w:val="magenta"/>
        </w:rPr>
        <w:t>1</w:t>
      </w:r>
      <w:r w:rsidRPr="007422DB">
        <w:rPr>
          <w:rFonts w:ascii="Book Antiqua" w:hAnsi="Book Antiqua"/>
          <w:sz w:val="19"/>
          <w:szCs w:val="19"/>
        </w:rPr>
        <w:t xml:space="preserve">. </w:t>
      </w:r>
      <w:r w:rsidRPr="00AF61AC">
        <w:rPr>
          <w:rFonts w:ascii="Book Antiqua" w:hAnsi="Book Antiqua"/>
          <w:b/>
          <w:bCs/>
          <w:sz w:val="19"/>
          <w:szCs w:val="19"/>
        </w:rPr>
        <w:t>As Altas Partes Contratantes obrigam</w:t>
      </w:r>
      <w:r w:rsidR="00123832" w:rsidRPr="00AF61AC">
        <w:rPr>
          <w:rFonts w:ascii="Book Antiqua" w:hAnsi="Book Antiqua"/>
          <w:b/>
          <w:bCs/>
          <w:sz w:val="19"/>
          <w:szCs w:val="19"/>
        </w:rPr>
        <w:t>-</w:t>
      </w:r>
      <w:r w:rsidRPr="00AF61AC">
        <w:rPr>
          <w:rFonts w:ascii="Book Antiqua" w:hAnsi="Book Antiqua"/>
          <w:b/>
          <w:bCs/>
          <w:sz w:val="19"/>
          <w:szCs w:val="19"/>
        </w:rPr>
        <w:t>se a respeitar as sentenças definitivas do Tribunal nos litígios em que forem partes</w:t>
      </w:r>
      <w:r w:rsidRPr="00AF61AC">
        <w:rPr>
          <w:rFonts w:ascii="Book Antiqua" w:hAnsi="Book Antiqua"/>
          <w:sz w:val="16"/>
          <w:szCs w:val="16"/>
        </w:rPr>
        <w:t>.</w:t>
      </w:r>
      <w:r w:rsidR="00123832" w:rsidRPr="00AF61AC">
        <w:rPr>
          <w:rFonts w:ascii="Book Antiqua" w:hAnsi="Book Antiqua"/>
          <w:sz w:val="16"/>
          <w:szCs w:val="16"/>
        </w:rPr>
        <w:t xml:space="preserve"> </w:t>
      </w:r>
      <w:r w:rsidR="00123832" w:rsidRPr="00AF61AC">
        <w:rPr>
          <w:rFonts w:ascii="Book Antiqua" w:hAnsi="Book Antiqua"/>
          <w:b/>
          <w:bCs/>
          <w:color w:val="FF0000"/>
          <w:sz w:val="16"/>
          <w:szCs w:val="16"/>
          <w:u w:val="single"/>
        </w:rPr>
        <w:t>(TRF3-2011)</w:t>
      </w:r>
    </w:p>
    <w:p w14:paraId="31A57052"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A sentença definitiva do Tribunal será transmitida ao Comité de Ministros, o qual velará pela sua execução.</w:t>
      </w:r>
    </w:p>
    <w:p w14:paraId="32D2D86D"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47.º</w:t>
      </w:r>
    </w:p>
    <w:p w14:paraId="5DC590E2"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(Pareceres)</w:t>
      </w:r>
    </w:p>
    <w:p w14:paraId="7F540C48"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A pedido do Comité de Ministros, o Tribunal pode emitir pareceres sobre questões jurídicas relativas à interpretação da Convenção e dos seus protocolos.</w:t>
      </w:r>
    </w:p>
    <w:p w14:paraId="566832B8"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Tais pareceres não podem incidir sobre questões relativas ao conteúdo ou à extensão dos direitos e liberdades definidos no título I da Convenção e nos protocolos, nem sobre outras questões que, em virtude do recurso previsto pela Convenção, possam ser submetidas ao Tribunal ou ao Comité de Ministros.</w:t>
      </w:r>
    </w:p>
    <w:p w14:paraId="766EB3C0"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3. A decisão do Comité de Ministros de solicitar um parecer ao Tribunal será tomada por voto maioritário dos seus membros titulares.</w:t>
      </w:r>
    </w:p>
    <w:p w14:paraId="0FF2D712"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5A367C">
        <w:rPr>
          <w:rFonts w:ascii="Book Antiqua" w:hAnsi="Book Antiqua"/>
          <w:b/>
          <w:bCs/>
          <w:sz w:val="19"/>
          <w:szCs w:val="19"/>
          <w:highlight w:val="magenta"/>
        </w:rPr>
        <w:t>Artigo 48</w:t>
      </w:r>
    </w:p>
    <w:p w14:paraId="72318D0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(Competência consultiva do Tribunal)</w:t>
      </w:r>
    </w:p>
    <w:p w14:paraId="71FB336E" w14:textId="4B113725" w:rsidR="007422DB" w:rsidRDefault="007422DB" w:rsidP="00F56EF9">
      <w:pPr>
        <w:spacing w:before="100" w:beforeAutospacing="1" w:after="100" w:afterAutospacing="1" w:line="240" w:lineRule="auto"/>
        <w:jc w:val="both"/>
        <w:rPr>
          <w:rFonts w:ascii="Book Antiqua" w:hAnsi="Book Antiqua"/>
          <w:sz w:val="19"/>
          <w:szCs w:val="19"/>
        </w:rPr>
      </w:pPr>
      <w:r w:rsidRPr="00F56EF9">
        <w:rPr>
          <w:rFonts w:ascii="Book Antiqua" w:hAnsi="Book Antiqua"/>
          <w:b/>
          <w:bCs/>
          <w:sz w:val="19"/>
          <w:szCs w:val="19"/>
        </w:rPr>
        <w:t>O Tribunal decidirá se o pedido de parecer apresentado pelo Comité de Ministros cabe na sua competência consultiva, tal como a define o artigo 47.º</w:t>
      </w:r>
      <w:r w:rsidR="00AF61AC">
        <w:rPr>
          <w:rFonts w:ascii="Book Antiqua" w:hAnsi="Book Antiqua"/>
          <w:sz w:val="19"/>
          <w:szCs w:val="19"/>
        </w:rPr>
        <w:t xml:space="preserve"> </w:t>
      </w:r>
      <w:r w:rsidR="00AF61AC" w:rsidRPr="00AF61AC">
        <w:rPr>
          <w:rFonts w:ascii="Book Antiqua" w:hAnsi="Book Antiqua"/>
          <w:b/>
          <w:bCs/>
          <w:color w:val="FF0000"/>
          <w:sz w:val="16"/>
          <w:szCs w:val="16"/>
          <w:u w:val="single"/>
        </w:rPr>
        <w:t>(TRF</w:t>
      </w:r>
      <w:r w:rsidR="00AF61AC">
        <w:rPr>
          <w:rFonts w:ascii="Book Antiqua" w:hAnsi="Book Antiqua"/>
          <w:b/>
          <w:bCs/>
          <w:color w:val="FF0000"/>
          <w:sz w:val="16"/>
          <w:szCs w:val="16"/>
          <w:u w:val="single"/>
        </w:rPr>
        <w:t>3-2011</w:t>
      </w:r>
      <w:r w:rsidR="00AF61AC" w:rsidRPr="00AF61AC">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5A367C" w14:paraId="20627DAA" w14:textId="77777777" w:rsidTr="005A367C">
        <w:tc>
          <w:tcPr>
            <w:tcW w:w="8494" w:type="dxa"/>
            <w:shd w:val="clear" w:color="auto" w:fill="CCFFFF"/>
          </w:tcPr>
          <w:p w14:paraId="1C090070" w14:textId="73A553C1" w:rsidR="005A367C" w:rsidRPr="005A367C" w:rsidRDefault="005A367C" w:rsidP="007422DB">
            <w:pPr>
              <w:jc w:val="both"/>
              <w:rPr>
                <w:rFonts w:ascii="Book Antiqua" w:hAnsi="Book Antiqua"/>
                <w:b/>
                <w:bCs/>
                <w:sz w:val="19"/>
                <w:szCs w:val="19"/>
              </w:rPr>
            </w:pPr>
            <w:r>
              <w:rPr>
                <w:rFonts w:ascii="Book Antiqua" w:hAnsi="Book Antiqua"/>
                <w:b/>
                <w:bCs/>
                <w:sz w:val="19"/>
                <w:szCs w:val="19"/>
              </w:rPr>
              <w:t>(</w:t>
            </w:r>
            <w:r w:rsidRPr="005A367C">
              <w:rPr>
                <w:rFonts w:ascii="Book Antiqua" w:hAnsi="Book Antiqua"/>
                <w:b/>
                <w:bCs/>
                <w:sz w:val="19"/>
                <w:szCs w:val="19"/>
                <w:highlight w:val="yellow"/>
              </w:rPr>
              <w:t>TRF3-2011-CESPE</w:t>
            </w:r>
            <w:r>
              <w:rPr>
                <w:rFonts w:ascii="Book Antiqua" w:hAnsi="Book Antiqua"/>
                <w:b/>
                <w:bCs/>
                <w:sz w:val="19"/>
                <w:szCs w:val="19"/>
              </w:rPr>
              <w:t>)</w:t>
            </w:r>
            <w:r>
              <w:rPr>
                <w:rFonts w:ascii="Book Antiqua" w:hAnsi="Book Antiqua"/>
                <w:sz w:val="19"/>
                <w:szCs w:val="19"/>
              </w:rPr>
              <w:t xml:space="preserve">: </w:t>
            </w:r>
            <w:r w:rsidRPr="005A367C">
              <w:rPr>
                <w:rFonts w:ascii="Book Antiqua" w:hAnsi="Book Antiqua"/>
                <w:sz w:val="19"/>
                <w:szCs w:val="19"/>
              </w:rPr>
              <w:t>Assinale a opção correta relativamente aos mecanismos de implementação dos direitos humanos no plano internacional</w:t>
            </w:r>
            <w:r>
              <w:rPr>
                <w:rFonts w:ascii="Book Antiqua" w:hAnsi="Book Antiqua"/>
                <w:sz w:val="19"/>
                <w:szCs w:val="19"/>
              </w:rPr>
              <w:t xml:space="preserve">: </w:t>
            </w:r>
            <w:r w:rsidRPr="005A367C">
              <w:rPr>
                <w:rFonts w:ascii="Book Antiqua" w:hAnsi="Book Antiqua"/>
                <w:sz w:val="19"/>
                <w:szCs w:val="19"/>
              </w:rPr>
              <w:t>A Corte Europeia de Direitos Humanos dispõe de competência consultiva.</w:t>
            </w:r>
            <w:r>
              <w:rPr>
                <w:rFonts w:ascii="Book Antiqua" w:hAnsi="Book Antiqua"/>
                <w:sz w:val="19"/>
                <w:szCs w:val="19"/>
              </w:rPr>
              <w:t xml:space="preserve"> </w:t>
            </w:r>
            <w:r>
              <w:rPr>
                <w:rFonts w:ascii="Book Antiqua" w:hAnsi="Book Antiqua"/>
                <w:b/>
                <w:bCs/>
                <w:sz w:val="19"/>
                <w:szCs w:val="19"/>
              </w:rPr>
              <w:t xml:space="preserve">BL: art. 48, </w:t>
            </w:r>
            <w:proofErr w:type="spellStart"/>
            <w:r>
              <w:rPr>
                <w:rFonts w:ascii="Book Antiqua" w:hAnsi="Book Antiqua"/>
                <w:b/>
                <w:bCs/>
                <w:sz w:val="19"/>
                <w:szCs w:val="19"/>
              </w:rPr>
              <w:t>Conv</w:t>
            </w:r>
            <w:proofErr w:type="spellEnd"/>
            <w:r>
              <w:rPr>
                <w:rFonts w:ascii="Book Antiqua" w:hAnsi="Book Antiqua"/>
                <w:b/>
                <w:bCs/>
                <w:sz w:val="19"/>
                <w:szCs w:val="19"/>
              </w:rPr>
              <w:t xml:space="preserve">. </w:t>
            </w:r>
            <w:proofErr w:type="spellStart"/>
            <w:r>
              <w:rPr>
                <w:rFonts w:ascii="Book Antiqua" w:hAnsi="Book Antiqua"/>
                <w:b/>
                <w:bCs/>
                <w:sz w:val="19"/>
                <w:szCs w:val="19"/>
              </w:rPr>
              <w:t>Européia</w:t>
            </w:r>
            <w:proofErr w:type="spellEnd"/>
            <w:r>
              <w:rPr>
                <w:rFonts w:ascii="Book Antiqua" w:hAnsi="Book Antiqua"/>
                <w:b/>
                <w:bCs/>
                <w:sz w:val="19"/>
                <w:szCs w:val="19"/>
              </w:rPr>
              <w:t xml:space="preserve"> de DH.</w:t>
            </w:r>
          </w:p>
        </w:tc>
      </w:tr>
    </w:tbl>
    <w:p w14:paraId="66B88D7C" w14:textId="77777777" w:rsidR="005A367C" w:rsidRDefault="005A367C" w:rsidP="007422DB">
      <w:pPr>
        <w:jc w:val="center"/>
        <w:rPr>
          <w:rFonts w:ascii="Book Antiqua" w:hAnsi="Book Antiqua"/>
          <w:b/>
          <w:bCs/>
          <w:sz w:val="19"/>
          <w:szCs w:val="19"/>
        </w:rPr>
      </w:pPr>
    </w:p>
    <w:p w14:paraId="4CF0FBAC" w14:textId="638B012A"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49.º</w:t>
      </w:r>
    </w:p>
    <w:p w14:paraId="53F3C0F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(Fundamentação dos pareceres)</w:t>
      </w:r>
    </w:p>
    <w:p w14:paraId="493D8DA8"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O parecer do Tribunal será fundamentado.</w:t>
      </w:r>
    </w:p>
    <w:p w14:paraId="59703109"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Se o parecer não expressar, no seu todo ou em parte, a opinião unânime dos juízes, qualquer juiz tem o direito de o fazer acompanhar de uma exposição com a sua opinião divergente.</w:t>
      </w:r>
    </w:p>
    <w:p w14:paraId="4015F94A"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3. O parecer do Tribunal será comunicado ao Comité de Ministros.</w:t>
      </w:r>
    </w:p>
    <w:p w14:paraId="26096F9D"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lastRenderedPageBreak/>
        <w:t>Artigo 50.º</w:t>
      </w:r>
    </w:p>
    <w:p w14:paraId="530BAACF"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(Despesas de funcionamento do Tribunal)</w:t>
      </w:r>
    </w:p>
    <w:p w14:paraId="01A499B3"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As despesas de funcionamento do Tribunal serão suportadas pelo Conselho da Europa.</w:t>
      </w:r>
    </w:p>
    <w:p w14:paraId="22A91AFB"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51.º</w:t>
      </w:r>
    </w:p>
    <w:p w14:paraId="4C7CD671"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(Privilégios e imunidades dos juízes)</w:t>
      </w:r>
    </w:p>
    <w:p w14:paraId="6C3B886C"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Os juízes gozam, enquanto no exercício das suas funções, dos privilégios e imunidades previstos no artigo 40.º do Estatuto do Conselho da Europa e nos acordos concluídos em virtude desse artigo.</w:t>
      </w:r>
    </w:p>
    <w:p w14:paraId="42ED97D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sz w:val="19"/>
          <w:szCs w:val="19"/>
        </w:rPr>
        <w:t>TÍTULO III</w:t>
      </w:r>
    </w:p>
    <w:p w14:paraId="2FE5D4B7"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(Disposições diversas)</w:t>
      </w:r>
    </w:p>
    <w:p w14:paraId="1F1E3544"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52.º</w:t>
      </w:r>
    </w:p>
    <w:p w14:paraId="64EE41CD"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(Inquéritos do Secretário-Geral)</w:t>
      </w:r>
    </w:p>
    <w:p w14:paraId="235F35FB"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Qualquer Alta Parte Contratante deverá fornecer, a requerimento do Secretário-Geral do Conselho da Europa, os esclarecimentos pertinentes sobre a forma como o seu direito interno assegura a aplicação </w:t>
      </w:r>
      <w:proofErr w:type="spellStart"/>
      <w:r w:rsidRPr="007422DB">
        <w:rPr>
          <w:rFonts w:ascii="Book Antiqua" w:hAnsi="Book Antiqua"/>
          <w:sz w:val="19"/>
          <w:szCs w:val="19"/>
        </w:rPr>
        <w:t>efectiva</w:t>
      </w:r>
      <w:proofErr w:type="spellEnd"/>
      <w:r w:rsidRPr="007422DB">
        <w:rPr>
          <w:rFonts w:ascii="Book Antiqua" w:hAnsi="Book Antiqua"/>
          <w:sz w:val="19"/>
          <w:szCs w:val="19"/>
        </w:rPr>
        <w:t xml:space="preserve"> de quaisquer disposições desta Convenção.</w:t>
      </w:r>
    </w:p>
    <w:p w14:paraId="16A6B63A"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53.º</w:t>
      </w:r>
    </w:p>
    <w:p w14:paraId="14A992F5"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(Salvaguarda dos direitos do homem reconhecidos por outra via)</w:t>
      </w:r>
    </w:p>
    <w:p w14:paraId="48778A35"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Nenhuma das disposições da presente Convenção será interpretada no sentido de limitar ou prejudicar os direitos do homem e as liberdades fundamentais que tiverem sido reconhecidos de acordo com as leis de qualquer Alta Parte Contratante ou de qualquer outra Convenção em que aquela seja parte.</w:t>
      </w:r>
    </w:p>
    <w:p w14:paraId="2CFDFEDA"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54.º</w:t>
      </w:r>
    </w:p>
    <w:p w14:paraId="2726C4BE"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(Poderes do Comité de Ministros)</w:t>
      </w:r>
    </w:p>
    <w:p w14:paraId="155674CF"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 xml:space="preserve">Nenhuma das disposições da presente Convenção </w:t>
      </w:r>
      <w:proofErr w:type="spellStart"/>
      <w:r w:rsidRPr="007422DB">
        <w:rPr>
          <w:rFonts w:ascii="Book Antiqua" w:hAnsi="Book Antiqua"/>
          <w:sz w:val="19"/>
          <w:szCs w:val="19"/>
        </w:rPr>
        <w:t>afecta</w:t>
      </w:r>
      <w:proofErr w:type="spellEnd"/>
      <w:r w:rsidRPr="007422DB">
        <w:rPr>
          <w:rFonts w:ascii="Book Antiqua" w:hAnsi="Book Antiqua"/>
          <w:sz w:val="19"/>
          <w:szCs w:val="19"/>
        </w:rPr>
        <w:t xml:space="preserve"> os poderes conferidos ao Comité de Ministros pelo Estatuto do Conselho da Europa.</w:t>
      </w:r>
    </w:p>
    <w:p w14:paraId="30CBDD20"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55.º</w:t>
      </w:r>
    </w:p>
    <w:p w14:paraId="17EEE9BF"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(Renúncia a outras formas de resolução de litígios)</w:t>
      </w:r>
    </w:p>
    <w:p w14:paraId="438A050D"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As Altas Partes Contratantes renunciam reciprocamente, salvo acordo especial, a aproveitar-se dos tratados, convénios ou declarações que entre si existirem, com o fim de resolver, por via contenciosa, uma divergência de interpretação ou aplicação da presente Convenção por processo de solução diferente dos previstos na presente Convenção.</w:t>
      </w:r>
    </w:p>
    <w:p w14:paraId="20F09433"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56.º</w:t>
      </w:r>
    </w:p>
    <w:p w14:paraId="48721F26"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(Aplicação territorial)</w:t>
      </w:r>
    </w:p>
    <w:p w14:paraId="5D21DE9A"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Qualquer Estado pode, no momento da ratificação ou em qualquer outro momento ulterior, declarar, em notificação dirigida ao Secretário-Geral do Conselho da Europa, que a presente Convenção se aplicará, sob reserva do n.º 4 do presente artigo, a todos os territórios ou a quaisquer dos territórios cujas relações internacionais assegura.</w:t>
      </w:r>
    </w:p>
    <w:p w14:paraId="7765A610"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lastRenderedPageBreak/>
        <w:t xml:space="preserve">2. A Convenção será aplicada ao território ou territórios designados na notificação, a partir do trigésimo dia seguinte à data em que o </w:t>
      </w:r>
      <w:proofErr w:type="spellStart"/>
      <w:proofErr w:type="gramStart"/>
      <w:r w:rsidRPr="007422DB">
        <w:rPr>
          <w:rFonts w:ascii="Book Antiqua" w:hAnsi="Book Antiqua"/>
          <w:sz w:val="19"/>
          <w:szCs w:val="19"/>
        </w:rPr>
        <w:t>Secretário?Geral</w:t>
      </w:r>
      <w:proofErr w:type="spellEnd"/>
      <w:proofErr w:type="gramEnd"/>
      <w:r w:rsidRPr="007422DB">
        <w:rPr>
          <w:rFonts w:ascii="Book Antiqua" w:hAnsi="Book Antiqua"/>
          <w:sz w:val="19"/>
          <w:szCs w:val="19"/>
        </w:rPr>
        <w:t xml:space="preserve"> do Conselho da Europa a tiver recebido.</w:t>
      </w:r>
    </w:p>
    <w:p w14:paraId="11A0B824"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3. Nos territórios em causa, as disposições da presente Convenção serão aplicáveis tendo em conta as necessidades locais.</w:t>
      </w:r>
    </w:p>
    <w:p w14:paraId="5DC4E829"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4. Qualquer Estado que tiver feito uma declaração de conformidade com o primeiro parágrafo deste artigo pode, em qualquer momento ulterior, declarar que aceita, a respeito de um ou vários territórios em questão, a competência do Tribunal para aceitar petições de pessoas singulares, de organizações não governamentais ou de grupos de particulares, conforme previsto pelo artigo 34.º da Convenção.</w:t>
      </w:r>
    </w:p>
    <w:p w14:paraId="660B57BE"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57.º</w:t>
      </w:r>
    </w:p>
    <w:p w14:paraId="5C31EE9C"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(Reservas)</w:t>
      </w:r>
    </w:p>
    <w:p w14:paraId="029BC7AB"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Qualquer Estado pode, no momento da assinatura desta Convenção ou do depósito do seu instrumento de ratificação, formular uma reserva a propósito de qualquer disposição da Convenção, na medida em que uma lei então em vigor no seu território estiver em discordância com aquela disposição. Este artigo não autoriza reservas de carácter geral.</w:t>
      </w:r>
    </w:p>
    <w:p w14:paraId="2D479B4D"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Toda a reserva feita em conformidade com o presente artigo será acompanhada de uma breve descrição da lei em causa.</w:t>
      </w:r>
    </w:p>
    <w:p w14:paraId="2F1DAAF3"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Artigo 58.º</w:t>
      </w:r>
    </w:p>
    <w:p w14:paraId="2033EBD2"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(Denúncia)</w:t>
      </w:r>
    </w:p>
    <w:p w14:paraId="02EA8BF8"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1. Uma Alta Parte Contratante só pode denunciar a presente Convenção ao fim do prazo de cinco anos a contar da data da entrada em vigor da Convenção para a dita Parte, e mediante um pré-aviso de seis meses, feito em notificação dirigida ao Secretário-Geral do Conselho da Europa, o qual informará as outras Partes Contratantes.</w:t>
      </w:r>
    </w:p>
    <w:p w14:paraId="7B0850CD"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2. Esta denúncia não pode ter por efeito desvincular a Alta Parte Contratante em causa das obrigações contidas na presente Convenção no que se refere a qualquer facto que, podendo constituir violação daquelas obrigações, tivesse sido praticado pela dita Parte anteriormente à data em que a denúncia produz efeito.</w:t>
      </w:r>
    </w:p>
    <w:p w14:paraId="0910D305"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3. Sob a mesma reserva, deixará de ser parte na presente Convenção qualquer Alta Parte Contratante que deixar de ser membro do Conselho da Europa.</w:t>
      </w:r>
    </w:p>
    <w:p w14:paraId="657C2BAC" w14:textId="77777777" w:rsidR="007422DB" w:rsidRPr="007422DB" w:rsidRDefault="007422DB" w:rsidP="00F56EF9">
      <w:pPr>
        <w:spacing w:before="100" w:beforeAutospacing="1" w:after="100" w:afterAutospacing="1" w:line="240" w:lineRule="auto"/>
        <w:jc w:val="both"/>
        <w:rPr>
          <w:rFonts w:ascii="Book Antiqua" w:hAnsi="Book Antiqua"/>
          <w:sz w:val="19"/>
          <w:szCs w:val="19"/>
        </w:rPr>
      </w:pPr>
      <w:r w:rsidRPr="007422DB">
        <w:rPr>
          <w:rFonts w:ascii="Book Antiqua" w:hAnsi="Book Antiqua"/>
          <w:sz w:val="19"/>
          <w:szCs w:val="19"/>
        </w:rPr>
        <w:t>4.¹ A Convenção poderá ser denunciada, nos termos dos parágrafos precedentes, em relação a qualquer território a que tiver sido declarada aplicável nos termos do artigo 56.º</w:t>
      </w:r>
    </w:p>
    <w:p w14:paraId="67A462EA"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EC5292">
        <w:rPr>
          <w:rFonts w:ascii="Book Antiqua" w:hAnsi="Book Antiqua"/>
          <w:b/>
          <w:bCs/>
          <w:sz w:val="19"/>
          <w:szCs w:val="19"/>
          <w:highlight w:val="magenta"/>
        </w:rPr>
        <w:t>Artigo 59</w:t>
      </w:r>
      <w:r w:rsidRPr="007422DB">
        <w:rPr>
          <w:rFonts w:ascii="Book Antiqua" w:hAnsi="Book Antiqua"/>
          <w:b/>
          <w:bCs/>
          <w:sz w:val="19"/>
          <w:szCs w:val="19"/>
        </w:rPr>
        <w:t>.º</w:t>
      </w:r>
    </w:p>
    <w:p w14:paraId="28738765" w14:textId="77777777" w:rsidR="007422DB" w:rsidRPr="007422DB" w:rsidRDefault="007422DB" w:rsidP="00F56EF9">
      <w:pPr>
        <w:spacing w:before="100" w:beforeAutospacing="1" w:after="100" w:afterAutospacing="1" w:line="240" w:lineRule="auto"/>
        <w:jc w:val="center"/>
        <w:rPr>
          <w:rFonts w:ascii="Book Antiqua" w:hAnsi="Book Antiqua"/>
          <w:sz w:val="19"/>
          <w:szCs w:val="19"/>
        </w:rPr>
      </w:pPr>
      <w:r w:rsidRPr="007422DB">
        <w:rPr>
          <w:rFonts w:ascii="Book Antiqua" w:hAnsi="Book Antiqua"/>
          <w:b/>
          <w:bCs/>
          <w:sz w:val="19"/>
          <w:szCs w:val="19"/>
        </w:rPr>
        <w:t>(Assinatura e ratificação)</w:t>
      </w:r>
    </w:p>
    <w:p w14:paraId="4215B6EA" w14:textId="5DE713A9" w:rsidR="00EC5292" w:rsidRPr="00EC5292" w:rsidRDefault="00EC5292" w:rsidP="00F56EF9">
      <w:pPr>
        <w:spacing w:before="100" w:beforeAutospacing="1" w:after="100" w:afterAutospacing="1" w:line="240" w:lineRule="auto"/>
        <w:jc w:val="both"/>
        <w:rPr>
          <w:rFonts w:ascii="Book Antiqua" w:hAnsi="Book Antiqua"/>
          <w:sz w:val="19"/>
          <w:szCs w:val="19"/>
        </w:rPr>
      </w:pPr>
      <w:r w:rsidRPr="00EC5292">
        <w:rPr>
          <w:rFonts w:ascii="Book Antiqua" w:hAnsi="Book Antiqua"/>
          <w:sz w:val="19"/>
          <w:szCs w:val="19"/>
        </w:rPr>
        <w:t>1. A presente Convenção está aberta à assinatura dos membros do Conselho da Europa. Será ratificada. As ratificações serão depositadas junto do Secretário - Geral do Conselho da Europa.</w:t>
      </w:r>
    </w:p>
    <w:p w14:paraId="12A2BA05" w14:textId="5B6696DA" w:rsidR="00EC5292" w:rsidRDefault="00EC5292" w:rsidP="00F56EF9">
      <w:pPr>
        <w:spacing w:before="100" w:beforeAutospacing="1" w:after="100" w:afterAutospacing="1" w:line="240" w:lineRule="auto"/>
        <w:jc w:val="both"/>
        <w:rPr>
          <w:rFonts w:ascii="Book Antiqua" w:hAnsi="Book Antiqua"/>
          <w:sz w:val="19"/>
          <w:szCs w:val="19"/>
        </w:rPr>
      </w:pPr>
      <w:r w:rsidRPr="00EC5292">
        <w:rPr>
          <w:rFonts w:ascii="Book Antiqua" w:hAnsi="Book Antiqua"/>
          <w:b/>
          <w:bCs/>
          <w:sz w:val="19"/>
          <w:szCs w:val="19"/>
          <w:highlight w:val="magenta"/>
        </w:rPr>
        <w:t>2</w:t>
      </w:r>
      <w:r w:rsidRPr="00EC5292">
        <w:rPr>
          <w:rFonts w:ascii="Book Antiqua" w:hAnsi="Book Antiqua"/>
          <w:b/>
          <w:bCs/>
          <w:sz w:val="19"/>
          <w:szCs w:val="19"/>
        </w:rPr>
        <w:t>. A União Europeia poderá aderir à presente Convenção</w:t>
      </w:r>
      <w:r w:rsidRPr="00EC5292">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Times New Roman"/>
          <w:b/>
          <w:bCs/>
          <w:color w:val="FF0000"/>
          <w:sz w:val="16"/>
          <w:szCs w:val="16"/>
          <w:u w:val="single"/>
          <w:lang w:eastAsia="pt-BR"/>
        </w:rPr>
        <w:t>(MPF-2015)</w:t>
      </w:r>
    </w:p>
    <w:tbl>
      <w:tblPr>
        <w:tblStyle w:val="Tabelacomgrade"/>
        <w:tblW w:w="0" w:type="auto"/>
        <w:tblLook w:val="04A0" w:firstRow="1" w:lastRow="0" w:firstColumn="1" w:lastColumn="0" w:noHBand="0" w:noVBand="1"/>
      </w:tblPr>
      <w:tblGrid>
        <w:gridCol w:w="8494"/>
      </w:tblGrid>
      <w:tr w:rsidR="00EC5292" w14:paraId="627706B2" w14:textId="77777777" w:rsidTr="00EC5292">
        <w:tc>
          <w:tcPr>
            <w:tcW w:w="8494" w:type="dxa"/>
            <w:shd w:val="clear" w:color="auto" w:fill="CCFFFF"/>
          </w:tcPr>
          <w:p w14:paraId="72878442" w14:textId="77777777" w:rsidR="00EC5292" w:rsidRDefault="00EC5292" w:rsidP="00EC529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C5292">
              <w:rPr>
                <w:rFonts w:ascii="Book Antiqua" w:hAnsi="Book Antiqua"/>
                <w:b/>
                <w:bCs/>
                <w:sz w:val="19"/>
                <w:szCs w:val="19"/>
                <w:highlight w:val="yellow"/>
              </w:rPr>
              <w:t>MPF-2015</w:t>
            </w:r>
            <w:r>
              <w:rPr>
                <w:rFonts w:ascii="Book Antiqua" w:hAnsi="Book Antiqua"/>
                <w:b/>
                <w:bCs/>
                <w:sz w:val="19"/>
                <w:szCs w:val="19"/>
              </w:rPr>
              <w:t>)</w:t>
            </w:r>
            <w:r>
              <w:rPr>
                <w:rFonts w:ascii="Book Antiqua" w:hAnsi="Book Antiqua"/>
                <w:sz w:val="19"/>
                <w:szCs w:val="19"/>
              </w:rPr>
              <w:t xml:space="preserve">: Assinale a alternativa correta: </w:t>
            </w:r>
            <w:r w:rsidRPr="00EC5292">
              <w:rPr>
                <w:rFonts w:ascii="Book Antiqua" w:hAnsi="Book Antiqua"/>
                <w:sz w:val="19"/>
                <w:szCs w:val="19"/>
              </w:rPr>
              <w:t>De acordo com a evolução organizacional do regime internacional de proteção dos direitos humanos, o sistema europeu de direitos humanos passou a prever, a partir do Protocolo n.14, a possibilidade de adesão da União Europeia como parte da Convenção Europeia de Direitos Humanos.</w:t>
            </w:r>
            <w:r>
              <w:rPr>
                <w:rFonts w:ascii="Book Antiqua" w:hAnsi="Book Antiqua"/>
                <w:sz w:val="19"/>
                <w:szCs w:val="19"/>
              </w:rPr>
              <w:t xml:space="preserve"> </w:t>
            </w:r>
            <w:r>
              <w:rPr>
                <w:rFonts w:ascii="Book Antiqua" w:hAnsi="Book Antiqua"/>
                <w:b/>
                <w:bCs/>
                <w:sz w:val="19"/>
                <w:szCs w:val="19"/>
              </w:rPr>
              <w:t xml:space="preserve">BL: art. 59, item 2, </w:t>
            </w:r>
            <w:proofErr w:type="spellStart"/>
            <w:r>
              <w:rPr>
                <w:rFonts w:ascii="Book Antiqua" w:hAnsi="Book Antiqua"/>
                <w:b/>
                <w:bCs/>
                <w:sz w:val="19"/>
                <w:szCs w:val="19"/>
              </w:rPr>
              <w:t>Conv</w:t>
            </w:r>
            <w:proofErr w:type="spellEnd"/>
            <w:r>
              <w:rPr>
                <w:rFonts w:ascii="Book Antiqua" w:hAnsi="Book Antiqua"/>
                <w:b/>
                <w:bCs/>
                <w:sz w:val="19"/>
                <w:szCs w:val="19"/>
              </w:rPr>
              <w:t>.</w:t>
            </w:r>
          </w:p>
          <w:p w14:paraId="2569AF4E" w14:textId="27FCCE4F" w:rsidR="00EC5292" w:rsidRPr="00EC5292" w:rsidRDefault="00EC5292" w:rsidP="00EC5292">
            <w:pPr>
              <w:spacing w:before="100" w:beforeAutospacing="1" w:after="100" w:afterAutospacing="1"/>
              <w:jc w:val="both"/>
              <w:rPr>
                <w:rFonts w:ascii="Book Antiqua" w:hAnsi="Book Antiqua"/>
                <w:sz w:val="19"/>
                <w:szCs w:val="19"/>
              </w:rPr>
            </w:pPr>
            <w:r w:rsidRPr="00EC5292">
              <w:rPr>
                <w:rFonts w:ascii="Book Antiqua" w:hAnsi="Book Antiqua"/>
                <w:b/>
                <w:bCs/>
                <w:i/>
                <w:iCs/>
                <w:color w:val="FF0000"/>
                <w:sz w:val="19"/>
                <w:szCs w:val="19"/>
              </w:rPr>
              <w:lastRenderedPageBreak/>
              <w:t>#</w:t>
            </w:r>
            <w:r w:rsidRPr="00EC5292">
              <w:rPr>
                <w:rFonts w:ascii="Book Antiqua" w:hAnsi="Book Antiqua"/>
                <w:b/>
                <w:bCs/>
                <w:i/>
                <w:iCs/>
                <w:color w:val="FF0000"/>
                <w:sz w:val="19"/>
                <w:szCs w:val="19"/>
                <w:highlight w:val="green"/>
              </w:rPr>
              <w:t>Atenção</w:t>
            </w:r>
            <w:r>
              <w:rPr>
                <w:rFonts w:ascii="Book Antiqua" w:hAnsi="Book Antiqua"/>
                <w:sz w:val="19"/>
                <w:szCs w:val="19"/>
              </w:rPr>
              <w:t>:</w:t>
            </w:r>
            <w:r w:rsidRPr="00EC5292">
              <w:rPr>
                <w:rFonts w:ascii="Book Antiqua" w:hAnsi="Book Antiqua"/>
                <w:sz w:val="19"/>
                <w:szCs w:val="19"/>
              </w:rPr>
              <w:t xml:space="preserve"> No art. 17, do Protocolo, ficou estabelecido que o art. 59 da Convenção Europeia sofreria a seguinte alteração: foi introduzido um novo nº 2, com o teor: </w:t>
            </w:r>
            <w:r w:rsidRPr="00EC5292">
              <w:rPr>
                <w:rFonts w:ascii="Book Antiqua" w:hAnsi="Book Antiqua"/>
                <w:i/>
                <w:iCs/>
                <w:sz w:val="19"/>
                <w:szCs w:val="19"/>
              </w:rPr>
              <w:t>“A União Europeia poderá aderir à presente Convenção</w:t>
            </w:r>
            <w:r>
              <w:rPr>
                <w:rFonts w:ascii="Book Antiqua" w:hAnsi="Book Antiqua"/>
                <w:i/>
                <w:iCs/>
                <w:sz w:val="19"/>
                <w:szCs w:val="19"/>
              </w:rPr>
              <w:t>”</w:t>
            </w:r>
            <w:r w:rsidRPr="00EC5292">
              <w:rPr>
                <w:rFonts w:ascii="Book Antiqua" w:hAnsi="Book Antiqua"/>
                <w:sz w:val="19"/>
                <w:szCs w:val="19"/>
              </w:rPr>
              <w:t>.</w:t>
            </w:r>
          </w:p>
        </w:tc>
      </w:tr>
    </w:tbl>
    <w:p w14:paraId="67C0DC46" w14:textId="4F264DFE" w:rsidR="00EC5292" w:rsidRPr="00EC5292" w:rsidRDefault="00EC5292" w:rsidP="00EC5292">
      <w:pPr>
        <w:spacing w:before="100" w:beforeAutospacing="1" w:after="100" w:afterAutospacing="1" w:line="240" w:lineRule="auto"/>
        <w:jc w:val="both"/>
        <w:rPr>
          <w:rFonts w:ascii="Book Antiqua" w:hAnsi="Book Antiqua"/>
          <w:sz w:val="19"/>
          <w:szCs w:val="19"/>
        </w:rPr>
      </w:pPr>
      <w:r w:rsidRPr="00EC5292">
        <w:rPr>
          <w:rFonts w:ascii="Book Antiqua" w:hAnsi="Book Antiqua"/>
          <w:sz w:val="19"/>
          <w:szCs w:val="19"/>
        </w:rPr>
        <w:lastRenderedPageBreak/>
        <w:t>3. A presente Convenção entrará em vigor depois do depósito de dez instrumentos de ratificação.</w:t>
      </w:r>
    </w:p>
    <w:p w14:paraId="4ABC678C" w14:textId="695C5273" w:rsidR="00EC5292" w:rsidRPr="00EC5292" w:rsidRDefault="00EC5292" w:rsidP="00EC5292">
      <w:pPr>
        <w:spacing w:before="100" w:beforeAutospacing="1" w:after="100" w:afterAutospacing="1" w:line="240" w:lineRule="auto"/>
        <w:jc w:val="both"/>
        <w:rPr>
          <w:rFonts w:ascii="Book Antiqua" w:hAnsi="Book Antiqua"/>
          <w:sz w:val="19"/>
          <w:szCs w:val="19"/>
        </w:rPr>
      </w:pPr>
      <w:r w:rsidRPr="00EC5292">
        <w:rPr>
          <w:rFonts w:ascii="Book Antiqua" w:hAnsi="Book Antiqua"/>
          <w:sz w:val="19"/>
          <w:szCs w:val="19"/>
        </w:rPr>
        <w:t>4. Para todo o signatário que a ratifique ulteriormente, a Convenção entrará em vigor no momento em que se realizar o depósito do instrumento de ratificação.</w:t>
      </w:r>
    </w:p>
    <w:p w14:paraId="62168D46" w14:textId="405CFCDC" w:rsidR="007422DB" w:rsidRPr="007422DB" w:rsidRDefault="00EC5292" w:rsidP="00EC5292">
      <w:pPr>
        <w:spacing w:before="100" w:beforeAutospacing="1" w:after="100" w:afterAutospacing="1" w:line="240" w:lineRule="auto"/>
        <w:jc w:val="both"/>
        <w:rPr>
          <w:rFonts w:ascii="Book Antiqua" w:hAnsi="Book Antiqua"/>
          <w:sz w:val="19"/>
          <w:szCs w:val="19"/>
        </w:rPr>
      </w:pPr>
      <w:r w:rsidRPr="00EC5292">
        <w:rPr>
          <w:rFonts w:ascii="Book Antiqua" w:hAnsi="Book Antiqua"/>
          <w:sz w:val="19"/>
          <w:szCs w:val="19"/>
        </w:rPr>
        <w:t>5. O Secretário-Geral do Conselho da Europa notificará todos os membros do Conselho da Europa da entrada em vigor da Convenção, dos nomes das Altas Partes Contratantes que a tiverem ratificado, assim como do depósito de todo o instrumento de ratificação que ulteriormente venha a ser feito.</w:t>
      </w:r>
    </w:p>
    <w:p w14:paraId="16369AC3" w14:textId="592B7AAD" w:rsidR="007422DB" w:rsidRPr="007422DB" w:rsidRDefault="00EC5292" w:rsidP="00EC5292">
      <w:pPr>
        <w:spacing w:before="100" w:beforeAutospacing="1" w:after="100" w:afterAutospacing="1" w:line="240" w:lineRule="auto"/>
        <w:jc w:val="both"/>
        <w:rPr>
          <w:rFonts w:ascii="Book Antiqua" w:hAnsi="Book Antiqua"/>
          <w:sz w:val="19"/>
          <w:szCs w:val="19"/>
        </w:rPr>
      </w:pPr>
      <w:r w:rsidRPr="00EC5292">
        <w:rPr>
          <w:rFonts w:ascii="Book Antiqua" w:hAnsi="Book Antiqua"/>
          <w:sz w:val="19"/>
          <w:szCs w:val="19"/>
        </w:rPr>
        <w:t xml:space="preserve">Feito em Roma, aos 4 de </w:t>
      </w:r>
      <w:proofErr w:type="gramStart"/>
      <w:r w:rsidRPr="00EC5292">
        <w:rPr>
          <w:rFonts w:ascii="Book Antiqua" w:hAnsi="Book Antiqua"/>
          <w:sz w:val="19"/>
          <w:szCs w:val="19"/>
        </w:rPr>
        <w:t>Novembro</w:t>
      </w:r>
      <w:proofErr w:type="gramEnd"/>
      <w:r w:rsidRPr="00EC5292">
        <w:rPr>
          <w:rFonts w:ascii="Book Antiqua" w:hAnsi="Book Antiqua"/>
          <w:sz w:val="19"/>
          <w:szCs w:val="19"/>
        </w:rPr>
        <w:t xml:space="preserve"> de 1950, em francês e em inglês, os dois textos fazendo igualmente fé, num só exemplar, que será depositado nos arquivos do Conselho da Europa. O Secretário-Geral enviará cópias conformes a todos os signatários.</w:t>
      </w:r>
    </w:p>
    <w:p w14:paraId="76826FAB" w14:textId="77777777" w:rsidR="00025D22" w:rsidRPr="007422DB" w:rsidRDefault="00025D22" w:rsidP="007422DB">
      <w:pPr>
        <w:jc w:val="both"/>
        <w:rPr>
          <w:rFonts w:ascii="Book Antiqua" w:hAnsi="Book Antiqua"/>
          <w:sz w:val="19"/>
          <w:szCs w:val="19"/>
        </w:rPr>
      </w:pPr>
    </w:p>
    <w:sectPr w:rsidR="00025D22" w:rsidRPr="007422DB" w:rsidSect="000B59A2">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2C6D8" w14:textId="77777777" w:rsidR="000B59A2" w:rsidRDefault="000B59A2" w:rsidP="007422DB">
      <w:pPr>
        <w:spacing w:after="0" w:line="240" w:lineRule="auto"/>
      </w:pPr>
      <w:r>
        <w:separator/>
      </w:r>
    </w:p>
  </w:endnote>
  <w:endnote w:type="continuationSeparator" w:id="0">
    <w:p w14:paraId="6C591712" w14:textId="77777777" w:rsidR="000B59A2" w:rsidRDefault="000B59A2" w:rsidP="00742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F76A2" w14:textId="77777777" w:rsidR="000B59A2" w:rsidRDefault="000B59A2" w:rsidP="007422DB">
      <w:pPr>
        <w:spacing w:after="0" w:line="240" w:lineRule="auto"/>
      </w:pPr>
      <w:r>
        <w:separator/>
      </w:r>
    </w:p>
  </w:footnote>
  <w:footnote w:type="continuationSeparator" w:id="0">
    <w:p w14:paraId="67E8D91D" w14:textId="77777777" w:rsidR="000B59A2" w:rsidRDefault="000B59A2" w:rsidP="007422DB">
      <w:pPr>
        <w:spacing w:after="0" w:line="240" w:lineRule="auto"/>
      </w:pPr>
      <w:r>
        <w:continuationSeparator/>
      </w:r>
    </w:p>
  </w:footnote>
  <w:footnote w:id="1">
    <w:p w14:paraId="5586BD4B" w14:textId="0117AF90" w:rsidR="007422DB" w:rsidRPr="007422DB" w:rsidRDefault="007422DB" w:rsidP="007422DB">
      <w:pPr>
        <w:pStyle w:val="Textodenotaderodap"/>
        <w:jc w:val="both"/>
        <w:rPr>
          <w:rFonts w:ascii="Book Antiqua" w:hAnsi="Book Antiqua"/>
          <w:sz w:val="18"/>
          <w:szCs w:val="18"/>
        </w:rPr>
      </w:pPr>
      <w:r w:rsidRPr="007422DB">
        <w:rPr>
          <w:rStyle w:val="Refdenotaderodap"/>
          <w:rFonts w:ascii="Book Antiqua" w:hAnsi="Book Antiqua"/>
          <w:sz w:val="18"/>
          <w:szCs w:val="18"/>
        </w:rPr>
        <w:footnoteRef/>
      </w:r>
      <w:r w:rsidRPr="007422DB">
        <w:rPr>
          <w:rFonts w:ascii="Book Antiqua" w:hAnsi="Book Antiqua"/>
          <w:sz w:val="18"/>
          <w:szCs w:val="18"/>
        </w:rPr>
        <w:t xml:space="preserve"> Fonte: </w:t>
      </w:r>
      <w:hyperlink r:id="rId1" w:history="1">
        <w:r w:rsidRPr="00811829">
          <w:rPr>
            <w:rStyle w:val="Hyperlink"/>
            <w:rFonts w:ascii="Book Antiqua" w:hAnsi="Book Antiqua"/>
            <w:sz w:val="18"/>
            <w:szCs w:val="18"/>
          </w:rPr>
          <w:t>http://www.oas.org/es/cidh/expresion/showarticle.asp?artID=536&amp;lID=4</w:t>
        </w:r>
      </w:hyperlink>
      <w:r>
        <w:rPr>
          <w:rFonts w:ascii="Book Antiqua" w:hAnsi="Book Antiqua"/>
          <w:sz w:val="18"/>
          <w:szCs w:val="18"/>
        </w:rPr>
        <w:t xml:space="preserve"> </w:t>
      </w:r>
    </w:p>
  </w:footnote>
  <w:footnote w:id="2">
    <w:p w14:paraId="3748D9D2" w14:textId="73519577" w:rsidR="00DF4B30" w:rsidRPr="00DF4B30" w:rsidRDefault="00DF4B30" w:rsidP="00DF4B30">
      <w:pPr>
        <w:pStyle w:val="Textodenotaderodap"/>
        <w:jc w:val="both"/>
        <w:rPr>
          <w:rFonts w:ascii="Book Antiqua" w:hAnsi="Book Antiqua"/>
          <w:sz w:val="18"/>
          <w:szCs w:val="18"/>
        </w:rPr>
      </w:pPr>
      <w:r w:rsidRPr="00DF4B30">
        <w:rPr>
          <w:rStyle w:val="Refdenotaderodap"/>
          <w:rFonts w:ascii="Book Antiqua" w:hAnsi="Book Antiqua"/>
          <w:sz w:val="18"/>
          <w:szCs w:val="18"/>
        </w:rPr>
        <w:footnoteRef/>
      </w:r>
      <w:r w:rsidRPr="00DF4B30">
        <w:rPr>
          <w:rFonts w:ascii="Book Antiqua" w:hAnsi="Book Antiqua"/>
          <w:sz w:val="18"/>
          <w:szCs w:val="18"/>
        </w:rPr>
        <w:t xml:space="preserve"> Artigo 9. (...) . Qualquer pessoa presa ou encarcerada em virtude de infração penal deverá ser conduzida, sem demora, à presença do juiz ou de outra autoridade habilitada por lei a exercer funções judiciais e terá o direito de ser julgada em prazo razoável ou de ser posta em liberdade. </w:t>
      </w:r>
      <w:r w:rsidRPr="00DF4B30">
        <w:rPr>
          <w:rFonts w:ascii="Book Antiqua" w:hAnsi="Book Antiqua"/>
          <w:b/>
          <w:bCs/>
          <w:sz w:val="18"/>
          <w:szCs w:val="18"/>
          <w:highlight w:val="yellow"/>
        </w:rPr>
        <w:t>A prisão preventiva de pessoas que aguardam julgamento não deverá constituir a regra geral, mas a soltura poderá estar condicionada a garantias que assegurem o comparecimento da pessoa em questão à audiência, a todos os atos do processo e, se necessário for, para a execução da sentença</w:t>
      </w:r>
      <w:r w:rsidRPr="00DF4B30">
        <w:rPr>
          <w:rFonts w:ascii="Book Antiqua" w:hAnsi="Book Antiqua"/>
          <w:sz w:val="18"/>
          <w:szCs w:val="18"/>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22"/>
    <w:rsid w:val="00017DA0"/>
    <w:rsid w:val="00025D22"/>
    <w:rsid w:val="000318DF"/>
    <w:rsid w:val="000B59A2"/>
    <w:rsid w:val="000E2644"/>
    <w:rsid w:val="00123832"/>
    <w:rsid w:val="00130089"/>
    <w:rsid w:val="001C3078"/>
    <w:rsid w:val="001D5A6D"/>
    <w:rsid w:val="00234C89"/>
    <w:rsid w:val="00266AF7"/>
    <w:rsid w:val="0036328A"/>
    <w:rsid w:val="00410360"/>
    <w:rsid w:val="005A367C"/>
    <w:rsid w:val="006048A7"/>
    <w:rsid w:val="00647574"/>
    <w:rsid w:val="006E54B8"/>
    <w:rsid w:val="007422DB"/>
    <w:rsid w:val="008321C6"/>
    <w:rsid w:val="008D33C7"/>
    <w:rsid w:val="00973707"/>
    <w:rsid w:val="00A674EE"/>
    <w:rsid w:val="00AF61AC"/>
    <w:rsid w:val="00B249DA"/>
    <w:rsid w:val="00B43644"/>
    <w:rsid w:val="00B60349"/>
    <w:rsid w:val="00D84DE3"/>
    <w:rsid w:val="00DB38F9"/>
    <w:rsid w:val="00DF4B30"/>
    <w:rsid w:val="00EC5292"/>
    <w:rsid w:val="00F31AF3"/>
    <w:rsid w:val="00F56EF9"/>
    <w:rsid w:val="00FE78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FDD2"/>
  <w15:chartTrackingRefBased/>
  <w15:docId w15:val="{60E6E3B4-EDF8-4CA7-9637-698DD1C3B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7422D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422DB"/>
    <w:rPr>
      <w:sz w:val="20"/>
      <w:szCs w:val="20"/>
    </w:rPr>
  </w:style>
  <w:style w:type="character" w:styleId="Refdenotaderodap">
    <w:name w:val="footnote reference"/>
    <w:basedOn w:val="Fontepargpadro"/>
    <w:uiPriority w:val="99"/>
    <w:semiHidden/>
    <w:unhideWhenUsed/>
    <w:rsid w:val="007422DB"/>
    <w:rPr>
      <w:vertAlign w:val="superscript"/>
    </w:rPr>
  </w:style>
  <w:style w:type="character" w:styleId="Hyperlink">
    <w:name w:val="Hyperlink"/>
    <w:basedOn w:val="Fontepargpadro"/>
    <w:uiPriority w:val="99"/>
    <w:unhideWhenUsed/>
    <w:rsid w:val="007422DB"/>
    <w:rPr>
      <w:color w:val="0563C1" w:themeColor="hyperlink"/>
      <w:u w:val="single"/>
    </w:rPr>
  </w:style>
  <w:style w:type="character" w:styleId="MenoPendente">
    <w:name w:val="Unresolved Mention"/>
    <w:basedOn w:val="Fontepargpadro"/>
    <w:uiPriority w:val="99"/>
    <w:semiHidden/>
    <w:unhideWhenUsed/>
    <w:rsid w:val="007422DB"/>
    <w:rPr>
      <w:color w:val="605E5C"/>
      <w:shd w:val="clear" w:color="auto" w:fill="E1DFDD"/>
    </w:rPr>
  </w:style>
  <w:style w:type="table" w:styleId="Tabelacomgrade">
    <w:name w:val="Table Grid"/>
    <w:basedOn w:val="Tabelanormal"/>
    <w:uiPriority w:val="39"/>
    <w:rsid w:val="005A3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F4B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8921395">
      <w:bodyDiv w:val="1"/>
      <w:marLeft w:val="0"/>
      <w:marRight w:val="0"/>
      <w:marTop w:val="0"/>
      <w:marBottom w:val="0"/>
      <w:divBdr>
        <w:top w:val="none" w:sz="0" w:space="0" w:color="auto"/>
        <w:left w:val="none" w:sz="0" w:space="0" w:color="auto"/>
        <w:bottom w:val="none" w:sz="0" w:space="0" w:color="auto"/>
        <w:right w:val="none" w:sz="0" w:space="0" w:color="auto"/>
      </w:divBdr>
    </w:div>
    <w:div w:id="1018775734">
      <w:bodyDiv w:val="1"/>
      <w:marLeft w:val="0"/>
      <w:marRight w:val="0"/>
      <w:marTop w:val="0"/>
      <w:marBottom w:val="0"/>
      <w:divBdr>
        <w:top w:val="none" w:sz="0" w:space="0" w:color="auto"/>
        <w:left w:val="none" w:sz="0" w:space="0" w:color="auto"/>
        <w:bottom w:val="none" w:sz="0" w:space="0" w:color="auto"/>
        <w:right w:val="none" w:sz="0" w:space="0" w:color="auto"/>
      </w:divBdr>
    </w:div>
    <w:div w:id="1699700153">
      <w:bodyDiv w:val="1"/>
      <w:marLeft w:val="0"/>
      <w:marRight w:val="0"/>
      <w:marTop w:val="0"/>
      <w:marBottom w:val="0"/>
      <w:divBdr>
        <w:top w:val="none" w:sz="0" w:space="0" w:color="auto"/>
        <w:left w:val="none" w:sz="0" w:space="0" w:color="auto"/>
        <w:bottom w:val="none" w:sz="0" w:space="0" w:color="auto"/>
        <w:right w:val="none" w:sz="0" w:space="0" w:color="auto"/>
      </w:divBdr>
    </w:div>
    <w:div w:id="1834907451">
      <w:bodyDiv w:val="1"/>
      <w:marLeft w:val="0"/>
      <w:marRight w:val="0"/>
      <w:marTop w:val="0"/>
      <w:marBottom w:val="0"/>
      <w:divBdr>
        <w:top w:val="none" w:sz="0" w:space="0" w:color="auto"/>
        <w:left w:val="none" w:sz="0" w:space="0" w:color="auto"/>
        <w:bottom w:val="none" w:sz="0" w:space="0" w:color="auto"/>
        <w:right w:val="none" w:sz="0" w:space="0" w:color="auto"/>
      </w:divBdr>
      <w:divsChild>
        <w:div w:id="1196652852">
          <w:blockQuote w:val="1"/>
          <w:marLeft w:val="480"/>
          <w:marRight w:val="0"/>
          <w:marTop w:val="0"/>
          <w:marBottom w:val="0"/>
          <w:divBdr>
            <w:top w:val="none" w:sz="0" w:space="0" w:color="auto"/>
            <w:left w:val="none" w:sz="0" w:space="0" w:color="auto"/>
            <w:bottom w:val="none" w:sz="0" w:space="0" w:color="auto"/>
            <w:right w:val="none" w:sz="0" w:space="0" w:color="auto"/>
          </w:divBdr>
        </w:div>
        <w:div w:id="1676493532">
          <w:blockQuote w:val="1"/>
          <w:marLeft w:val="480"/>
          <w:marRight w:val="0"/>
          <w:marTop w:val="0"/>
          <w:marBottom w:val="0"/>
          <w:divBdr>
            <w:top w:val="none" w:sz="0" w:space="0" w:color="auto"/>
            <w:left w:val="none" w:sz="0" w:space="0" w:color="auto"/>
            <w:bottom w:val="none" w:sz="0" w:space="0" w:color="auto"/>
            <w:right w:val="none" w:sz="0" w:space="0" w:color="auto"/>
          </w:divBdr>
        </w:div>
        <w:div w:id="96875166">
          <w:blockQuote w:val="1"/>
          <w:marLeft w:val="480"/>
          <w:marRight w:val="0"/>
          <w:marTop w:val="0"/>
          <w:marBottom w:val="0"/>
          <w:divBdr>
            <w:top w:val="none" w:sz="0" w:space="0" w:color="auto"/>
            <w:left w:val="none" w:sz="0" w:space="0" w:color="auto"/>
            <w:bottom w:val="none" w:sz="0" w:space="0" w:color="auto"/>
            <w:right w:val="none" w:sz="0" w:space="0" w:color="auto"/>
          </w:divBdr>
        </w:div>
        <w:div w:id="1629775497">
          <w:blockQuote w:val="1"/>
          <w:marLeft w:val="480"/>
          <w:marRight w:val="0"/>
          <w:marTop w:val="0"/>
          <w:marBottom w:val="0"/>
          <w:divBdr>
            <w:top w:val="none" w:sz="0" w:space="0" w:color="auto"/>
            <w:left w:val="none" w:sz="0" w:space="0" w:color="auto"/>
            <w:bottom w:val="none" w:sz="0" w:space="0" w:color="auto"/>
            <w:right w:val="none" w:sz="0" w:space="0" w:color="auto"/>
          </w:divBdr>
        </w:div>
        <w:div w:id="1147359837">
          <w:blockQuote w:val="1"/>
          <w:marLeft w:val="480"/>
          <w:marRight w:val="0"/>
          <w:marTop w:val="0"/>
          <w:marBottom w:val="0"/>
          <w:divBdr>
            <w:top w:val="none" w:sz="0" w:space="0" w:color="auto"/>
            <w:left w:val="none" w:sz="0" w:space="0" w:color="auto"/>
            <w:bottom w:val="none" w:sz="0" w:space="0" w:color="auto"/>
            <w:right w:val="none" w:sz="0" w:space="0" w:color="auto"/>
          </w:divBdr>
        </w:div>
        <w:div w:id="1221938690">
          <w:blockQuote w:val="1"/>
          <w:marLeft w:val="480"/>
          <w:marRight w:val="0"/>
          <w:marTop w:val="0"/>
          <w:marBottom w:val="0"/>
          <w:divBdr>
            <w:top w:val="none" w:sz="0" w:space="0" w:color="auto"/>
            <w:left w:val="none" w:sz="0" w:space="0" w:color="auto"/>
            <w:bottom w:val="none" w:sz="0" w:space="0" w:color="auto"/>
            <w:right w:val="none" w:sz="0" w:space="0" w:color="auto"/>
          </w:divBdr>
        </w:div>
        <w:div w:id="1390807877">
          <w:blockQuote w:val="1"/>
          <w:marLeft w:val="480"/>
          <w:marRight w:val="0"/>
          <w:marTop w:val="0"/>
          <w:marBottom w:val="0"/>
          <w:divBdr>
            <w:top w:val="none" w:sz="0" w:space="0" w:color="auto"/>
            <w:left w:val="none" w:sz="0" w:space="0" w:color="auto"/>
            <w:bottom w:val="none" w:sz="0" w:space="0" w:color="auto"/>
            <w:right w:val="none" w:sz="0" w:space="0" w:color="auto"/>
          </w:divBdr>
        </w:div>
        <w:div w:id="1371153025">
          <w:blockQuote w:val="1"/>
          <w:marLeft w:val="480"/>
          <w:marRight w:val="0"/>
          <w:marTop w:val="0"/>
          <w:marBottom w:val="0"/>
          <w:divBdr>
            <w:top w:val="none" w:sz="0" w:space="0" w:color="auto"/>
            <w:left w:val="none" w:sz="0" w:space="0" w:color="auto"/>
            <w:bottom w:val="none" w:sz="0" w:space="0" w:color="auto"/>
            <w:right w:val="none" w:sz="0" w:space="0" w:color="auto"/>
          </w:divBdr>
        </w:div>
        <w:div w:id="1199511338">
          <w:blockQuote w:val="1"/>
          <w:marLeft w:val="480"/>
          <w:marRight w:val="0"/>
          <w:marTop w:val="0"/>
          <w:marBottom w:val="0"/>
          <w:divBdr>
            <w:top w:val="none" w:sz="0" w:space="0" w:color="auto"/>
            <w:left w:val="none" w:sz="0" w:space="0" w:color="auto"/>
            <w:bottom w:val="none" w:sz="0" w:space="0" w:color="auto"/>
            <w:right w:val="none" w:sz="0" w:space="0" w:color="auto"/>
          </w:divBdr>
        </w:div>
        <w:div w:id="957567216">
          <w:blockQuote w:val="1"/>
          <w:marLeft w:val="480"/>
          <w:marRight w:val="0"/>
          <w:marTop w:val="0"/>
          <w:marBottom w:val="0"/>
          <w:divBdr>
            <w:top w:val="none" w:sz="0" w:space="0" w:color="auto"/>
            <w:left w:val="none" w:sz="0" w:space="0" w:color="auto"/>
            <w:bottom w:val="none" w:sz="0" w:space="0" w:color="auto"/>
            <w:right w:val="none" w:sz="0" w:space="0" w:color="auto"/>
          </w:divBdr>
        </w:div>
        <w:div w:id="952204877">
          <w:blockQuote w:val="1"/>
          <w:marLeft w:val="480"/>
          <w:marRight w:val="0"/>
          <w:marTop w:val="0"/>
          <w:marBottom w:val="0"/>
          <w:divBdr>
            <w:top w:val="none" w:sz="0" w:space="0" w:color="auto"/>
            <w:left w:val="none" w:sz="0" w:space="0" w:color="auto"/>
            <w:bottom w:val="none" w:sz="0" w:space="0" w:color="auto"/>
            <w:right w:val="none" w:sz="0" w:space="0" w:color="auto"/>
          </w:divBdr>
        </w:div>
        <w:div w:id="98530224">
          <w:blockQuote w:val="1"/>
          <w:marLeft w:val="480"/>
          <w:marRight w:val="0"/>
          <w:marTop w:val="0"/>
          <w:marBottom w:val="0"/>
          <w:divBdr>
            <w:top w:val="none" w:sz="0" w:space="0" w:color="auto"/>
            <w:left w:val="none" w:sz="0" w:space="0" w:color="auto"/>
            <w:bottom w:val="none" w:sz="0" w:space="0" w:color="auto"/>
            <w:right w:val="none" w:sz="0" w:space="0" w:color="auto"/>
          </w:divBdr>
        </w:div>
        <w:div w:id="1386485290">
          <w:blockQuote w:val="1"/>
          <w:marLeft w:val="480"/>
          <w:marRight w:val="0"/>
          <w:marTop w:val="0"/>
          <w:marBottom w:val="0"/>
          <w:divBdr>
            <w:top w:val="none" w:sz="0" w:space="0" w:color="auto"/>
            <w:left w:val="none" w:sz="0" w:space="0" w:color="auto"/>
            <w:bottom w:val="none" w:sz="0" w:space="0" w:color="auto"/>
            <w:right w:val="none" w:sz="0" w:space="0" w:color="auto"/>
          </w:divBdr>
        </w:div>
        <w:div w:id="1677489979">
          <w:blockQuote w:val="1"/>
          <w:marLeft w:val="480"/>
          <w:marRight w:val="0"/>
          <w:marTop w:val="0"/>
          <w:marBottom w:val="0"/>
          <w:divBdr>
            <w:top w:val="none" w:sz="0" w:space="0" w:color="auto"/>
            <w:left w:val="none" w:sz="0" w:space="0" w:color="auto"/>
            <w:bottom w:val="none" w:sz="0" w:space="0" w:color="auto"/>
            <w:right w:val="none" w:sz="0" w:space="0" w:color="auto"/>
          </w:divBdr>
        </w:div>
        <w:div w:id="1073433008">
          <w:blockQuote w:val="1"/>
          <w:marLeft w:val="480"/>
          <w:marRight w:val="0"/>
          <w:marTop w:val="0"/>
          <w:marBottom w:val="0"/>
          <w:divBdr>
            <w:top w:val="none" w:sz="0" w:space="0" w:color="auto"/>
            <w:left w:val="none" w:sz="0" w:space="0" w:color="auto"/>
            <w:bottom w:val="none" w:sz="0" w:space="0" w:color="auto"/>
            <w:right w:val="none" w:sz="0" w:space="0" w:color="auto"/>
          </w:divBdr>
        </w:div>
        <w:div w:id="2025012212">
          <w:blockQuote w:val="1"/>
          <w:marLeft w:val="480"/>
          <w:marRight w:val="0"/>
          <w:marTop w:val="0"/>
          <w:marBottom w:val="0"/>
          <w:divBdr>
            <w:top w:val="none" w:sz="0" w:space="0" w:color="auto"/>
            <w:left w:val="none" w:sz="0" w:space="0" w:color="auto"/>
            <w:bottom w:val="none" w:sz="0" w:space="0" w:color="auto"/>
            <w:right w:val="none" w:sz="0" w:space="0" w:color="auto"/>
          </w:divBdr>
        </w:div>
        <w:div w:id="139731870">
          <w:blockQuote w:val="1"/>
          <w:marLeft w:val="480"/>
          <w:marRight w:val="0"/>
          <w:marTop w:val="0"/>
          <w:marBottom w:val="0"/>
          <w:divBdr>
            <w:top w:val="none" w:sz="0" w:space="0" w:color="auto"/>
            <w:left w:val="none" w:sz="0" w:space="0" w:color="auto"/>
            <w:bottom w:val="none" w:sz="0" w:space="0" w:color="auto"/>
            <w:right w:val="none" w:sz="0" w:space="0" w:color="auto"/>
          </w:divBdr>
        </w:div>
        <w:div w:id="1697123126">
          <w:blockQuote w:val="1"/>
          <w:marLeft w:val="480"/>
          <w:marRight w:val="0"/>
          <w:marTop w:val="0"/>
          <w:marBottom w:val="0"/>
          <w:divBdr>
            <w:top w:val="none" w:sz="0" w:space="0" w:color="auto"/>
            <w:left w:val="none" w:sz="0" w:space="0" w:color="auto"/>
            <w:bottom w:val="none" w:sz="0" w:space="0" w:color="auto"/>
            <w:right w:val="none" w:sz="0" w:space="0" w:color="auto"/>
          </w:divBdr>
        </w:div>
        <w:div w:id="434058887">
          <w:blockQuote w:val="1"/>
          <w:marLeft w:val="480"/>
          <w:marRight w:val="0"/>
          <w:marTop w:val="0"/>
          <w:marBottom w:val="0"/>
          <w:divBdr>
            <w:top w:val="none" w:sz="0" w:space="0" w:color="auto"/>
            <w:left w:val="none" w:sz="0" w:space="0" w:color="auto"/>
            <w:bottom w:val="none" w:sz="0" w:space="0" w:color="auto"/>
            <w:right w:val="none" w:sz="0" w:space="0" w:color="auto"/>
          </w:divBdr>
        </w:div>
        <w:div w:id="1877278872">
          <w:blockQuote w:val="1"/>
          <w:marLeft w:val="480"/>
          <w:marRight w:val="0"/>
          <w:marTop w:val="0"/>
          <w:marBottom w:val="0"/>
          <w:divBdr>
            <w:top w:val="none" w:sz="0" w:space="0" w:color="auto"/>
            <w:left w:val="none" w:sz="0" w:space="0" w:color="auto"/>
            <w:bottom w:val="none" w:sz="0" w:space="0" w:color="auto"/>
            <w:right w:val="none" w:sz="0" w:space="0" w:color="auto"/>
          </w:divBdr>
        </w:div>
        <w:div w:id="1402562829">
          <w:blockQuote w:val="1"/>
          <w:marLeft w:val="480"/>
          <w:marRight w:val="0"/>
          <w:marTop w:val="0"/>
          <w:marBottom w:val="0"/>
          <w:divBdr>
            <w:top w:val="none" w:sz="0" w:space="0" w:color="auto"/>
            <w:left w:val="none" w:sz="0" w:space="0" w:color="auto"/>
            <w:bottom w:val="none" w:sz="0" w:space="0" w:color="auto"/>
            <w:right w:val="none" w:sz="0" w:space="0" w:color="auto"/>
          </w:divBdr>
        </w:div>
        <w:div w:id="766852661">
          <w:blockQuote w:val="1"/>
          <w:marLeft w:val="480"/>
          <w:marRight w:val="0"/>
          <w:marTop w:val="0"/>
          <w:marBottom w:val="0"/>
          <w:divBdr>
            <w:top w:val="none" w:sz="0" w:space="0" w:color="auto"/>
            <w:left w:val="none" w:sz="0" w:space="0" w:color="auto"/>
            <w:bottom w:val="none" w:sz="0" w:space="0" w:color="auto"/>
            <w:right w:val="none" w:sz="0" w:space="0" w:color="auto"/>
          </w:divBdr>
        </w:div>
        <w:div w:id="272369318">
          <w:blockQuote w:val="1"/>
          <w:marLeft w:val="480"/>
          <w:marRight w:val="0"/>
          <w:marTop w:val="0"/>
          <w:marBottom w:val="0"/>
          <w:divBdr>
            <w:top w:val="none" w:sz="0" w:space="0" w:color="auto"/>
            <w:left w:val="none" w:sz="0" w:space="0" w:color="auto"/>
            <w:bottom w:val="none" w:sz="0" w:space="0" w:color="auto"/>
            <w:right w:val="none" w:sz="0" w:space="0" w:color="auto"/>
          </w:divBdr>
        </w:div>
        <w:div w:id="323552582">
          <w:blockQuote w:val="1"/>
          <w:marLeft w:val="480"/>
          <w:marRight w:val="0"/>
          <w:marTop w:val="0"/>
          <w:marBottom w:val="0"/>
          <w:divBdr>
            <w:top w:val="none" w:sz="0" w:space="0" w:color="auto"/>
            <w:left w:val="none" w:sz="0" w:space="0" w:color="auto"/>
            <w:bottom w:val="none" w:sz="0" w:space="0" w:color="auto"/>
            <w:right w:val="none" w:sz="0" w:space="0" w:color="auto"/>
          </w:divBdr>
        </w:div>
        <w:div w:id="1621569417">
          <w:blockQuote w:val="1"/>
          <w:marLeft w:val="480"/>
          <w:marRight w:val="0"/>
          <w:marTop w:val="0"/>
          <w:marBottom w:val="0"/>
          <w:divBdr>
            <w:top w:val="none" w:sz="0" w:space="0" w:color="auto"/>
            <w:left w:val="none" w:sz="0" w:space="0" w:color="auto"/>
            <w:bottom w:val="none" w:sz="0" w:space="0" w:color="auto"/>
            <w:right w:val="none" w:sz="0" w:space="0" w:color="auto"/>
          </w:divBdr>
        </w:div>
        <w:div w:id="1016155216">
          <w:blockQuote w:val="1"/>
          <w:marLeft w:val="480"/>
          <w:marRight w:val="0"/>
          <w:marTop w:val="0"/>
          <w:marBottom w:val="0"/>
          <w:divBdr>
            <w:top w:val="none" w:sz="0" w:space="0" w:color="auto"/>
            <w:left w:val="none" w:sz="0" w:space="0" w:color="auto"/>
            <w:bottom w:val="none" w:sz="0" w:space="0" w:color="auto"/>
            <w:right w:val="none" w:sz="0" w:space="0" w:color="auto"/>
          </w:divBdr>
        </w:div>
        <w:div w:id="1214073805">
          <w:blockQuote w:val="1"/>
          <w:marLeft w:val="480"/>
          <w:marRight w:val="0"/>
          <w:marTop w:val="0"/>
          <w:marBottom w:val="0"/>
          <w:divBdr>
            <w:top w:val="none" w:sz="0" w:space="0" w:color="auto"/>
            <w:left w:val="none" w:sz="0" w:space="0" w:color="auto"/>
            <w:bottom w:val="none" w:sz="0" w:space="0" w:color="auto"/>
            <w:right w:val="none" w:sz="0" w:space="0" w:color="auto"/>
          </w:divBdr>
        </w:div>
        <w:div w:id="506987056">
          <w:blockQuote w:val="1"/>
          <w:marLeft w:val="480"/>
          <w:marRight w:val="0"/>
          <w:marTop w:val="0"/>
          <w:marBottom w:val="0"/>
          <w:divBdr>
            <w:top w:val="none" w:sz="0" w:space="0" w:color="auto"/>
            <w:left w:val="none" w:sz="0" w:space="0" w:color="auto"/>
            <w:bottom w:val="none" w:sz="0" w:space="0" w:color="auto"/>
            <w:right w:val="none" w:sz="0" w:space="0" w:color="auto"/>
          </w:divBdr>
        </w:div>
        <w:div w:id="2135563486">
          <w:blockQuote w:val="1"/>
          <w:marLeft w:val="480"/>
          <w:marRight w:val="0"/>
          <w:marTop w:val="0"/>
          <w:marBottom w:val="0"/>
          <w:divBdr>
            <w:top w:val="none" w:sz="0" w:space="0" w:color="auto"/>
            <w:left w:val="none" w:sz="0" w:space="0" w:color="auto"/>
            <w:bottom w:val="none" w:sz="0" w:space="0" w:color="auto"/>
            <w:right w:val="none" w:sz="0" w:space="0" w:color="auto"/>
          </w:divBdr>
        </w:div>
        <w:div w:id="1868063256">
          <w:blockQuote w:val="1"/>
          <w:marLeft w:val="480"/>
          <w:marRight w:val="0"/>
          <w:marTop w:val="0"/>
          <w:marBottom w:val="0"/>
          <w:divBdr>
            <w:top w:val="none" w:sz="0" w:space="0" w:color="auto"/>
            <w:left w:val="none" w:sz="0" w:space="0" w:color="auto"/>
            <w:bottom w:val="none" w:sz="0" w:space="0" w:color="auto"/>
            <w:right w:val="none" w:sz="0" w:space="0" w:color="auto"/>
          </w:divBdr>
        </w:div>
        <w:div w:id="1176113536">
          <w:blockQuote w:val="1"/>
          <w:marLeft w:val="480"/>
          <w:marRight w:val="0"/>
          <w:marTop w:val="0"/>
          <w:marBottom w:val="0"/>
          <w:divBdr>
            <w:top w:val="none" w:sz="0" w:space="0" w:color="auto"/>
            <w:left w:val="none" w:sz="0" w:space="0" w:color="auto"/>
            <w:bottom w:val="none" w:sz="0" w:space="0" w:color="auto"/>
            <w:right w:val="none" w:sz="0" w:space="0" w:color="auto"/>
          </w:divBdr>
        </w:div>
        <w:div w:id="1452745084">
          <w:blockQuote w:val="1"/>
          <w:marLeft w:val="480"/>
          <w:marRight w:val="0"/>
          <w:marTop w:val="0"/>
          <w:marBottom w:val="0"/>
          <w:divBdr>
            <w:top w:val="none" w:sz="0" w:space="0" w:color="auto"/>
            <w:left w:val="none" w:sz="0" w:space="0" w:color="auto"/>
            <w:bottom w:val="none" w:sz="0" w:space="0" w:color="auto"/>
            <w:right w:val="none" w:sz="0" w:space="0" w:color="auto"/>
          </w:divBdr>
        </w:div>
        <w:div w:id="1667635863">
          <w:blockQuote w:val="1"/>
          <w:marLeft w:val="480"/>
          <w:marRight w:val="0"/>
          <w:marTop w:val="0"/>
          <w:marBottom w:val="0"/>
          <w:divBdr>
            <w:top w:val="none" w:sz="0" w:space="0" w:color="auto"/>
            <w:left w:val="none" w:sz="0" w:space="0" w:color="auto"/>
            <w:bottom w:val="none" w:sz="0" w:space="0" w:color="auto"/>
            <w:right w:val="none" w:sz="0" w:space="0" w:color="auto"/>
          </w:divBdr>
          <w:divsChild>
            <w:div w:id="548033040">
              <w:blockQuote w:val="1"/>
              <w:marLeft w:val="480"/>
              <w:marRight w:val="0"/>
              <w:marTop w:val="0"/>
              <w:marBottom w:val="0"/>
              <w:divBdr>
                <w:top w:val="none" w:sz="0" w:space="0" w:color="auto"/>
                <w:left w:val="none" w:sz="0" w:space="0" w:color="auto"/>
                <w:bottom w:val="none" w:sz="0" w:space="0" w:color="auto"/>
                <w:right w:val="none" w:sz="0" w:space="0" w:color="auto"/>
              </w:divBdr>
            </w:div>
          </w:divsChild>
        </w:div>
        <w:div w:id="789512957">
          <w:blockQuote w:val="1"/>
          <w:marLeft w:val="480"/>
          <w:marRight w:val="0"/>
          <w:marTop w:val="0"/>
          <w:marBottom w:val="0"/>
          <w:divBdr>
            <w:top w:val="none" w:sz="0" w:space="0" w:color="auto"/>
            <w:left w:val="none" w:sz="0" w:space="0" w:color="auto"/>
            <w:bottom w:val="none" w:sz="0" w:space="0" w:color="auto"/>
            <w:right w:val="none" w:sz="0" w:space="0" w:color="auto"/>
          </w:divBdr>
        </w:div>
        <w:div w:id="720053575">
          <w:blockQuote w:val="1"/>
          <w:marLeft w:val="480"/>
          <w:marRight w:val="0"/>
          <w:marTop w:val="0"/>
          <w:marBottom w:val="0"/>
          <w:divBdr>
            <w:top w:val="none" w:sz="0" w:space="0" w:color="auto"/>
            <w:left w:val="none" w:sz="0" w:space="0" w:color="auto"/>
            <w:bottom w:val="none" w:sz="0" w:space="0" w:color="auto"/>
            <w:right w:val="none" w:sz="0" w:space="0" w:color="auto"/>
          </w:divBdr>
        </w:div>
        <w:div w:id="600918113">
          <w:blockQuote w:val="1"/>
          <w:marLeft w:val="480"/>
          <w:marRight w:val="0"/>
          <w:marTop w:val="0"/>
          <w:marBottom w:val="0"/>
          <w:divBdr>
            <w:top w:val="none" w:sz="0" w:space="0" w:color="auto"/>
            <w:left w:val="none" w:sz="0" w:space="0" w:color="auto"/>
            <w:bottom w:val="none" w:sz="0" w:space="0" w:color="auto"/>
            <w:right w:val="none" w:sz="0" w:space="0" w:color="auto"/>
          </w:divBdr>
        </w:div>
        <w:div w:id="1562792310">
          <w:blockQuote w:val="1"/>
          <w:marLeft w:val="480"/>
          <w:marRight w:val="0"/>
          <w:marTop w:val="0"/>
          <w:marBottom w:val="0"/>
          <w:divBdr>
            <w:top w:val="none" w:sz="0" w:space="0" w:color="auto"/>
            <w:left w:val="none" w:sz="0" w:space="0" w:color="auto"/>
            <w:bottom w:val="none" w:sz="0" w:space="0" w:color="auto"/>
            <w:right w:val="none" w:sz="0" w:space="0" w:color="auto"/>
          </w:divBdr>
        </w:div>
        <w:div w:id="1185438265">
          <w:blockQuote w:val="1"/>
          <w:marLeft w:val="480"/>
          <w:marRight w:val="0"/>
          <w:marTop w:val="0"/>
          <w:marBottom w:val="0"/>
          <w:divBdr>
            <w:top w:val="none" w:sz="0" w:space="0" w:color="auto"/>
            <w:left w:val="none" w:sz="0" w:space="0" w:color="auto"/>
            <w:bottom w:val="none" w:sz="0" w:space="0" w:color="auto"/>
            <w:right w:val="none" w:sz="0" w:space="0" w:color="auto"/>
          </w:divBdr>
        </w:div>
        <w:div w:id="1843428708">
          <w:blockQuote w:val="1"/>
          <w:marLeft w:val="480"/>
          <w:marRight w:val="0"/>
          <w:marTop w:val="0"/>
          <w:marBottom w:val="0"/>
          <w:divBdr>
            <w:top w:val="none" w:sz="0" w:space="0" w:color="auto"/>
            <w:left w:val="none" w:sz="0" w:space="0" w:color="auto"/>
            <w:bottom w:val="none" w:sz="0" w:space="0" w:color="auto"/>
            <w:right w:val="none" w:sz="0" w:space="0" w:color="auto"/>
          </w:divBdr>
        </w:div>
        <w:div w:id="575483661">
          <w:blockQuote w:val="1"/>
          <w:marLeft w:val="480"/>
          <w:marRight w:val="0"/>
          <w:marTop w:val="0"/>
          <w:marBottom w:val="0"/>
          <w:divBdr>
            <w:top w:val="none" w:sz="0" w:space="0" w:color="auto"/>
            <w:left w:val="none" w:sz="0" w:space="0" w:color="auto"/>
            <w:bottom w:val="none" w:sz="0" w:space="0" w:color="auto"/>
            <w:right w:val="none" w:sz="0" w:space="0" w:color="auto"/>
          </w:divBdr>
        </w:div>
        <w:div w:id="491264668">
          <w:blockQuote w:val="1"/>
          <w:marLeft w:val="480"/>
          <w:marRight w:val="0"/>
          <w:marTop w:val="0"/>
          <w:marBottom w:val="0"/>
          <w:divBdr>
            <w:top w:val="none" w:sz="0" w:space="0" w:color="auto"/>
            <w:left w:val="none" w:sz="0" w:space="0" w:color="auto"/>
            <w:bottom w:val="none" w:sz="0" w:space="0" w:color="auto"/>
            <w:right w:val="none" w:sz="0" w:space="0" w:color="auto"/>
          </w:divBdr>
        </w:div>
        <w:div w:id="1699231478">
          <w:blockQuote w:val="1"/>
          <w:marLeft w:val="480"/>
          <w:marRight w:val="0"/>
          <w:marTop w:val="0"/>
          <w:marBottom w:val="0"/>
          <w:divBdr>
            <w:top w:val="none" w:sz="0" w:space="0" w:color="auto"/>
            <w:left w:val="none" w:sz="0" w:space="0" w:color="auto"/>
            <w:bottom w:val="none" w:sz="0" w:space="0" w:color="auto"/>
            <w:right w:val="none" w:sz="0" w:space="0" w:color="auto"/>
          </w:divBdr>
        </w:div>
        <w:div w:id="305429675">
          <w:blockQuote w:val="1"/>
          <w:marLeft w:val="480"/>
          <w:marRight w:val="0"/>
          <w:marTop w:val="0"/>
          <w:marBottom w:val="0"/>
          <w:divBdr>
            <w:top w:val="none" w:sz="0" w:space="0" w:color="auto"/>
            <w:left w:val="none" w:sz="0" w:space="0" w:color="auto"/>
            <w:bottom w:val="none" w:sz="0" w:space="0" w:color="auto"/>
            <w:right w:val="none" w:sz="0" w:space="0" w:color="auto"/>
          </w:divBdr>
        </w:div>
        <w:div w:id="1203206820">
          <w:blockQuote w:val="1"/>
          <w:marLeft w:val="480"/>
          <w:marRight w:val="0"/>
          <w:marTop w:val="0"/>
          <w:marBottom w:val="0"/>
          <w:divBdr>
            <w:top w:val="none" w:sz="0" w:space="0" w:color="auto"/>
            <w:left w:val="none" w:sz="0" w:space="0" w:color="auto"/>
            <w:bottom w:val="none" w:sz="0" w:space="0" w:color="auto"/>
            <w:right w:val="none" w:sz="0" w:space="0" w:color="auto"/>
          </w:divBdr>
        </w:div>
        <w:div w:id="184288633">
          <w:blockQuote w:val="1"/>
          <w:marLeft w:val="480"/>
          <w:marRight w:val="0"/>
          <w:marTop w:val="0"/>
          <w:marBottom w:val="0"/>
          <w:divBdr>
            <w:top w:val="none" w:sz="0" w:space="0" w:color="auto"/>
            <w:left w:val="none" w:sz="0" w:space="0" w:color="auto"/>
            <w:bottom w:val="none" w:sz="0" w:space="0" w:color="auto"/>
            <w:right w:val="none" w:sz="0" w:space="0" w:color="auto"/>
          </w:divBdr>
        </w:div>
        <w:div w:id="174196941">
          <w:blockQuote w:val="1"/>
          <w:marLeft w:val="480"/>
          <w:marRight w:val="0"/>
          <w:marTop w:val="0"/>
          <w:marBottom w:val="0"/>
          <w:divBdr>
            <w:top w:val="none" w:sz="0" w:space="0" w:color="auto"/>
            <w:left w:val="none" w:sz="0" w:space="0" w:color="auto"/>
            <w:bottom w:val="none" w:sz="0" w:space="0" w:color="auto"/>
            <w:right w:val="none" w:sz="0" w:space="0" w:color="auto"/>
          </w:divBdr>
        </w:div>
        <w:div w:id="802357539">
          <w:blockQuote w:val="1"/>
          <w:marLeft w:val="480"/>
          <w:marRight w:val="0"/>
          <w:marTop w:val="0"/>
          <w:marBottom w:val="0"/>
          <w:divBdr>
            <w:top w:val="none" w:sz="0" w:space="0" w:color="auto"/>
            <w:left w:val="none" w:sz="0" w:space="0" w:color="auto"/>
            <w:bottom w:val="none" w:sz="0" w:space="0" w:color="auto"/>
            <w:right w:val="none" w:sz="0" w:space="0" w:color="auto"/>
          </w:divBdr>
        </w:div>
        <w:div w:id="909002781">
          <w:blockQuote w:val="1"/>
          <w:marLeft w:val="480"/>
          <w:marRight w:val="0"/>
          <w:marTop w:val="0"/>
          <w:marBottom w:val="0"/>
          <w:divBdr>
            <w:top w:val="none" w:sz="0" w:space="0" w:color="auto"/>
            <w:left w:val="none" w:sz="0" w:space="0" w:color="auto"/>
            <w:bottom w:val="none" w:sz="0" w:space="0" w:color="auto"/>
            <w:right w:val="none" w:sz="0" w:space="0" w:color="auto"/>
          </w:divBdr>
        </w:div>
        <w:div w:id="290140320">
          <w:blockQuote w:val="1"/>
          <w:marLeft w:val="480"/>
          <w:marRight w:val="0"/>
          <w:marTop w:val="0"/>
          <w:marBottom w:val="0"/>
          <w:divBdr>
            <w:top w:val="none" w:sz="0" w:space="0" w:color="auto"/>
            <w:left w:val="none" w:sz="0" w:space="0" w:color="auto"/>
            <w:bottom w:val="none" w:sz="0" w:space="0" w:color="auto"/>
            <w:right w:val="none" w:sz="0" w:space="0" w:color="auto"/>
          </w:divBdr>
        </w:div>
        <w:div w:id="1855339528">
          <w:blockQuote w:val="1"/>
          <w:marLeft w:val="480"/>
          <w:marRight w:val="0"/>
          <w:marTop w:val="0"/>
          <w:marBottom w:val="0"/>
          <w:divBdr>
            <w:top w:val="none" w:sz="0" w:space="0" w:color="auto"/>
            <w:left w:val="none" w:sz="0" w:space="0" w:color="auto"/>
            <w:bottom w:val="none" w:sz="0" w:space="0" w:color="auto"/>
            <w:right w:val="none" w:sz="0" w:space="0" w:color="auto"/>
          </w:divBdr>
        </w:div>
        <w:div w:id="668630537">
          <w:blockQuote w:val="1"/>
          <w:marLeft w:val="480"/>
          <w:marRight w:val="0"/>
          <w:marTop w:val="0"/>
          <w:marBottom w:val="0"/>
          <w:divBdr>
            <w:top w:val="none" w:sz="0" w:space="0" w:color="auto"/>
            <w:left w:val="none" w:sz="0" w:space="0" w:color="auto"/>
            <w:bottom w:val="none" w:sz="0" w:space="0" w:color="auto"/>
            <w:right w:val="none" w:sz="0" w:space="0" w:color="auto"/>
          </w:divBdr>
        </w:div>
        <w:div w:id="1410927358">
          <w:blockQuote w:val="1"/>
          <w:marLeft w:val="480"/>
          <w:marRight w:val="0"/>
          <w:marTop w:val="0"/>
          <w:marBottom w:val="0"/>
          <w:divBdr>
            <w:top w:val="none" w:sz="0" w:space="0" w:color="auto"/>
            <w:left w:val="none" w:sz="0" w:space="0" w:color="auto"/>
            <w:bottom w:val="none" w:sz="0" w:space="0" w:color="auto"/>
            <w:right w:val="none" w:sz="0" w:space="0" w:color="auto"/>
          </w:divBdr>
        </w:div>
        <w:div w:id="976648725">
          <w:blockQuote w:val="1"/>
          <w:marLeft w:val="480"/>
          <w:marRight w:val="0"/>
          <w:marTop w:val="0"/>
          <w:marBottom w:val="0"/>
          <w:divBdr>
            <w:top w:val="none" w:sz="0" w:space="0" w:color="auto"/>
            <w:left w:val="none" w:sz="0" w:space="0" w:color="auto"/>
            <w:bottom w:val="none" w:sz="0" w:space="0" w:color="auto"/>
            <w:right w:val="none" w:sz="0" w:space="0" w:color="auto"/>
          </w:divBdr>
        </w:div>
        <w:div w:id="557786034">
          <w:blockQuote w:val="1"/>
          <w:marLeft w:val="480"/>
          <w:marRight w:val="0"/>
          <w:marTop w:val="0"/>
          <w:marBottom w:val="0"/>
          <w:divBdr>
            <w:top w:val="none" w:sz="0" w:space="0" w:color="auto"/>
            <w:left w:val="none" w:sz="0" w:space="0" w:color="auto"/>
            <w:bottom w:val="none" w:sz="0" w:space="0" w:color="auto"/>
            <w:right w:val="none" w:sz="0" w:space="0" w:color="auto"/>
          </w:divBdr>
        </w:div>
        <w:div w:id="1995911741">
          <w:blockQuote w:val="1"/>
          <w:marLeft w:val="480"/>
          <w:marRight w:val="0"/>
          <w:marTop w:val="0"/>
          <w:marBottom w:val="0"/>
          <w:divBdr>
            <w:top w:val="none" w:sz="0" w:space="0" w:color="auto"/>
            <w:left w:val="none" w:sz="0" w:space="0" w:color="auto"/>
            <w:bottom w:val="none" w:sz="0" w:space="0" w:color="auto"/>
            <w:right w:val="none" w:sz="0" w:space="0" w:color="auto"/>
          </w:divBdr>
        </w:div>
        <w:div w:id="1576892673">
          <w:blockQuote w:val="1"/>
          <w:marLeft w:val="480"/>
          <w:marRight w:val="0"/>
          <w:marTop w:val="0"/>
          <w:marBottom w:val="0"/>
          <w:divBdr>
            <w:top w:val="none" w:sz="0" w:space="0" w:color="auto"/>
            <w:left w:val="none" w:sz="0" w:space="0" w:color="auto"/>
            <w:bottom w:val="none" w:sz="0" w:space="0" w:color="auto"/>
            <w:right w:val="none" w:sz="0" w:space="0" w:color="auto"/>
          </w:divBdr>
        </w:div>
        <w:div w:id="1048605022">
          <w:blockQuote w:val="1"/>
          <w:marLeft w:val="480"/>
          <w:marRight w:val="0"/>
          <w:marTop w:val="0"/>
          <w:marBottom w:val="0"/>
          <w:divBdr>
            <w:top w:val="none" w:sz="0" w:space="0" w:color="auto"/>
            <w:left w:val="none" w:sz="0" w:space="0" w:color="auto"/>
            <w:bottom w:val="none" w:sz="0" w:space="0" w:color="auto"/>
            <w:right w:val="none" w:sz="0" w:space="0" w:color="auto"/>
          </w:divBdr>
        </w:div>
        <w:div w:id="1546333036">
          <w:blockQuote w:val="1"/>
          <w:marLeft w:val="480"/>
          <w:marRight w:val="0"/>
          <w:marTop w:val="0"/>
          <w:marBottom w:val="0"/>
          <w:divBdr>
            <w:top w:val="none" w:sz="0" w:space="0" w:color="auto"/>
            <w:left w:val="none" w:sz="0" w:space="0" w:color="auto"/>
            <w:bottom w:val="none" w:sz="0" w:space="0" w:color="auto"/>
            <w:right w:val="none" w:sz="0" w:space="0" w:color="auto"/>
          </w:divBdr>
        </w:div>
        <w:div w:id="1842969861">
          <w:blockQuote w:val="1"/>
          <w:marLeft w:val="480"/>
          <w:marRight w:val="0"/>
          <w:marTop w:val="0"/>
          <w:marBottom w:val="0"/>
          <w:divBdr>
            <w:top w:val="none" w:sz="0" w:space="0" w:color="auto"/>
            <w:left w:val="none" w:sz="0" w:space="0" w:color="auto"/>
            <w:bottom w:val="none" w:sz="0" w:space="0" w:color="auto"/>
            <w:right w:val="none" w:sz="0" w:space="0" w:color="auto"/>
          </w:divBdr>
        </w:div>
        <w:div w:id="1595357870">
          <w:blockQuote w:val="1"/>
          <w:marLeft w:val="480"/>
          <w:marRight w:val="0"/>
          <w:marTop w:val="0"/>
          <w:marBottom w:val="0"/>
          <w:divBdr>
            <w:top w:val="none" w:sz="0" w:space="0" w:color="auto"/>
            <w:left w:val="none" w:sz="0" w:space="0" w:color="auto"/>
            <w:bottom w:val="none" w:sz="0" w:space="0" w:color="auto"/>
            <w:right w:val="none" w:sz="0" w:space="0" w:color="auto"/>
          </w:divBdr>
        </w:div>
        <w:div w:id="1078019191">
          <w:blockQuote w:val="1"/>
          <w:marLeft w:val="480"/>
          <w:marRight w:val="0"/>
          <w:marTop w:val="0"/>
          <w:marBottom w:val="0"/>
          <w:divBdr>
            <w:top w:val="none" w:sz="0" w:space="0" w:color="auto"/>
            <w:left w:val="none" w:sz="0" w:space="0" w:color="auto"/>
            <w:bottom w:val="none" w:sz="0" w:space="0" w:color="auto"/>
            <w:right w:val="none" w:sz="0" w:space="0" w:color="auto"/>
          </w:divBdr>
        </w:div>
        <w:div w:id="588855957">
          <w:blockQuote w:val="1"/>
          <w:marLeft w:val="480"/>
          <w:marRight w:val="0"/>
          <w:marTop w:val="0"/>
          <w:marBottom w:val="0"/>
          <w:divBdr>
            <w:top w:val="none" w:sz="0" w:space="0" w:color="auto"/>
            <w:left w:val="none" w:sz="0" w:space="0" w:color="auto"/>
            <w:bottom w:val="none" w:sz="0" w:space="0" w:color="auto"/>
            <w:right w:val="none" w:sz="0" w:space="0" w:color="auto"/>
          </w:divBdr>
        </w:div>
        <w:div w:id="244800120">
          <w:blockQuote w:val="1"/>
          <w:marLeft w:val="480"/>
          <w:marRight w:val="0"/>
          <w:marTop w:val="0"/>
          <w:marBottom w:val="0"/>
          <w:divBdr>
            <w:top w:val="none" w:sz="0" w:space="0" w:color="auto"/>
            <w:left w:val="none" w:sz="0" w:space="0" w:color="auto"/>
            <w:bottom w:val="none" w:sz="0" w:space="0" w:color="auto"/>
            <w:right w:val="none" w:sz="0" w:space="0" w:color="auto"/>
          </w:divBdr>
        </w:div>
        <w:div w:id="1386490312">
          <w:blockQuote w:val="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oas.org/es/cidh/expresion/showarticle.asp?artID=536&amp;lID=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7C389-29DB-4121-B2F2-527DB849F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5517</Words>
  <Characters>29792</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17</cp:revision>
  <dcterms:created xsi:type="dcterms:W3CDTF">2020-12-27T14:55:00Z</dcterms:created>
  <dcterms:modified xsi:type="dcterms:W3CDTF">2024-03-07T16:44:00Z</dcterms:modified>
</cp:coreProperties>
</file>