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0CF5" w14:textId="4872AA8B" w:rsidR="007D3B46" w:rsidRPr="007D3B46" w:rsidRDefault="007D3B46" w:rsidP="007D3B46">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7D3B46">
        <w:rPr>
          <w:rFonts w:ascii="Book Antiqua" w:eastAsia="Times New Roman" w:hAnsi="Book Antiqua" w:cs="Times New Roman"/>
          <w:b/>
          <w:bCs/>
          <w:color w:val="FF0000"/>
          <w:kern w:val="0"/>
          <w:sz w:val="19"/>
          <w:szCs w:val="19"/>
          <w:lang w:eastAsia="pt-BR"/>
          <w14:ligatures w14:val="none"/>
        </w:rPr>
        <w:t>(Atualização em 22/02/2025: questões de concurso)</w:t>
      </w:r>
    </w:p>
    <w:p w14:paraId="21B73B6A" w14:textId="669988B9"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hyperlink r:id="rId4" w:history="1">
        <w:r w:rsidRPr="007D3B46">
          <w:rPr>
            <w:rFonts w:ascii="Book Antiqua" w:eastAsia="Times New Roman" w:hAnsi="Book Antiqua" w:cs="Arial"/>
            <w:b/>
            <w:bCs/>
            <w:color w:val="000080"/>
            <w:kern w:val="0"/>
            <w:sz w:val="19"/>
            <w:szCs w:val="19"/>
            <w:u w:val="single"/>
            <w:lang w:eastAsia="pt-BR"/>
            <w14:ligatures w14:val="none"/>
          </w:rPr>
          <w:t>DECRETO Nº 5.639, DE 26 DE DEZEMBRO DE 2005.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D3B46" w:rsidRPr="007D3B46" w14:paraId="391E857D" w14:textId="77777777" w:rsidTr="007D3B46">
        <w:trPr>
          <w:trHeight w:val="200"/>
          <w:tblCellSpacing w:w="0" w:type="dxa"/>
        </w:trPr>
        <w:tc>
          <w:tcPr>
            <w:tcW w:w="1251" w:type="pct"/>
            <w:vAlign w:val="center"/>
            <w:hideMark/>
          </w:tcPr>
          <w:p w14:paraId="0D6F0A29" w14:textId="77777777" w:rsidR="007D3B46" w:rsidRPr="007D3B46" w:rsidRDefault="007D3B46" w:rsidP="007D3B46">
            <w:pPr>
              <w:spacing w:before="100" w:beforeAutospacing="1" w:after="100" w:afterAutospacing="1" w:line="240" w:lineRule="auto"/>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77E5774C" w14:textId="77777777" w:rsidR="007D3B46" w:rsidRPr="007D3B46" w:rsidRDefault="007D3B46" w:rsidP="007D3B4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D3B46">
              <w:rPr>
                <w:rFonts w:ascii="Book Antiqua" w:eastAsia="Times New Roman" w:hAnsi="Book Antiqua" w:cs="Arial"/>
                <w:color w:val="800000"/>
                <w:kern w:val="0"/>
                <w:sz w:val="18"/>
                <w:szCs w:val="18"/>
                <w:lang w:eastAsia="pt-BR"/>
                <w14:ligatures w14:val="none"/>
              </w:rPr>
              <w:t>Promulga a Convenção Interamericana contra o Terrorismo, assinada em Barbados, em 3 de junho de 2002.</w:t>
            </w:r>
          </w:p>
        </w:tc>
      </w:tr>
    </w:tbl>
    <w:p w14:paraId="62F3CF05"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b/>
          <w:bCs/>
          <w:color w:val="000000"/>
          <w:kern w:val="0"/>
          <w:sz w:val="19"/>
          <w:szCs w:val="19"/>
          <w:lang w:eastAsia="pt-BR"/>
          <w14:ligatures w14:val="none"/>
        </w:rPr>
        <w:t>O PRESIDENTE DA REPÚBLICA, </w:t>
      </w:r>
      <w:r w:rsidRPr="007D3B46">
        <w:rPr>
          <w:rFonts w:ascii="Book Antiqua" w:eastAsia="Times New Roman" w:hAnsi="Book Antiqua" w:cs="Arial"/>
          <w:color w:val="000000"/>
          <w:kern w:val="0"/>
          <w:sz w:val="19"/>
          <w:szCs w:val="19"/>
          <w:lang w:eastAsia="pt-BR"/>
          <w14:ligatures w14:val="none"/>
        </w:rPr>
        <w:t>no uso da atribuição que lhe confere o art. 84, inciso IV, da Constituição, e</w:t>
      </w:r>
    </w:p>
    <w:p w14:paraId="3E59DF03"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Considerando que o Congresso Nacional aprovou o texto da Convenção Interamericana contra o Terrorismo, por meio do Decreto Legislativo nº 890, de 1º de setembro de 2005;</w:t>
      </w:r>
    </w:p>
    <w:p w14:paraId="18CD5B05"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Considerando que o Governo brasileiro ratificou a citada Convenção em 25 de outubro de 2005;</w:t>
      </w:r>
    </w:p>
    <w:p w14:paraId="19299BFF"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Considerando que a Convenção entrou em vigor internacional em 10 de julho de 2003 e, para o Brasil, em 24 de novembro de 2005;</w:t>
      </w:r>
    </w:p>
    <w:p w14:paraId="6C523C8F"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b/>
          <w:bCs/>
          <w:color w:val="000000"/>
          <w:kern w:val="0"/>
          <w:sz w:val="19"/>
          <w:szCs w:val="19"/>
          <w:lang w:eastAsia="pt-BR"/>
          <w14:ligatures w14:val="none"/>
        </w:rPr>
        <w:t>DECRETA:</w:t>
      </w:r>
    </w:p>
    <w:p w14:paraId="29EA1942"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 1º A Convenção Interamericana contra o Terrorismo, assinada em Barbados, em 3 de junho de 2002, apensa por cópia ao presente Decreto, será executada e cumprida tão inteiramente como nela se contém.</w:t>
      </w:r>
    </w:p>
    <w:p w14:paraId="14D7D49E"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 2º São sujeitos à aprovação do Congresso Nacional quaisquer atos que possam resultar em revisão da referida Convenção ou que acarretem encargos ou compromissos gravosos ao patrimônio nacional, nos termos do </w:t>
      </w:r>
      <w:hyperlink r:id="rId5" w:anchor="art49i" w:history="1">
        <w:r w:rsidRPr="007D3B46">
          <w:rPr>
            <w:rFonts w:ascii="Book Antiqua" w:eastAsia="Times New Roman" w:hAnsi="Book Antiqua" w:cs="Arial"/>
            <w:color w:val="0000FF"/>
            <w:kern w:val="0"/>
            <w:sz w:val="19"/>
            <w:szCs w:val="19"/>
            <w:u w:val="single"/>
            <w:lang w:eastAsia="pt-BR"/>
            <w14:ligatures w14:val="none"/>
          </w:rPr>
          <w:t>art. 49, inciso I, da Constituição Federal.</w:t>
        </w:r>
      </w:hyperlink>
    </w:p>
    <w:p w14:paraId="37046A7F"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 3º Este Decreto entra em vigor na data de sua publicação.</w:t>
      </w:r>
    </w:p>
    <w:p w14:paraId="3F764D59"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Brasília, 26 de dezembro de 2005; 184º da Independência e 117º da República.</w:t>
      </w:r>
    </w:p>
    <w:p w14:paraId="3882268D"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LUIZ INÁCIO LULA DA SILVA</w:t>
      </w:r>
      <w:r w:rsidRPr="007D3B46">
        <w:rPr>
          <w:rFonts w:ascii="Book Antiqua" w:eastAsia="Times New Roman" w:hAnsi="Book Antiqua" w:cs="Arial"/>
          <w:color w:val="000000"/>
          <w:kern w:val="0"/>
          <w:sz w:val="19"/>
          <w:szCs w:val="19"/>
          <w:lang w:eastAsia="pt-BR"/>
          <w14:ligatures w14:val="none"/>
        </w:rPr>
        <w:br/>
      </w:r>
      <w:r w:rsidRPr="007D3B46">
        <w:rPr>
          <w:rFonts w:ascii="Book Antiqua" w:eastAsia="Times New Roman" w:hAnsi="Book Antiqua" w:cs="Arial"/>
          <w:i/>
          <w:iCs/>
          <w:color w:val="000000"/>
          <w:kern w:val="0"/>
          <w:sz w:val="19"/>
          <w:szCs w:val="19"/>
          <w:lang w:eastAsia="pt-BR"/>
          <w14:ligatures w14:val="none"/>
        </w:rPr>
        <w:t>Celso Luiz Nunes amorim</w:t>
      </w:r>
    </w:p>
    <w:p w14:paraId="740DB32E" w14:textId="77777777" w:rsidR="007D3B46" w:rsidRPr="007D3B46" w:rsidRDefault="007D3B46" w:rsidP="007D3B46">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FF0000"/>
          <w:kern w:val="0"/>
          <w:sz w:val="19"/>
          <w:szCs w:val="19"/>
          <w:lang w:eastAsia="pt-BR"/>
          <w14:ligatures w14:val="none"/>
        </w:rPr>
        <w:t>Este texto não substitui o publicado no DOU de 27.12.2005</w:t>
      </w:r>
    </w:p>
    <w:p w14:paraId="4C9FE23F"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CONVENÇÃO INTERAMERICANA CONTRA O TERRORISMO</w:t>
      </w:r>
    </w:p>
    <w:p w14:paraId="2CB77284"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Os Estados Partes nesta Convenção,</w:t>
      </w:r>
    </w:p>
    <w:p w14:paraId="14B0ED7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Tendo presente os propósitos e princípios da Carta da Organização dos Estados Americanos e da Carta das Nações Unidas;</w:t>
      </w:r>
    </w:p>
    <w:p w14:paraId="629210C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Considerando que o terrorismo constitui uma grave ameaça para os valores democráticos e para a paz e a segurança internacionais e é causa de profunda preocupação para todos os Estados membros;</w:t>
      </w:r>
    </w:p>
    <w:p w14:paraId="189B288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Reafirmando a necessidade de adotar no Sistema Interamericano medidas eficazes para prevenir, punir e eliminar o terrorismo mediante a mais ampla cooperação;</w:t>
      </w:r>
    </w:p>
    <w:p w14:paraId="136F2C7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Reconhecendo que os graves danos econômicos aos Estados que podem resultar de atos terroristas são um dos fatores que reforçam a necessidade da cooperação e a urgência dos esforços para erradicar o terrorismo;</w:t>
      </w:r>
    </w:p>
    <w:p w14:paraId="2B08E3F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Reafirmando o compromisso dos Estados de prevenir, combater, punir e eliminar o terrorismo; e</w:t>
      </w:r>
    </w:p>
    <w:p w14:paraId="0F1F1AD5"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lastRenderedPageBreak/>
        <w:t>Levando em conta a resolução RC.23/RES. 1/01 rev. 1 corr. 1, "Fortalecimento da cooperação hemisférica para prevenir, combater e eliminar o terrorismo", adotada na Vigésima Terceira Reunião de Consulta dos Ministros das Relações Exteriores,</w:t>
      </w:r>
    </w:p>
    <w:p w14:paraId="37552084"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Convieram no seguinte:</w:t>
      </w:r>
    </w:p>
    <w:p w14:paraId="57CD3833"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w:t>
      </w:r>
    </w:p>
    <w:p w14:paraId="76F1EAF8"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Objeto e fins</w:t>
      </w:r>
    </w:p>
    <w:p w14:paraId="39D02242"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Esta Convenção tem por objeto prevenir, punir e eliminar o terrorismo. Para esses fins, os Estados Partes assumem o compromisso de adotar as medidas necessárias e fortalecer a cooperação entre eles, de acordo com o estabelecido nesta Convenção.</w:t>
      </w:r>
    </w:p>
    <w:p w14:paraId="00BF02B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2</w:t>
      </w:r>
    </w:p>
    <w:p w14:paraId="3AD6E31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Instrumentos internacionais aplicáveis</w:t>
      </w:r>
    </w:p>
    <w:p w14:paraId="60D1E7CE"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Para os propósitos desta Convenção, entende-se por "delito" aqueles estabelecidos nos instrumentos internacionais a seguir indicados:</w:t>
      </w:r>
    </w:p>
    <w:p w14:paraId="6FB6ACF7"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 Convenção para a Repressão do Apoderamento Ilícito de Aeronaves, assinada na Haia em 16 de dezembro de 1970.</w:t>
      </w:r>
    </w:p>
    <w:p w14:paraId="4E16657C"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 Convenção para a Repressão de Atos Ilícitos contra a Segurança da Aviação Civil, assinada em Montreal em 23 de dezembro de 1971.</w:t>
      </w:r>
    </w:p>
    <w:p w14:paraId="4C40134C"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 Convenção sobre a Prevenção e Punição de Crimes contra Pessoas que Gozam de Proteção Internacional, Inclusive Agentes Diplomáticos, adotada pela Assembléia Geral das Nações Unidas em 14 de dezembro de 1973.</w:t>
      </w:r>
    </w:p>
    <w:p w14:paraId="51312ED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 Convenção Internacional contra a Tomada de Reféns, adotada pela Assembléia Geral das Nações Unidas em 17 de dezembro de 1979.</w:t>
      </w:r>
    </w:p>
    <w:p w14:paraId="66DFAF7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e. Convenção sobre a Proteção Física dos Materiais Nucleares, assinada em Viena em 3 de dezembro de 1980.</w:t>
      </w:r>
    </w:p>
    <w:p w14:paraId="2E5B90F8"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f. Protocolo para a Repressão de Atos Ilícitos de Violência nos Aeroportos que Prestem Serviços à Aviação Civil Internacional, complementar à Convenção para a Repressão de Atos Ilícitos contra a Segurança da Aviação Civil, assinado em Montreal em 24 de dezembro de 1988.</w:t>
      </w:r>
    </w:p>
    <w:p w14:paraId="09D5560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g. Convenção para a Supressão de Atos Ilegais contra a Segurança da Navegação Marítima, feita em Roma em 10 de dezembro de 1988.</w:t>
      </w:r>
    </w:p>
    <w:p w14:paraId="585245E0"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h. Protocolo para a Supressão de Atos Ilícitos contra a Segurança das Plataformas Fixas Situadas na Plataforma Continental, feito em Roma em 10 de dezembro de 1988.</w:t>
      </w:r>
    </w:p>
    <w:p w14:paraId="674F7B76"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i. Convenção Internacional para a Supressão de Atentados Terroristas a Bomba, adotada pela Assembléia Geral das Nações Unidas em 15 de dezembro de 1997.</w:t>
      </w:r>
    </w:p>
    <w:p w14:paraId="6F405CF1"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j. Convenção Internacional para a Supressão do Financiamento do Terrorismo, adotada pela Assembléia Geral das Nações Unidas em 9 de dezembro de 1999. 2. Ao depositar seu instrumento de ratificação desta Convenção, o Estado que não for parte de um ou mais dos instrumentos internacionais enumerados no parágrafo 1 deste artigo poderá declarar que, na aplicação desta Convenção a esse Estado Parte, aquele instrumento não se considerará incluído no referido parágrafo. A declaração cessará em seus efeitos quando aquele instrumento entrar em vigor para o Estado Parte, o qual notificará o depositário desse fato.</w:t>
      </w:r>
    </w:p>
    <w:p w14:paraId="133A8C27"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lastRenderedPageBreak/>
        <w:t>3. Quando deixe de ser parte de um dos instrumentos internacionais enumerados no parágrafo 1 deste artigo, um Estado Parte poderá fazer uma declaração relativa àquele instrumento, em conformidade com o disposto no parágrafo 2 deste artigo.</w:t>
      </w:r>
    </w:p>
    <w:p w14:paraId="481F7EB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3</w:t>
      </w:r>
    </w:p>
    <w:p w14:paraId="7B4D4EC7"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Medidas internas</w:t>
      </w:r>
    </w:p>
    <w:p w14:paraId="5FD424BF"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Cada Estado Parte, em conformidade com suas disposições constitucionais, esforçar-se-á para ser parte dos instrumentos internacionais enumerados no Artigo 2, dos quais ainda não seja parte e para adotar as medidas necessárias à sua efetiva aplicação, incluindo o estabelecimento em sua legislação interna de penas aos delitos aí contemplados.</w:t>
      </w:r>
    </w:p>
    <w:p w14:paraId="6892A85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b/>
          <w:bCs/>
          <w:color w:val="000000"/>
          <w:kern w:val="0"/>
          <w:sz w:val="19"/>
          <w:szCs w:val="19"/>
          <w:lang w:eastAsia="pt-BR"/>
          <w14:ligatures w14:val="none"/>
        </w:rPr>
      </w:pPr>
      <w:r w:rsidRPr="007D3B46">
        <w:rPr>
          <w:rFonts w:ascii="Book Antiqua" w:eastAsia="Times New Roman" w:hAnsi="Book Antiqua" w:cs="Arial"/>
          <w:b/>
          <w:bCs/>
          <w:color w:val="000000"/>
          <w:kern w:val="0"/>
          <w:sz w:val="19"/>
          <w:szCs w:val="19"/>
          <w:highlight w:val="magenta"/>
          <w:lang w:eastAsia="pt-BR"/>
          <w14:ligatures w14:val="none"/>
        </w:rPr>
        <w:t>Artigo 4</w:t>
      </w:r>
    </w:p>
    <w:p w14:paraId="5D514CED"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Medidas para prevenir, combater e erradicar o financiamento do terrorismo</w:t>
      </w:r>
    </w:p>
    <w:p w14:paraId="1300FDD6" w14:textId="574109C1"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b/>
          <w:bCs/>
          <w:color w:val="000000"/>
          <w:kern w:val="0"/>
          <w:sz w:val="19"/>
          <w:szCs w:val="19"/>
          <w:highlight w:val="magenta"/>
          <w:lang w:eastAsia="pt-BR"/>
          <w14:ligatures w14:val="none"/>
        </w:rPr>
        <w:t>1</w:t>
      </w:r>
      <w:r w:rsidRPr="007D3B46">
        <w:rPr>
          <w:rFonts w:ascii="Book Antiqua" w:eastAsia="Times New Roman" w:hAnsi="Book Antiqua" w:cs="Arial"/>
          <w:b/>
          <w:bCs/>
          <w:color w:val="000000"/>
          <w:kern w:val="0"/>
          <w:sz w:val="19"/>
          <w:szCs w:val="19"/>
          <w:lang w:eastAsia="pt-BR"/>
          <w14:ligatures w14:val="none"/>
        </w:rPr>
        <w:t>. Cada Estado Parte, na medida em que não o tiver feito, deverá estabelecer um regime jurídico e administrativo para prevenir, combater e erradicar o financiamento do terrorismo e lograr uma cooperação internacional eficaz a respeito, a qual deverá incluir</w:t>
      </w:r>
      <w:r w:rsidRPr="007D3B46">
        <w:rPr>
          <w:rFonts w:ascii="Book Antiqua" w:eastAsia="Times New Roman" w:hAnsi="Book Antiqua" w:cs="Arial"/>
          <w:color w:val="000000"/>
          <w:kern w:val="0"/>
          <w:sz w:val="19"/>
          <w:szCs w:val="19"/>
          <w:lang w:eastAsia="pt-BR"/>
          <w14:ligatures w14:val="none"/>
        </w:rPr>
        <w:t>:</w:t>
      </w:r>
      <w:r w:rsidR="00740EF7">
        <w:rPr>
          <w:rFonts w:ascii="Book Antiqua" w:eastAsia="Times New Roman" w:hAnsi="Book Antiqua" w:cs="Arial"/>
          <w:color w:val="000000"/>
          <w:kern w:val="0"/>
          <w:sz w:val="19"/>
          <w:szCs w:val="19"/>
          <w:lang w:eastAsia="pt-BR"/>
          <w14:ligatures w14:val="none"/>
        </w:rPr>
        <w:t xml:space="preserve"> </w:t>
      </w:r>
      <w:r w:rsidR="00740EF7" w:rsidRPr="002E7382">
        <w:rPr>
          <w:rFonts w:ascii="Book Antiqua" w:hAnsi="Book Antiqua"/>
          <w:b/>
          <w:bCs/>
          <w:color w:val="FF0000"/>
          <w:sz w:val="16"/>
          <w:szCs w:val="16"/>
          <w:u w:val="single"/>
        </w:rPr>
        <w:t>(MPF-20</w:t>
      </w:r>
      <w:r w:rsidR="00740EF7">
        <w:rPr>
          <w:rFonts w:ascii="Book Antiqua" w:hAnsi="Book Antiqua"/>
          <w:b/>
          <w:bCs/>
          <w:color w:val="FF0000"/>
          <w:sz w:val="16"/>
          <w:szCs w:val="16"/>
          <w:u w:val="single"/>
        </w:rPr>
        <w:t>22</w:t>
      </w:r>
      <w:r w:rsidR="00740EF7" w:rsidRPr="002E7382">
        <w:rPr>
          <w:rFonts w:ascii="Book Antiqua" w:hAnsi="Book Antiqua"/>
          <w:b/>
          <w:bCs/>
          <w:color w:val="FF0000"/>
          <w:sz w:val="16"/>
          <w:szCs w:val="16"/>
          <w:u w:val="single"/>
        </w:rPr>
        <w:t>)</w:t>
      </w:r>
    </w:p>
    <w:p w14:paraId="2816B72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 Um amplo regime interno normativo e de supervisão de bancos, outras instituições financeiras e outras entidades consideradas particularmente suscetíveis de ser utilizadas para financiar atividades terroristas. Este regime destacará os requisitos relativos à identificação de clientes, conservação de registros e comunicação de transações suspeitas ou incomuns.</w:t>
      </w:r>
    </w:p>
    <w:p w14:paraId="0A7C7CA1"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 Medidas de detecção e vigilância de movimentos transfronteiriços de dinheiro em efetivo, instrumentos negociáveis ao portador e outros movimentos relevantes de valores. Estas medidas estarão sujeitas a salvaguardas para garantir o devido uso da informação e não deverão impedir o movimento legítimo de capitais.</w:t>
      </w:r>
    </w:p>
    <w:p w14:paraId="64C5E7D4"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 Medidas que assegurem que as autoridades competentes dedicadas ao combate dos delitos estabelecidos nos instrumentos internacionais enumerados no Artigo 2 tenham a capacidade de cooperar e intercambiar informações nos planos nacional e internacional, em conformidade com as condições prescritas no direito interno. Com essa finalidade, cada Estado Parte deverá estabelecer e manter uma unidade de inteligência financeira que seja o centro nacional para coleta, análise e divulgação de informações relevantes sobre lavagem de dinheiro e financiamento do terrorismo. Cada Estado Parte deverá informar o Secretário-Geral da Organização dos Estados Americanos sobre a autoridade designada como sua unidade de inteligência financeira.</w:t>
      </w:r>
    </w:p>
    <w:p w14:paraId="175BAAD3" w14:textId="52211222" w:rsid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b/>
          <w:bCs/>
          <w:color w:val="000000"/>
          <w:kern w:val="0"/>
          <w:sz w:val="19"/>
          <w:szCs w:val="19"/>
          <w:highlight w:val="magenta"/>
          <w:lang w:eastAsia="pt-BR"/>
          <w14:ligatures w14:val="none"/>
        </w:rPr>
        <w:t>2</w:t>
      </w:r>
      <w:r w:rsidRPr="007D3B46">
        <w:rPr>
          <w:rFonts w:ascii="Book Antiqua" w:eastAsia="Times New Roman" w:hAnsi="Book Antiqua" w:cs="Arial"/>
          <w:b/>
          <w:bCs/>
          <w:color w:val="000000"/>
          <w:kern w:val="0"/>
          <w:sz w:val="19"/>
          <w:szCs w:val="19"/>
          <w:lang w:eastAsia="pt-BR"/>
          <w14:ligatures w14:val="none"/>
        </w:rPr>
        <w:t>. Para a aplicação do parágrafo 1 deste artigo, os Estados Partes utilizarão como diretrizes as recomendações desenvolvidas por entidades regionais ou internacionais especializadas, em particular, o Grupo de Ação Financeira (GAFI) e, quando for cabível, a Comissão Interamericana para o Controle do Abuso de Drogas (CICAD), o Grupo de Ação Financeira do Caribe (GAFIC) e o Grupo de Ação Financeira da América do Sul (GAFISUD)</w:t>
      </w:r>
      <w:r w:rsidRPr="007D3B4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E7382">
        <w:rPr>
          <w:rFonts w:ascii="Book Antiqua" w:hAnsi="Book Antiqua"/>
          <w:b/>
          <w:bCs/>
          <w:color w:val="FF0000"/>
          <w:sz w:val="16"/>
          <w:szCs w:val="16"/>
          <w:u w:val="single"/>
        </w:rPr>
        <w:t>(MPF-20</w:t>
      </w:r>
      <w:r>
        <w:rPr>
          <w:rFonts w:ascii="Book Antiqua" w:hAnsi="Book Antiqua"/>
          <w:b/>
          <w:bCs/>
          <w:color w:val="FF0000"/>
          <w:sz w:val="16"/>
          <w:szCs w:val="16"/>
          <w:u w:val="single"/>
        </w:rPr>
        <w:t>22</w:t>
      </w:r>
      <w:r w:rsidRPr="002E738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D3B46" w14:paraId="3BA5510C" w14:textId="77777777" w:rsidTr="007D3B46">
        <w:tc>
          <w:tcPr>
            <w:tcW w:w="8494" w:type="dxa"/>
            <w:shd w:val="clear" w:color="auto" w:fill="CCFFFF"/>
          </w:tcPr>
          <w:p w14:paraId="3CE86CDE" w14:textId="0841FD27" w:rsidR="007D3B46" w:rsidRPr="007D3B46" w:rsidRDefault="007D3B46" w:rsidP="007D3B4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7D3B46">
              <w:rPr>
                <w:rFonts w:ascii="Book Antiqua" w:eastAsia="Times New Roman" w:hAnsi="Book Antiqua" w:cs="Arial"/>
                <w:b/>
                <w:bCs/>
                <w:color w:val="000000"/>
                <w:kern w:val="0"/>
                <w:sz w:val="19"/>
                <w:szCs w:val="19"/>
                <w:highlight w:val="yellow"/>
                <w:lang w:eastAsia="pt-BR"/>
                <w14:ligatures w14:val="none"/>
              </w:rPr>
              <w:t>MPF-2022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7D3B46">
              <w:rPr>
                <w:rFonts w:ascii="Book Antiqua" w:eastAsia="Times New Roman" w:hAnsi="Book Antiqua" w:cs="Arial"/>
                <w:color w:val="000000"/>
                <w:kern w:val="0"/>
                <w:sz w:val="19"/>
                <w:szCs w:val="19"/>
                <w:lang w:eastAsia="pt-BR"/>
                <w14:ligatures w14:val="none"/>
              </w:rPr>
              <w:t>As recomendações desenvolvidas por entidades como o Grupo de Ação Financeira (GAFI) e pelo Grupo de Ação Financeira da América do Sul (GAFISUD) devem ser utilizadas como diretrizes pelos Estados contratantes da Convenção Interamericana contra o Terrorismo (Convenção de Barbados).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4º, item 1 e 2, Conv.</w:t>
            </w:r>
          </w:p>
        </w:tc>
      </w:tr>
    </w:tbl>
    <w:p w14:paraId="32B52F54"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5</w:t>
      </w:r>
    </w:p>
    <w:p w14:paraId="6BE578B6"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Embargo e confisco de fundos ou outros bens</w:t>
      </w:r>
    </w:p>
    <w:p w14:paraId="5D54DE18"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 xml:space="preserve">1. Cada Estado Parte, em conformidade com os procedimentos estabelecidos em sua legislação interna, adotará as medidas necessárias para identificar, congelar, embargar e, se for o caso, confiscar fundos ou outros bens que sejam produto da comissão ou tenham como propósito financiar ou tenham </w:t>
      </w:r>
      <w:r w:rsidRPr="007D3B46">
        <w:rPr>
          <w:rFonts w:ascii="Book Antiqua" w:eastAsia="Times New Roman" w:hAnsi="Book Antiqua" w:cs="Arial"/>
          <w:color w:val="000000"/>
          <w:kern w:val="0"/>
          <w:sz w:val="19"/>
          <w:szCs w:val="19"/>
          <w:lang w:eastAsia="pt-BR"/>
          <w14:ligatures w14:val="none"/>
        </w:rPr>
        <w:lastRenderedPageBreak/>
        <w:t>facilitado ou financiado a comissão de qualquer dos delitos estabelecidos nos instrumentos internacionais enumerados no Artigo 2 desta Convenção.</w:t>
      </w:r>
    </w:p>
    <w:p w14:paraId="1BD921DA"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As medidas a que se refere o parágrafo 1 serão aplicáveis aos delitos cometidos tanto dentro como fora da jurisdição do Estado Parte.</w:t>
      </w:r>
    </w:p>
    <w:p w14:paraId="73F46795"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6</w:t>
      </w:r>
    </w:p>
    <w:p w14:paraId="0236B29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Delitos prévios da lavagem de dinheiro</w:t>
      </w:r>
    </w:p>
    <w:p w14:paraId="076E479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Cada Estado Parte tomará as medidas necessárias para assegurar que sua legislação penal relativa ao delito da lavagem de dinheiro inclua como delitos prévios da lavagem de dinheiro os delitos estabelecidos nos instrumentos internacionais enumerados no Artigo 2 desta Convenção.</w:t>
      </w:r>
    </w:p>
    <w:p w14:paraId="2CBE161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Os delitos prévios da lavagem de dinheiro a que se refere o parágrafo 1 incluirão aqueles cometidos tanto dentro como fora da jurisdição do Estado Parte.</w:t>
      </w:r>
    </w:p>
    <w:p w14:paraId="13619EAD"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7</w:t>
      </w:r>
    </w:p>
    <w:p w14:paraId="23111DE4"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Cooperação no âmbito fronteiriço</w:t>
      </w:r>
    </w:p>
    <w:p w14:paraId="62B47726"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Os Estados Partes, em conformidade com seus respectivos regimes jurídicos e administrativos internos, promoverão a cooperação e o intercâmbio de informações com o objetivo de aperfeiçoar as medidas de controle fronteiriço e aduaneiro para detectar e prevenir a circulação internacional de terroristas e o tráfico de armas ou outros materiais destinados a apoiar atividades terroristas.</w:t>
      </w:r>
    </w:p>
    <w:p w14:paraId="404BE1A8"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Neste sentido, promoverão a cooperação e o intercâmbio de informações para aperfeiçoar seus controles de emissão dos documentos de viagem e identidade e evitar sua falsificação, adulteração ou utilização fraudulenta.</w:t>
      </w:r>
    </w:p>
    <w:p w14:paraId="3A1CBAF4"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3. Essas medidas serão levadas a cabo sem prejuízo dos compromissos internacionais aplicáveis ao livre movimento de pessoas e à facilitação do comércio.</w:t>
      </w:r>
    </w:p>
    <w:p w14:paraId="7B3D0312"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8</w:t>
      </w:r>
    </w:p>
    <w:p w14:paraId="6EABC0F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Cooperação entre autoridades competentes para aplicação da lei</w:t>
      </w:r>
    </w:p>
    <w:p w14:paraId="4E16FEFA"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Os Estados Partes colaborarão estreitamente, de acordo com seus respectivos ordenamentos legais e administrativos internos, a fim de fortalecer a efetiva aplicação da lei e combater os delitos estabelecidos nos instrumentos internacionais enumerados no Artigo 2. Neste sentido, estabelecerão e aperfeiçoarão, se necessário, os canais de comunicação entre suas autoridades competentes, a fim de facilitar o intercâmbio seguro e rápido de informações sobre todos os aspectos dos delitos estabelecidos nos instrumentos internacionais enumerados no Artigo 2 desta Convenção.</w:t>
      </w:r>
    </w:p>
    <w:p w14:paraId="634093A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9</w:t>
      </w:r>
    </w:p>
    <w:p w14:paraId="3F6DA83D"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Assistência judiciária mútua</w:t>
      </w:r>
    </w:p>
    <w:p w14:paraId="6CDC10F0"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Os Estados Partes prestar-se-ão mutuamente a mais ampla e expedita assistência judiciária possível com relação à prevenção, investigação e processo dos delitos estabelecidos nos instrumentos internacionais enumerados no Artigo 2 e dos processos a eles relativos, em conformidade com os acordos internacionais aplicáveis em vigor. Na ausência de tais acordos, os Estados Partes prestar-se-ão essa assistência de maneira expedita em conformidade com sua legislação interna.</w:t>
      </w:r>
    </w:p>
    <w:p w14:paraId="5182ACCA"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10</w:t>
      </w:r>
    </w:p>
    <w:p w14:paraId="1D2BA6EA"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Translado de pessoas sob custódia</w:t>
      </w:r>
    </w:p>
    <w:p w14:paraId="2EAF1735"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lastRenderedPageBreak/>
        <w:t>1. A pessoa que se encontrar detida ou cumprindo pena em um Estado Parte e cuja presença seja solicitada em outro Estado Parte para fins de prestar testemunho, ou de identificação, ou para ajudar na obtenção de provas necessárias para a investigação ou o processo de delitos estabelecidos nos instrumentos internacionais enumerados no Artigo 2, poderá ser transladada se forem atendidas as seguintes condições:</w:t>
      </w:r>
    </w:p>
    <w:p w14:paraId="0E1A089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 A pessoa dê livremente seu consentimento, uma vez informada; e</w:t>
      </w:r>
    </w:p>
    <w:p w14:paraId="17C7AB5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 Ambos os Estados estejam de acordo, segundo as condições que considerem apropriadas.</w:t>
      </w:r>
    </w:p>
    <w:p w14:paraId="620534C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Para os efeitos deste artigo:</w:t>
      </w:r>
    </w:p>
    <w:p w14:paraId="7CC74A2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 O Estado a que a pessoa for transladada estará autorizado e obrigado a mantê-la sob detenção, a não ser que o Estado do qual foi transladada solicite ou autorize outra medida.</w:t>
      </w:r>
    </w:p>
    <w:p w14:paraId="047598E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 O Estado a que a pessoa for transladada cumprirá sem delonga sua obrigação de devolvê-la à custódia do Estado do qual foi transladada, em conformidade com o que as autoridades competentes de ambos os Estados tiverem acordado de antemão ou de outro modo.</w:t>
      </w:r>
    </w:p>
    <w:p w14:paraId="2E77E02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 O Estado a que a pessoa for transladada não poderá exigir do Estado do qual foi transladada que inicie procedimentos de extradição para sua devolução.</w:t>
      </w:r>
    </w:p>
    <w:p w14:paraId="47DF639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 O tempo que a pessoa permanecer detida no Estado a que foi transladada será computado para fins de dedução da pena que está obrigada a cumprir no Estado do qual tiver sido transladada.</w:t>
      </w:r>
    </w:p>
    <w:p w14:paraId="5FFCFB90"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3. A menos que o Estado Parte do qual uma pessoa vier a ser transladada em conformidade com este artigo esteja de acordo, esta pessoa, qualquer que seja sua nacionalidade, não será processada, detida ou submetida a qualquer outra restrição de sua liberdade pessoal no território do Estado a que seja transladada, por atos ou condenações anteriores à sua saída do território do Estado do qual foi transladada.</w:t>
      </w:r>
    </w:p>
    <w:p w14:paraId="074B9D6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11</w:t>
      </w:r>
    </w:p>
    <w:p w14:paraId="7AE15273"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Inaplicabilidade da exceção por delito político</w:t>
      </w:r>
    </w:p>
    <w:p w14:paraId="3124F92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Para os propósitos de extradição ou assistência judiciária mútua, nenhum dos delitos estabelecidos nos instrumentos internacionais enumerados no Artigo 2 será considerado delito político ou delito conexo com um delito político ou um delito inspirado por motivos políticos. Por conseguinte, não se poderá negar um pedido de extradição ou de assistência judiciária mútua pela única razão de que se relaciona com um delito político ou com um delito conexo com um delito político ou um delito inspirado por motivos políticos.</w:t>
      </w:r>
    </w:p>
    <w:p w14:paraId="7277B5F8"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12</w:t>
      </w:r>
    </w:p>
    <w:p w14:paraId="758CD2A4"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Denegação da condição de refugiado</w:t>
      </w:r>
    </w:p>
    <w:p w14:paraId="3679DEF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Cada Estado Parte adotará as medidas cabíveis, em conformidade com as disposições pertinentes do direito interno e internacional, para assegurar que não se reconheça a condição de refugiado a pessoas com relação às quais haja motivos fundados para considerar que cometeram um delito estabelecido nos instrumentos internacionais enumerados no Artigo 2 desta Convenção.</w:t>
      </w:r>
    </w:p>
    <w:p w14:paraId="7C6C1155"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13</w:t>
      </w:r>
    </w:p>
    <w:p w14:paraId="58E1D506"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Denegação de asilo</w:t>
      </w:r>
    </w:p>
    <w:p w14:paraId="6AB63DCA"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 xml:space="preserve">Cada Estado Parte adotará as medidas cabíveis, em conformidade com as disposições pertinentes do direito interno e internacional, a fim de assegurar que não se conceda asilo a pessoas com relação </w:t>
      </w:r>
      <w:r w:rsidRPr="007D3B46">
        <w:rPr>
          <w:rFonts w:ascii="Book Antiqua" w:eastAsia="Times New Roman" w:hAnsi="Book Antiqua" w:cs="Arial"/>
          <w:color w:val="000000"/>
          <w:kern w:val="0"/>
          <w:sz w:val="19"/>
          <w:szCs w:val="19"/>
          <w:lang w:eastAsia="pt-BR"/>
          <w14:ligatures w14:val="none"/>
        </w:rPr>
        <w:lastRenderedPageBreak/>
        <w:t>às quais existam motivos fundados para se considerar que cometeram um delito estabelecido nos instrumentos internacionais enumerados no Artigo 2 desta Convenção.</w:t>
      </w:r>
    </w:p>
    <w:p w14:paraId="6C6D5CD3"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14</w:t>
      </w:r>
    </w:p>
    <w:p w14:paraId="3A8F00D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Não-discriminação</w:t>
      </w:r>
    </w:p>
    <w:p w14:paraId="1B1F16A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Nenhuma das disposições desta Convenção será interpretada como imposição da obrigação de prestar assistência judiciária mútua se o Estado Parte requerido tiver razões fundadas para crer que o pedido foi feito com o fim de processar ou punir uma pessoa por motivos de raça, religião, nacionalidade, origem étnica ou opinião política, ou se o cumprimento do pedido for prejudicial à situação dessa pessoa por qualquer destas razões.</w:t>
      </w:r>
    </w:p>
    <w:p w14:paraId="12B4345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15</w:t>
      </w:r>
    </w:p>
    <w:p w14:paraId="2648F89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Direitos humanos</w:t>
      </w:r>
    </w:p>
    <w:p w14:paraId="5875DD3F"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As medidas adotadas pelos Estados Partes em decorrência desta Convenção serão levadas a cabo com pleno respeito ao Estado de Direito, aos direitos humanos e às liberdades fundamentais.</w:t>
      </w:r>
    </w:p>
    <w:p w14:paraId="3CB5A7A8"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Nada do disposto nesta Convenção será interpretado no sentido de desconsiderar outros direitos e obrigações dos Estados e das pessoas, nos termos do direito internacional, em particular a Carta das Nações Unidas, a Carta da Organização dos Estados Americanos, o direito internacional humanitário, o direito internacional dos direitos humanos e o direito internacional dos refugiados.</w:t>
      </w:r>
    </w:p>
    <w:p w14:paraId="1FEDB5D8"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3. A toda pessoa que estiver detida ou com relação à qual se adote quaisquer medidas ou que estiver sendo processada nos termos desta Convenção será garantido um tratamento justo, inclusive o gozo de todos os direitos e garantias em conformidade com a legislação do Estado em cujo território se encontre e com as disposições pertinentes do direito internacional.</w:t>
      </w:r>
    </w:p>
    <w:p w14:paraId="7D65E2D3"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16</w:t>
      </w:r>
    </w:p>
    <w:p w14:paraId="48BBC42B"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Treinamento</w:t>
      </w:r>
    </w:p>
    <w:p w14:paraId="666187DA"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Os Estados Partes promoverão programas de cooperação técnica e treinamento em nível nacional, bilateral, sub-regional e regional e no âmbito da Organização dos Estados Americanos, para fortalecer as instituições nacionais encarregadas do cumprimento das obrigações emanadas desta Convenção.</w:t>
      </w:r>
    </w:p>
    <w:p w14:paraId="46A5950E"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Os Estados Partes também promoverão, quando for o caso, programas de cooperação técnica e treinamento com outras organizações regionais e internacionais que realizem atividades vinculadas com os propósitos desta Convenção.</w:t>
      </w:r>
    </w:p>
    <w:p w14:paraId="59541246"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17</w:t>
      </w:r>
    </w:p>
    <w:p w14:paraId="094DFF9E"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Cooperação por meio da Organização dos Estados Americanos</w:t>
      </w:r>
    </w:p>
    <w:p w14:paraId="1054115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Os Estados Partes propiciarão a mais ampla cooperação no âmbito dos órgãos pertinentes da Organização dos Estados Americanos, inclusive o Comitê Interamericano contra o Terrorismo (CICTE), em matérias relacionadas com o objeto e os fins desta Convenção.</w:t>
      </w:r>
    </w:p>
    <w:p w14:paraId="042AE2C6"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18</w:t>
      </w:r>
    </w:p>
    <w:p w14:paraId="7C4A6C1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Consulta entre as Partes</w:t>
      </w:r>
    </w:p>
    <w:p w14:paraId="4E20B37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Os Estados Partes realizarão reuniões periódicas de consulta, quando as considerarem oportunas, com vistas a facilitar:</w:t>
      </w:r>
    </w:p>
    <w:p w14:paraId="579206FE"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lastRenderedPageBreak/>
        <w:t>a) a plena implementação desta Convenção, incluindo a consideração de assuntos de interesse a ela relativos identificados pelos Estados Partes; e</w:t>
      </w:r>
    </w:p>
    <w:p w14:paraId="1823168B"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b) o intercâmbio de informações e experiências sobre formas e métodos eficazes para prevenir, detectar, investigar e punir o terrorismo.</w:t>
      </w:r>
    </w:p>
    <w:p w14:paraId="152484ED"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O Secretário-Geral convocará uma reunião de consulta dos Estados Partes depois de receber o décimo instrumento de ratificação. Sem prejuízo disso, os Estados Partes poderão realizar as consultas que considerarem apropriadas.</w:t>
      </w:r>
    </w:p>
    <w:p w14:paraId="350C34F1"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3. Os Estados Partes poderão solicitar aos órgãos pertinentes da Organização dos Estados Americanos, inclusive ao CICTE, que facilitem as consultas mencionadas nos parágrafos anteriores e proporcionem outras formas de assistência no tocante à aplicação desta Convenção.</w:t>
      </w:r>
    </w:p>
    <w:p w14:paraId="3057C7E9"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19</w:t>
      </w:r>
    </w:p>
    <w:p w14:paraId="329CFEA0"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Exercício de jurisdição</w:t>
      </w:r>
    </w:p>
    <w:p w14:paraId="4BE116D1"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Nada do disposto nesta Convenção facultará um Estado Parte a exercer jurisdição no território de outro Estado Parte nem a nele exercer funções reservadas exclusivamente às autoridades desse outro Estado Parte por seu direito interno.</w:t>
      </w:r>
    </w:p>
    <w:p w14:paraId="15352FD6"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20</w:t>
      </w:r>
    </w:p>
    <w:p w14:paraId="3478EB67"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Depositário</w:t>
      </w:r>
    </w:p>
    <w:p w14:paraId="1DEB8CE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O instrumento original desta Convenção, cujos textos em espanhol, francês, inglês e português são igualmente autênticos, será depositado na Secretaria-Geral da Organização dos Estados Americanos.</w:t>
      </w:r>
    </w:p>
    <w:p w14:paraId="70898CDA"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21</w:t>
      </w:r>
    </w:p>
    <w:p w14:paraId="67ED689A"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Assinatura e ratificação</w:t>
      </w:r>
    </w:p>
    <w:p w14:paraId="19D2BAE2"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Esta Convenção está aberta à assinatura de todos os Estados membros da Organização dos Estados Americanos.</w:t>
      </w:r>
    </w:p>
    <w:p w14:paraId="445828E6"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Esta Convenção está sujeita a ratificação por parte dos Estados signatários, de acordo com seus respectivos procedimentos constitucionais. Os instrumentos de ratificação serão depositados na Secretaria-Geral da Organização dos Estados Americanos.</w:t>
      </w:r>
    </w:p>
    <w:p w14:paraId="0525CD42"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22</w:t>
      </w:r>
    </w:p>
    <w:p w14:paraId="16401E5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Entrada em vigor</w:t>
      </w:r>
    </w:p>
    <w:p w14:paraId="34D7CBE3"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1. Esta Convenção entrará em vigor no trigésimo dia a contar da data em que tiver sido depositado o sexto instrumento de ratificação da Convenção na Secretaria-Geral da Organização dos Estados Americanos.</w:t>
      </w:r>
    </w:p>
    <w:p w14:paraId="55B5A1B9"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Para cada Estado que ratificar a Convenção após ter sido depositado o sexto instrumento de ratificação, a Convenção entrará em vigor no trigésimo dia a contar da data em que esse Estado tiver depositado o instrumento correspondente.</w:t>
      </w:r>
    </w:p>
    <w:p w14:paraId="340A2361"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Artigo 23</w:t>
      </w:r>
    </w:p>
    <w:p w14:paraId="03FC0CAB" w14:textId="77777777" w:rsidR="007D3B46" w:rsidRPr="007D3B46" w:rsidRDefault="007D3B46" w:rsidP="007D3B46">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Denúncia</w:t>
      </w:r>
    </w:p>
    <w:p w14:paraId="777EBA15"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lastRenderedPageBreak/>
        <w:t>1. Qualquer Estado Parte poderá denunciar esta Convenção mediante notificação escrita dirigida ao Secretário-Geral da Organização dos Estados Americanos. A denúncia surtirá efeito um ano após a data em que a notificação tiver sido recebida pelo Secretário-Geral da Organização.</w:t>
      </w:r>
    </w:p>
    <w:p w14:paraId="53B5C026" w14:textId="77777777" w:rsidR="007D3B46" w:rsidRPr="007D3B46" w:rsidRDefault="007D3B46" w:rsidP="007D3B46">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7D3B46">
        <w:rPr>
          <w:rFonts w:ascii="Book Antiqua" w:eastAsia="Times New Roman" w:hAnsi="Book Antiqua" w:cs="Arial"/>
          <w:color w:val="000000"/>
          <w:kern w:val="0"/>
          <w:sz w:val="19"/>
          <w:szCs w:val="19"/>
          <w:lang w:eastAsia="pt-BR"/>
          <w14:ligatures w14:val="none"/>
        </w:rPr>
        <w:t>2. Essa denúncia não afetará nenhum pedido de informação ou de assistência feito no período de vigência da Convenção para o Estado denunciante.</w:t>
      </w:r>
    </w:p>
    <w:p w14:paraId="1F13416F" w14:textId="77777777" w:rsidR="00BB7FE6" w:rsidRPr="007D3B46" w:rsidRDefault="00BB7FE6" w:rsidP="007D3B46">
      <w:pPr>
        <w:spacing w:before="100" w:beforeAutospacing="1" w:after="100" w:afterAutospacing="1" w:line="240" w:lineRule="auto"/>
        <w:rPr>
          <w:rFonts w:ascii="Book Antiqua" w:hAnsi="Book Antiqua"/>
          <w:sz w:val="19"/>
          <w:szCs w:val="19"/>
        </w:rPr>
      </w:pPr>
    </w:p>
    <w:sectPr w:rsidR="00BB7FE6" w:rsidRPr="007D3B46" w:rsidSect="007D3B46">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F5"/>
    <w:rsid w:val="00056442"/>
    <w:rsid w:val="00095DB1"/>
    <w:rsid w:val="00324A37"/>
    <w:rsid w:val="00740EF7"/>
    <w:rsid w:val="007D3B46"/>
    <w:rsid w:val="00BB7FE6"/>
    <w:rsid w:val="00C16EF5"/>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63F6"/>
  <w15:chartTrackingRefBased/>
  <w15:docId w15:val="{6305E82B-C737-4834-92EF-649ACD22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6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16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16E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16E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16E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16E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6E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6E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6EF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6EF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16EF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16EF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16EF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16EF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16EF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6EF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6EF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6EF5"/>
    <w:rPr>
      <w:rFonts w:eastAsiaTheme="majorEastAsia" w:cstheme="majorBidi"/>
      <w:color w:val="272727" w:themeColor="text1" w:themeTint="D8"/>
    </w:rPr>
  </w:style>
  <w:style w:type="paragraph" w:styleId="Ttulo">
    <w:name w:val="Title"/>
    <w:basedOn w:val="Normal"/>
    <w:next w:val="Normal"/>
    <w:link w:val="TtuloChar"/>
    <w:uiPriority w:val="10"/>
    <w:qFormat/>
    <w:rsid w:val="00C16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6E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6EF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6EF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6EF5"/>
    <w:pPr>
      <w:spacing w:before="160"/>
      <w:jc w:val="center"/>
    </w:pPr>
    <w:rPr>
      <w:i/>
      <w:iCs/>
      <w:color w:val="404040" w:themeColor="text1" w:themeTint="BF"/>
    </w:rPr>
  </w:style>
  <w:style w:type="character" w:customStyle="1" w:styleId="CitaoChar">
    <w:name w:val="Citação Char"/>
    <w:basedOn w:val="Fontepargpadro"/>
    <w:link w:val="Citao"/>
    <w:uiPriority w:val="29"/>
    <w:rsid w:val="00C16EF5"/>
    <w:rPr>
      <w:i/>
      <w:iCs/>
      <w:color w:val="404040" w:themeColor="text1" w:themeTint="BF"/>
    </w:rPr>
  </w:style>
  <w:style w:type="paragraph" w:styleId="PargrafodaLista">
    <w:name w:val="List Paragraph"/>
    <w:basedOn w:val="Normal"/>
    <w:uiPriority w:val="34"/>
    <w:qFormat/>
    <w:rsid w:val="00C16EF5"/>
    <w:pPr>
      <w:ind w:left="720"/>
      <w:contextualSpacing/>
    </w:pPr>
  </w:style>
  <w:style w:type="character" w:styleId="nfaseIntensa">
    <w:name w:val="Intense Emphasis"/>
    <w:basedOn w:val="Fontepargpadro"/>
    <w:uiPriority w:val="21"/>
    <w:qFormat/>
    <w:rsid w:val="00C16EF5"/>
    <w:rPr>
      <w:i/>
      <w:iCs/>
      <w:color w:val="2F5496" w:themeColor="accent1" w:themeShade="BF"/>
    </w:rPr>
  </w:style>
  <w:style w:type="paragraph" w:styleId="CitaoIntensa">
    <w:name w:val="Intense Quote"/>
    <w:basedOn w:val="Normal"/>
    <w:next w:val="Normal"/>
    <w:link w:val="CitaoIntensaChar"/>
    <w:uiPriority w:val="30"/>
    <w:qFormat/>
    <w:rsid w:val="00C16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16EF5"/>
    <w:rPr>
      <w:i/>
      <w:iCs/>
      <w:color w:val="2F5496" w:themeColor="accent1" w:themeShade="BF"/>
    </w:rPr>
  </w:style>
  <w:style w:type="character" w:styleId="RefernciaIntensa">
    <w:name w:val="Intense Reference"/>
    <w:basedOn w:val="Fontepargpadro"/>
    <w:uiPriority w:val="32"/>
    <w:qFormat/>
    <w:rsid w:val="00C16EF5"/>
    <w:rPr>
      <w:b/>
      <w:bCs/>
      <w:smallCaps/>
      <w:color w:val="2F5496" w:themeColor="accent1" w:themeShade="BF"/>
      <w:spacing w:val="5"/>
    </w:rPr>
  </w:style>
  <w:style w:type="table" w:styleId="Tabelacomgrade">
    <w:name w:val="Table Grid"/>
    <w:basedOn w:val="Tabelanormal"/>
    <w:uiPriority w:val="39"/>
    <w:rsid w:val="007D3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16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5.639-2005?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3076</Words>
  <Characters>16612</Characters>
  <Application>Microsoft Office Word</Application>
  <DocSecurity>0</DocSecurity>
  <Lines>138</Lines>
  <Paragraphs>39</Paragraphs>
  <ScaleCrop>false</ScaleCrop>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2025-02-22T17:03:00Z</dcterms:created>
  <dcterms:modified xsi:type="dcterms:W3CDTF">2025-02-22T17:09:00Z</dcterms:modified>
</cp:coreProperties>
</file>