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1B7C4C" w14:textId="29F96056" w:rsidR="00CD5EED" w:rsidRPr="00CD5EED" w:rsidRDefault="00CD5EED" w:rsidP="00CD5EED">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CD5EED">
        <w:rPr>
          <w:rFonts w:ascii="Book Antiqua" w:eastAsia="Times New Roman" w:hAnsi="Book Antiqua" w:cs="Times New Roman"/>
          <w:b/>
          <w:bCs/>
          <w:color w:val="FF0000"/>
          <w:sz w:val="19"/>
          <w:szCs w:val="19"/>
          <w:lang w:eastAsia="pt-BR"/>
        </w:rPr>
        <w:t xml:space="preserve">(Atualização em </w:t>
      </w:r>
      <w:r w:rsidR="00C621F6">
        <w:rPr>
          <w:rFonts w:ascii="Book Antiqua" w:eastAsia="Times New Roman" w:hAnsi="Book Antiqua" w:cs="Times New Roman"/>
          <w:b/>
          <w:bCs/>
          <w:color w:val="FF0000"/>
          <w:sz w:val="19"/>
          <w:szCs w:val="19"/>
          <w:lang w:eastAsia="pt-BR"/>
        </w:rPr>
        <w:t>06/11</w:t>
      </w:r>
      <w:r w:rsidR="006271F2">
        <w:rPr>
          <w:rFonts w:ascii="Book Antiqua" w:eastAsia="Times New Roman" w:hAnsi="Book Antiqua" w:cs="Times New Roman"/>
          <w:b/>
          <w:bCs/>
          <w:color w:val="FF0000"/>
          <w:sz w:val="19"/>
          <w:szCs w:val="19"/>
          <w:lang w:eastAsia="pt-BR"/>
        </w:rPr>
        <w:t>/2024</w:t>
      </w:r>
      <w:r w:rsidRPr="00CD5EED">
        <w:rPr>
          <w:rFonts w:ascii="Book Antiqua" w:eastAsia="Times New Roman" w:hAnsi="Book Antiqua" w:cs="Times New Roman"/>
          <w:b/>
          <w:bCs/>
          <w:color w:val="FF0000"/>
          <w:sz w:val="19"/>
          <w:szCs w:val="19"/>
          <w:lang w:eastAsia="pt-BR"/>
        </w:rPr>
        <w:t>: questões de concurso)</w:t>
      </w:r>
    </w:p>
    <w:p w14:paraId="1390A627" w14:textId="7835E191" w:rsidR="00CD5EED" w:rsidRPr="00CD5EED" w:rsidRDefault="00CD5EED" w:rsidP="00CD5EE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CD5EED">
          <w:rPr>
            <w:rFonts w:ascii="Book Antiqua" w:eastAsia="Times New Roman" w:hAnsi="Book Antiqua" w:cs="Arial"/>
            <w:b/>
            <w:bCs/>
            <w:color w:val="000080"/>
            <w:sz w:val="19"/>
            <w:szCs w:val="19"/>
            <w:u w:val="single"/>
            <w:lang w:eastAsia="pt-BR"/>
          </w:rPr>
          <w:t>DECRETO Nº 3.956, DE 8 DE OUTUBRO DE 2001.</w:t>
        </w:r>
      </w:hyperlink>
    </w:p>
    <w:tbl>
      <w:tblPr>
        <w:tblW w:w="5000" w:type="pct"/>
        <w:tblCellSpacing w:w="0" w:type="dxa"/>
        <w:tblCellMar>
          <w:left w:w="0" w:type="dxa"/>
          <w:right w:w="0" w:type="dxa"/>
        </w:tblCellMar>
        <w:tblLook w:val="04A0" w:firstRow="1" w:lastRow="0" w:firstColumn="1" w:lastColumn="0" w:noHBand="0" w:noVBand="1"/>
      </w:tblPr>
      <w:tblGrid>
        <w:gridCol w:w="1983"/>
        <w:gridCol w:w="6521"/>
      </w:tblGrid>
      <w:tr w:rsidR="00CD5EED" w:rsidRPr="00CD5EED" w14:paraId="33780AD7" w14:textId="77777777" w:rsidTr="00CD5EED">
        <w:trPr>
          <w:tblCellSpacing w:w="0" w:type="dxa"/>
        </w:trPr>
        <w:tc>
          <w:tcPr>
            <w:tcW w:w="1166" w:type="pct"/>
            <w:vAlign w:val="center"/>
            <w:hideMark/>
          </w:tcPr>
          <w:p w14:paraId="2F42EB2E"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8"/>
                <w:szCs w:val="18"/>
                <w:lang w:eastAsia="pt-BR"/>
              </w:rPr>
            </w:pPr>
          </w:p>
        </w:tc>
        <w:tc>
          <w:tcPr>
            <w:tcW w:w="3834" w:type="pct"/>
            <w:vAlign w:val="center"/>
            <w:hideMark/>
          </w:tcPr>
          <w:p w14:paraId="3545025A"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sz w:val="18"/>
                <w:szCs w:val="18"/>
                <w:lang w:eastAsia="pt-BR"/>
              </w:rPr>
            </w:pPr>
            <w:r w:rsidRPr="00CD5EED">
              <w:rPr>
                <w:rFonts w:ascii="Book Antiqua" w:eastAsia="Times New Roman" w:hAnsi="Book Antiqua" w:cs="Arial"/>
                <w:color w:val="800000"/>
                <w:sz w:val="18"/>
                <w:szCs w:val="18"/>
                <w:lang w:eastAsia="pt-BR"/>
              </w:rPr>
              <w:t>Promulga a Convenção Interamericana para a Eliminação de Todas as Formas de Discriminação contra as Pessoas Portadoras de Deficiência.</w:t>
            </w:r>
          </w:p>
        </w:tc>
      </w:tr>
    </w:tbl>
    <w:p w14:paraId="1F44B346"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b/>
          <w:bCs/>
          <w:color w:val="000000"/>
          <w:sz w:val="19"/>
          <w:szCs w:val="19"/>
          <w:lang w:eastAsia="pt-BR"/>
        </w:rPr>
        <w:t>        O PRESIDENTE DA REPÚBLICA</w:t>
      </w:r>
      <w:r w:rsidRPr="00CD5EED">
        <w:rPr>
          <w:rFonts w:ascii="Book Antiqua" w:eastAsia="Times New Roman" w:hAnsi="Book Antiqua" w:cs="Arial"/>
          <w:color w:val="000000"/>
          <w:sz w:val="19"/>
          <w:szCs w:val="19"/>
          <w:lang w:eastAsia="pt-BR"/>
        </w:rPr>
        <w:t>, no uso da atribuição que lhe confere o art. 84, inciso VIII, da Constituição,</w:t>
      </w:r>
    </w:p>
    <w:p w14:paraId="299E3DC0"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Considerando que o Congresso Nacional aprovou o texto da Convenção Interamericana para a Eliminação de Todas as Formas de Discriminação contra as Pessoas Portadoras de Deficiência por meio do Decreto Legislativo n</w:t>
      </w:r>
      <w:r w:rsidRPr="00CD5EED">
        <w:rPr>
          <w:rFonts w:ascii="Book Antiqua" w:eastAsia="Times New Roman" w:hAnsi="Book Antiqua" w:cs="Arial"/>
          <w:color w:val="000000"/>
          <w:sz w:val="19"/>
          <w:szCs w:val="19"/>
          <w:u w:val="single"/>
          <w:vertAlign w:val="superscript"/>
          <w:lang w:eastAsia="pt-BR"/>
        </w:rPr>
        <w:t>o</w:t>
      </w:r>
      <w:r w:rsidRPr="00CD5EED">
        <w:rPr>
          <w:rFonts w:ascii="Book Antiqua" w:eastAsia="Times New Roman" w:hAnsi="Book Antiqua" w:cs="Arial"/>
          <w:color w:val="000000"/>
          <w:sz w:val="19"/>
          <w:szCs w:val="19"/>
          <w:lang w:eastAsia="pt-BR"/>
        </w:rPr>
        <w:t> 198, de 13 de junho de 200l;</w:t>
      </w:r>
    </w:p>
    <w:p w14:paraId="36B3C6DE"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Considerando que a Convenção entrou em vigor, para o Brasil, em 14 de setembro de 2001, nos termos do parágrafo 3, de seu artigo VIII;</w:t>
      </w:r>
    </w:p>
    <w:p w14:paraId="29E0FD81"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b/>
          <w:bCs/>
          <w:color w:val="000000"/>
          <w:sz w:val="19"/>
          <w:szCs w:val="19"/>
          <w:lang w:eastAsia="pt-BR"/>
        </w:rPr>
        <w:t>        DECRETA:</w:t>
      </w:r>
    </w:p>
    <w:p w14:paraId="376A02F3"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Art. 1</w:t>
      </w:r>
      <w:proofErr w:type="gramStart"/>
      <w:r w:rsidRPr="00CD5EED">
        <w:rPr>
          <w:rFonts w:ascii="Book Antiqua" w:eastAsia="Times New Roman" w:hAnsi="Book Antiqua" w:cs="Arial"/>
          <w:color w:val="000000"/>
          <w:sz w:val="19"/>
          <w:szCs w:val="19"/>
          <w:u w:val="single"/>
          <w:vertAlign w:val="superscript"/>
          <w:lang w:eastAsia="pt-BR"/>
        </w:rPr>
        <w:t>o</w:t>
      </w:r>
      <w:r w:rsidRPr="00CD5EED">
        <w:rPr>
          <w:rFonts w:ascii="Book Antiqua" w:eastAsia="Times New Roman" w:hAnsi="Book Antiqua" w:cs="Arial"/>
          <w:color w:val="000000"/>
          <w:sz w:val="19"/>
          <w:szCs w:val="19"/>
          <w:lang w:eastAsia="pt-BR"/>
        </w:rPr>
        <w:t>  A</w:t>
      </w:r>
      <w:proofErr w:type="gramEnd"/>
      <w:r w:rsidRPr="00CD5EED">
        <w:rPr>
          <w:rFonts w:ascii="Book Antiqua" w:eastAsia="Times New Roman" w:hAnsi="Book Antiqua" w:cs="Arial"/>
          <w:color w:val="000000"/>
          <w:sz w:val="19"/>
          <w:szCs w:val="19"/>
          <w:lang w:eastAsia="pt-BR"/>
        </w:rPr>
        <w:t xml:space="preserve"> Convenção Interamericana para a Eliminação de Todas as Formas de Discriminação contra as Pessoas Portadoras de Deficiência, apensa por cópia ao presente Decreto, será executada e cumprida tão inteiramente como nela se contém.</w:t>
      </w:r>
    </w:p>
    <w:p w14:paraId="78FFE9E2"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Art. 2</w:t>
      </w:r>
      <w:proofErr w:type="gramStart"/>
      <w:r w:rsidRPr="00CD5EED">
        <w:rPr>
          <w:rFonts w:ascii="Book Antiqua" w:eastAsia="Times New Roman" w:hAnsi="Book Antiqua" w:cs="Arial"/>
          <w:color w:val="000000"/>
          <w:sz w:val="19"/>
          <w:szCs w:val="19"/>
          <w:u w:val="single"/>
          <w:vertAlign w:val="superscript"/>
          <w:lang w:eastAsia="pt-BR"/>
        </w:rPr>
        <w:t>o</w:t>
      </w:r>
      <w:r w:rsidRPr="00CD5EED">
        <w:rPr>
          <w:rFonts w:ascii="Book Antiqua" w:eastAsia="Times New Roman" w:hAnsi="Book Antiqua" w:cs="Arial"/>
          <w:color w:val="000000"/>
          <w:sz w:val="19"/>
          <w:szCs w:val="19"/>
          <w:lang w:eastAsia="pt-BR"/>
        </w:rPr>
        <w:t>  São</w:t>
      </w:r>
      <w:proofErr w:type="gramEnd"/>
      <w:r w:rsidRPr="00CD5EED">
        <w:rPr>
          <w:rFonts w:ascii="Book Antiqua" w:eastAsia="Times New Roman" w:hAnsi="Book Antiqua" w:cs="Arial"/>
          <w:color w:val="000000"/>
          <w:sz w:val="19"/>
          <w:szCs w:val="19"/>
          <w:lang w:eastAsia="pt-BR"/>
        </w:rPr>
        <w:t xml:space="preserve"> sujeitos à aprovação do Congresso Nacional quaisquer atos que possam resultar em revisão da referida Convenção, assim como quaisquer ajustes complementares que, nos termos do art. 49, inciso I, da Constituição, acarretem encargos ou compromissos gravosos ao patrimônio nacional.</w:t>
      </w:r>
    </w:p>
    <w:p w14:paraId="0CBC797E"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Art. 3</w:t>
      </w:r>
      <w:proofErr w:type="gramStart"/>
      <w:r w:rsidRPr="00CD5EED">
        <w:rPr>
          <w:rFonts w:ascii="Book Antiqua" w:eastAsia="Times New Roman" w:hAnsi="Book Antiqua" w:cs="Arial"/>
          <w:color w:val="000000"/>
          <w:sz w:val="19"/>
          <w:szCs w:val="19"/>
          <w:u w:val="single"/>
          <w:vertAlign w:val="superscript"/>
          <w:lang w:eastAsia="pt-BR"/>
        </w:rPr>
        <w:t>o</w:t>
      </w:r>
      <w:r w:rsidRPr="00CD5EED">
        <w:rPr>
          <w:rFonts w:ascii="Book Antiqua" w:eastAsia="Times New Roman" w:hAnsi="Book Antiqua" w:cs="Arial"/>
          <w:color w:val="000000"/>
          <w:sz w:val="19"/>
          <w:szCs w:val="19"/>
          <w:lang w:eastAsia="pt-BR"/>
        </w:rPr>
        <w:t>  Este</w:t>
      </w:r>
      <w:proofErr w:type="gramEnd"/>
      <w:r w:rsidRPr="00CD5EED">
        <w:rPr>
          <w:rFonts w:ascii="Book Antiqua" w:eastAsia="Times New Roman" w:hAnsi="Book Antiqua" w:cs="Arial"/>
          <w:color w:val="000000"/>
          <w:sz w:val="19"/>
          <w:szCs w:val="19"/>
          <w:lang w:eastAsia="pt-BR"/>
        </w:rPr>
        <w:t xml:space="preserve"> Decreto entra em vigor na data de sua publicação.</w:t>
      </w:r>
    </w:p>
    <w:p w14:paraId="358D89F3"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Brasília, 8 de outubro de 2001; 180</w:t>
      </w:r>
      <w:r w:rsidRPr="00CD5EED">
        <w:rPr>
          <w:rFonts w:ascii="Book Antiqua" w:eastAsia="Times New Roman" w:hAnsi="Book Antiqua" w:cs="Arial"/>
          <w:color w:val="000000"/>
          <w:sz w:val="19"/>
          <w:szCs w:val="19"/>
          <w:u w:val="single"/>
          <w:vertAlign w:val="superscript"/>
          <w:lang w:eastAsia="pt-BR"/>
        </w:rPr>
        <w:t>o</w:t>
      </w:r>
      <w:r w:rsidRPr="00CD5EED">
        <w:rPr>
          <w:rFonts w:ascii="Book Antiqua" w:eastAsia="Times New Roman" w:hAnsi="Book Antiqua" w:cs="Arial"/>
          <w:color w:val="000000"/>
          <w:sz w:val="19"/>
          <w:szCs w:val="19"/>
          <w:lang w:eastAsia="pt-BR"/>
        </w:rPr>
        <w:t> da Independência e 113</w:t>
      </w:r>
      <w:r w:rsidRPr="00CD5EED">
        <w:rPr>
          <w:rFonts w:ascii="Book Antiqua" w:eastAsia="Times New Roman" w:hAnsi="Book Antiqua" w:cs="Arial"/>
          <w:color w:val="000000"/>
          <w:sz w:val="19"/>
          <w:szCs w:val="19"/>
          <w:u w:val="single"/>
          <w:vertAlign w:val="superscript"/>
          <w:lang w:eastAsia="pt-BR"/>
        </w:rPr>
        <w:t>o</w:t>
      </w:r>
      <w:r w:rsidRPr="00CD5EED">
        <w:rPr>
          <w:rFonts w:ascii="Book Antiqua" w:eastAsia="Times New Roman" w:hAnsi="Book Antiqua" w:cs="Arial"/>
          <w:color w:val="000000"/>
          <w:sz w:val="19"/>
          <w:szCs w:val="19"/>
          <w:lang w:eastAsia="pt-BR"/>
        </w:rPr>
        <w:t> da República.</w:t>
      </w:r>
    </w:p>
    <w:p w14:paraId="11F20B71" w14:textId="77777777" w:rsidR="00CD5EED" w:rsidRPr="00CD5EED" w:rsidRDefault="00CD5EED" w:rsidP="00CD5EED">
      <w:pPr>
        <w:spacing w:before="100" w:beforeAutospacing="1" w:after="100" w:afterAutospacing="1" w:line="240" w:lineRule="auto"/>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FERNANDO HENRIQUE CARDOSO</w:t>
      </w:r>
      <w:r w:rsidRPr="00CD5EED">
        <w:rPr>
          <w:rFonts w:ascii="Book Antiqua" w:eastAsia="Times New Roman" w:hAnsi="Book Antiqua" w:cs="Arial"/>
          <w:color w:val="000000"/>
          <w:sz w:val="19"/>
          <w:szCs w:val="19"/>
          <w:lang w:eastAsia="pt-BR"/>
        </w:rPr>
        <w:br/>
      </w:r>
      <w:r w:rsidRPr="00CD5EED">
        <w:rPr>
          <w:rFonts w:ascii="Book Antiqua" w:eastAsia="Times New Roman" w:hAnsi="Book Antiqua" w:cs="Arial"/>
          <w:i/>
          <w:iCs/>
          <w:color w:val="000000"/>
          <w:sz w:val="19"/>
          <w:szCs w:val="19"/>
          <w:lang w:eastAsia="pt-BR"/>
        </w:rPr>
        <w:t>Celso Lafer</w:t>
      </w:r>
    </w:p>
    <w:p w14:paraId="0DADB191" w14:textId="77777777" w:rsidR="00CD5EED" w:rsidRPr="00CD5EED" w:rsidRDefault="00CD5EED" w:rsidP="00CD5EED">
      <w:pPr>
        <w:spacing w:before="100" w:beforeAutospacing="1" w:after="100" w:afterAutospacing="1" w:line="240" w:lineRule="auto"/>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FF0000"/>
          <w:sz w:val="19"/>
          <w:szCs w:val="19"/>
          <w:lang w:eastAsia="pt-BR"/>
        </w:rPr>
        <w:t>Este texto não substitui o publicado no D.O.U. 9.10.2001</w:t>
      </w:r>
    </w:p>
    <w:p w14:paraId="5B81AE0A" w14:textId="77777777" w:rsidR="00CD5EED" w:rsidRPr="00CD5EED" w:rsidRDefault="00CD5EED" w:rsidP="00CD5EE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Convenção Interamericana para a Eliminação de Todas as Formas</w:t>
      </w:r>
      <w:r w:rsidRPr="00CD5EED">
        <w:rPr>
          <w:rFonts w:ascii="Book Antiqua" w:eastAsia="Times New Roman" w:hAnsi="Book Antiqua" w:cs="Arial"/>
          <w:color w:val="000000"/>
          <w:sz w:val="19"/>
          <w:szCs w:val="19"/>
          <w:lang w:eastAsia="pt-BR"/>
        </w:rPr>
        <w:br/>
        <w:t>de Discriminação contra as Pessoas Portadoras de Deficiência</w:t>
      </w:r>
    </w:p>
    <w:p w14:paraId="18FE8F79"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Os Estados Partes nesta Convenção,</w:t>
      </w:r>
    </w:p>
    <w:p w14:paraId="78D2E6A0"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Reafirmando que as pessoas portadoras de deficiência têm os mesmos direitos humanos e liberdades fundamentais que outras pessoas e que estes direitos, inclusive o direito de não ser submetidas a discriminação com base na deficiência, emanam da dignidade e da igualdade que são inerentes a todo ser humano;</w:t>
      </w:r>
    </w:p>
    <w:p w14:paraId="4DE687E1"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Considerando que a Carta da Organização dos Estados Americanos, em seu artigo 3, j, estabelece como princípio que "a justiça e a segurança sociais são bases de uma paz duradoura";</w:t>
      </w:r>
    </w:p>
    <w:p w14:paraId="1FF7910A"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Preocupados com a discriminação de que são objeto as pessoas em razão de suas deficiências;</w:t>
      </w:r>
    </w:p>
    <w:p w14:paraId="7783FF5A"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xml:space="preserve">        Tendo presente o Convênio sobre a Readaptação Profissional e o Emprego de Pessoas Inválidas da Organização Internacional do Trabalho (Convênio 159); a Declaração dos Direitos do Retardado Mental (AG.26/2856, de 20 de dezembro de 1971); a Declaração das Nações Unidas dos Direitos das Pessoas Portadoras de Deficiência (Resolução nº 3447, de 9 de dezembro de 1975); o Programa de Ação Mundial para as Pessoas Portadoras de Deficiência, aprovado pela </w:t>
      </w:r>
      <w:proofErr w:type="spellStart"/>
      <w:r w:rsidRPr="00CD5EED">
        <w:rPr>
          <w:rFonts w:ascii="Book Antiqua" w:eastAsia="Times New Roman" w:hAnsi="Book Antiqua" w:cs="Arial"/>
          <w:color w:val="000000"/>
          <w:sz w:val="19"/>
          <w:szCs w:val="19"/>
          <w:lang w:eastAsia="pt-BR"/>
        </w:rPr>
        <w:t>Assembléia</w:t>
      </w:r>
      <w:proofErr w:type="spellEnd"/>
      <w:r w:rsidRPr="00CD5EED">
        <w:rPr>
          <w:rFonts w:ascii="Book Antiqua" w:eastAsia="Times New Roman" w:hAnsi="Book Antiqua" w:cs="Arial"/>
          <w:color w:val="000000"/>
          <w:sz w:val="19"/>
          <w:szCs w:val="19"/>
          <w:lang w:eastAsia="pt-BR"/>
        </w:rPr>
        <w:t xml:space="preserve"> Geral das Nações Unidas (Resolução 37/52, de 3 de dezembro de 1982); o Protocolo Adicional à Convenção Americana sobre Direitos Humanos em Matéria de Direitos Econômicos, Sociais e Culturais, "Protocolo de San Salvador" (1988); os Princípios para a Proteção dos Doentes Mentais e para a Melhoria do Atendimento </w:t>
      </w:r>
      <w:r w:rsidRPr="00CD5EED">
        <w:rPr>
          <w:rFonts w:ascii="Book Antiqua" w:eastAsia="Times New Roman" w:hAnsi="Book Antiqua" w:cs="Arial"/>
          <w:color w:val="000000"/>
          <w:sz w:val="19"/>
          <w:szCs w:val="19"/>
          <w:lang w:eastAsia="pt-BR"/>
        </w:rPr>
        <w:lastRenderedPageBreak/>
        <w:t>de Saúde Mental (AG.46/119, de 17 de dezembro de 1991); a Declaração de Caracas da Organização Pan-Americana da Saúde; a resolução sobre a situação das pessoas portadoras de deficiência no Continente Americano [AG/RES.1249 (XXIII-O/93)]; as Normas Uniformes sobre Igualdade de Oportunidades para as Pessoas Portadoras de Deficiência (AG.48/96, de 20 de dezembro de 1993); a Declaração de Manágua, de 20 de dezembro de 1993; a Declaração de Viena e Programa de Ação aprovados pela Conferência Mundial sobre Direitos Humanos, das Nações Unidas (157/93); a resolução sobre a situação das pessoas portadoras de deficiência no Hemisfério Americano [AG/RES. 1356 (XXV-O/95)] e o Compromisso do Panamá com as Pessoas Portadoras de Deficiência no Continente Americano [AG/RES. 1369 (XXVI-O/96)]; e</w:t>
      </w:r>
    </w:p>
    <w:p w14:paraId="1DE80DEB"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Comprometidos a eliminar a discriminação, em todas suas formas e manifestações, contra as pessoas portadoras de deficiência,</w:t>
      </w:r>
    </w:p>
    <w:p w14:paraId="6A6AAB56"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Convieram no seguinte:</w:t>
      </w:r>
    </w:p>
    <w:p w14:paraId="193C0093" w14:textId="77777777" w:rsidR="00CD5EED" w:rsidRPr="00CD5EED" w:rsidRDefault="00CD5EED" w:rsidP="00CD5EED">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D5EED">
        <w:rPr>
          <w:rFonts w:ascii="Book Antiqua" w:eastAsia="Times New Roman" w:hAnsi="Book Antiqua" w:cs="Arial"/>
          <w:b/>
          <w:bCs/>
          <w:color w:val="000000"/>
          <w:sz w:val="19"/>
          <w:szCs w:val="19"/>
          <w:highlight w:val="magenta"/>
          <w:lang w:eastAsia="pt-BR"/>
        </w:rPr>
        <w:t>Artigo I</w:t>
      </w:r>
    </w:p>
    <w:p w14:paraId="2DEEC452"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Para os efeitos desta Convenção, entende-se por:</w:t>
      </w:r>
    </w:p>
    <w:p w14:paraId="3BEE4B1E" w14:textId="77777777" w:rsidR="00CD5EED" w:rsidRPr="00BD5F28" w:rsidRDefault="00CD5EED" w:rsidP="00CD5EED">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CD5EED">
        <w:rPr>
          <w:rFonts w:ascii="Book Antiqua" w:eastAsia="Times New Roman" w:hAnsi="Book Antiqua" w:cs="Arial"/>
          <w:color w:val="000000"/>
          <w:sz w:val="19"/>
          <w:szCs w:val="19"/>
          <w:lang w:eastAsia="pt-BR"/>
        </w:rPr>
        <w:t xml:space="preserve">        </w:t>
      </w:r>
      <w:r w:rsidRPr="00BD5F28">
        <w:rPr>
          <w:rFonts w:ascii="Book Antiqua" w:eastAsia="Times New Roman" w:hAnsi="Book Antiqua" w:cs="Arial"/>
          <w:b/>
          <w:bCs/>
          <w:color w:val="000000"/>
          <w:sz w:val="19"/>
          <w:szCs w:val="19"/>
          <w:highlight w:val="magenta"/>
          <w:lang w:eastAsia="pt-BR"/>
        </w:rPr>
        <w:t>1</w:t>
      </w:r>
      <w:r w:rsidRPr="00CD5EED">
        <w:rPr>
          <w:rFonts w:ascii="Book Antiqua" w:eastAsia="Times New Roman" w:hAnsi="Book Antiqua" w:cs="Arial"/>
          <w:color w:val="000000"/>
          <w:sz w:val="19"/>
          <w:szCs w:val="19"/>
          <w:lang w:eastAsia="pt-BR"/>
        </w:rPr>
        <w:t xml:space="preserve">. </w:t>
      </w:r>
      <w:r w:rsidRPr="00BD5F28">
        <w:rPr>
          <w:rFonts w:ascii="Book Antiqua" w:eastAsia="Times New Roman" w:hAnsi="Book Antiqua" w:cs="Arial"/>
          <w:b/>
          <w:bCs/>
          <w:color w:val="000000"/>
          <w:sz w:val="19"/>
          <w:szCs w:val="19"/>
          <w:lang w:eastAsia="pt-BR"/>
        </w:rPr>
        <w:t>Deficiência</w:t>
      </w:r>
    </w:p>
    <w:p w14:paraId="3FC482C2" w14:textId="28BDC81D" w:rsidR="00CD5EED" w:rsidRDefault="00CD5EED" w:rsidP="00CD5EED">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D5F28">
        <w:rPr>
          <w:rFonts w:ascii="Book Antiqua" w:eastAsia="Times New Roman" w:hAnsi="Book Antiqua" w:cs="Arial"/>
          <w:b/>
          <w:bCs/>
          <w:color w:val="000000"/>
          <w:sz w:val="19"/>
          <w:szCs w:val="19"/>
          <w:lang w:eastAsia="pt-BR"/>
        </w:rPr>
        <w:t>        O termo "</w:t>
      </w:r>
      <w:r w:rsidRPr="00BD5F28">
        <w:rPr>
          <w:rFonts w:ascii="Book Antiqua" w:eastAsia="Times New Roman" w:hAnsi="Book Antiqua" w:cs="Arial"/>
          <w:b/>
          <w:bCs/>
          <w:caps/>
          <w:color w:val="000000"/>
          <w:sz w:val="19"/>
          <w:szCs w:val="19"/>
          <w:shd w:val="clear" w:color="auto" w:fill="F7CAAC" w:themeFill="accent2" w:themeFillTint="66"/>
          <w:lang w:eastAsia="pt-BR"/>
        </w:rPr>
        <w:t>deficiência</w:t>
      </w:r>
      <w:r w:rsidRPr="00BD5F28">
        <w:rPr>
          <w:rFonts w:ascii="Book Antiqua" w:eastAsia="Times New Roman" w:hAnsi="Book Antiqua" w:cs="Arial"/>
          <w:b/>
          <w:bCs/>
          <w:color w:val="000000"/>
          <w:sz w:val="19"/>
          <w:szCs w:val="19"/>
          <w:lang w:eastAsia="pt-BR"/>
        </w:rPr>
        <w:t>" significa uma restrição física, mental ou sensorial, de natureza permanente ou transitória, que limita a capacidade de exercer uma ou mais atividades essenciais da vida diária, causada ou agravada pelo ambiente econômico e social</w:t>
      </w:r>
      <w:r w:rsidRPr="00CD5EED">
        <w:rPr>
          <w:rFonts w:ascii="Book Antiqua" w:eastAsia="Times New Roman" w:hAnsi="Book Antiqua" w:cs="Arial"/>
          <w:color w:val="000000"/>
          <w:sz w:val="19"/>
          <w:szCs w:val="19"/>
          <w:lang w:eastAsia="pt-BR"/>
        </w:rPr>
        <w:t>.</w:t>
      </w:r>
      <w:r w:rsidR="006271F2">
        <w:rPr>
          <w:rFonts w:ascii="Book Antiqua" w:eastAsia="Times New Roman" w:hAnsi="Book Antiqua" w:cs="Arial"/>
          <w:color w:val="000000"/>
          <w:sz w:val="19"/>
          <w:szCs w:val="19"/>
          <w:lang w:eastAsia="pt-BR"/>
        </w:rPr>
        <w:t xml:space="preserve"> </w:t>
      </w:r>
      <w:r w:rsidR="006271F2" w:rsidRPr="008836F6">
        <w:rPr>
          <w:rFonts w:ascii="Book Antiqua" w:eastAsia="Times New Roman" w:hAnsi="Book Antiqua" w:cs="Times New Roman"/>
          <w:b/>
          <w:bCs/>
          <w:color w:val="FF0000"/>
          <w:sz w:val="16"/>
          <w:szCs w:val="16"/>
          <w:u w:val="single"/>
          <w:lang w:eastAsia="pt-BR"/>
        </w:rPr>
        <w:t>(MPT-2009)</w:t>
      </w:r>
      <w:r w:rsidR="00E12F9A">
        <w:rPr>
          <w:rFonts w:ascii="Book Antiqua" w:eastAsia="Times New Roman" w:hAnsi="Book Antiqua" w:cs="Arial"/>
          <w:color w:val="000000"/>
          <w:sz w:val="19"/>
          <w:szCs w:val="19"/>
          <w:lang w:eastAsia="pt-BR"/>
        </w:rPr>
        <w:t xml:space="preserve"> </w:t>
      </w:r>
      <w:r w:rsidR="00E12F9A">
        <w:rPr>
          <w:rFonts w:ascii="Book Antiqua" w:eastAsia="Times New Roman" w:hAnsi="Book Antiqua" w:cs="Arial"/>
          <w:b/>
          <w:bCs/>
          <w:color w:val="FF0000"/>
          <w:sz w:val="16"/>
          <w:szCs w:val="16"/>
          <w:u w:val="single"/>
          <w:lang w:eastAsia="pt-BR"/>
        </w:rPr>
        <w:t>(DPEPR-2017)</w:t>
      </w:r>
    </w:p>
    <w:tbl>
      <w:tblPr>
        <w:tblStyle w:val="Tabelacomgrade"/>
        <w:tblW w:w="0" w:type="auto"/>
        <w:tblLook w:val="04A0" w:firstRow="1" w:lastRow="0" w:firstColumn="1" w:lastColumn="0" w:noHBand="0" w:noVBand="1"/>
      </w:tblPr>
      <w:tblGrid>
        <w:gridCol w:w="8494"/>
      </w:tblGrid>
      <w:tr w:rsidR="00BD5F28" w14:paraId="0D71694E" w14:textId="77777777" w:rsidTr="00BD5F28">
        <w:tc>
          <w:tcPr>
            <w:tcW w:w="8494" w:type="dxa"/>
            <w:shd w:val="clear" w:color="auto" w:fill="CCFFFF"/>
          </w:tcPr>
          <w:p w14:paraId="1A1E09FA" w14:textId="49D720EC" w:rsidR="00BD5F28" w:rsidRPr="00BD5F28" w:rsidRDefault="00BD5F28" w:rsidP="00CD5EE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BD5F28">
              <w:rPr>
                <w:rFonts w:ascii="Book Antiqua" w:eastAsia="Times New Roman" w:hAnsi="Book Antiqua" w:cs="Times New Roman"/>
                <w:b/>
                <w:bCs/>
                <w:color w:val="000000"/>
                <w:sz w:val="19"/>
                <w:szCs w:val="19"/>
                <w:highlight w:val="yellow"/>
                <w:lang w:eastAsia="pt-BR"/>
              </w:rPr>
              <w:t>DPEPR-2017-FCC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76D3F">
              <w:rPr>
                <w:rFonts w:ascii="Book Antiqua" w:hAnsi="Book Antiqua"/>
                <w:sz w:val="19"/>
                <w:szCs w:val="19"/>
              </w:rPr>
              <w:t xml:space="preserve">Acerca dos instrumentos nacionais e internacionais de promoção e proteção dos direitos das pessoas com deficiência, é </w:t>
            </w:r>
            <w:r>
              <w:rPr>
                <w:rFonts w:ascii="Book Antiqua" w:hAnsi="Book Antiqua"/>
                <w:sz w:val="19"/>
                <w:szCs w:val="19"/>
              </w:rPr>
              <w:t>correto</w:t>
            </w:r>
            <w:r w:rsidRPr="00F76D3F">
              <w:rPr>
                <w:rFonts w:ascii="Book Antiqua" w:hAnsi="Book Antiqua"/>
                <w:sz w:val="19"/>
                <w:szCs w:val="19"/>
              </w:rPr>
              <w:t xml:space="preserve"> afirmar:</w:t>
            </w:r>
            <w:r>
              <w:rPr>
                <w:rFonts w:ascii="Book Antiqua" w:hAnsi="Book Antiqua"/>
                <w:sz w:val="19"/>
                <w:szCs w:val="19"/>
              </w:rPr>
              <w:t xml:space="preserve"> </w:t>
            </w:r>
            <w:r w:rsidRPr="00BD5F28">
              <w:rPr>
                <w:rFonts w:ascii="Book Antiqua" w:hAnsi="Book Antiqua"/>
                <w:sz w:val="19"/>
                <w:szCs w:val="19"/>
              </w:rPr>
              <w:t>A Convenção Interamericana sobre a eliminação de todas as formas de discriminação contra as pessoas com deficiência define a deficiência, compreendendo como tal toda restrição física, mental ou sensorial, permanente ou temporária, que limita o exercício de direitos; sendo inovador o conceito ao afirmar que a deficiência pode ser causada ou agravada pelo ambiente econômico e social.</w:t>
            </w:r>
            <w:r>
              <w:rPr>
                <w:rFonts w:ascii="Book Antiqua" w:hAnsi="Book Antiqua"/>
                <w:sz w:val="19"/>
                <w:szCs w:val="19"/>
              </w:rPr>
              <w:t xml:space="preserve"> </w:t>
            </w:r>
            <w:r>
              <w:rPr>
                <w:rFonts w:ascii="Book Antiqua" w:hAnsi="Book Antiqua"/>
                <w:b/>
                <w:bCs/>
                <w:sz w:val="19"/>
                <w:szCs w:val="19"/>
              </w:rPr>
              <w:t xml:space="preserve">BL: art. 1º, item 1, </w:t>
            </w:r>
            <w:proofErr w:type="spellStart"/>
            <w:r>
              <w:rPr>
                <w:rFonts w:ascii="Book Antiqua" w:hAnsi="Book Antiqua"/>
                <w:b/>
                <w:bCs/>
                <w:sz w:val="19"/>
                <w:szCs w:val="19"/>
              </w:rPr>
              <w:t>Conv</w:t>
            </w:r>
            <w:proofErr w:type="spellEnd"/>
            <w:r>
              <w:rPr>
                <w:rFonts w:ascii="Book Antiqua" w:hAnsi="Book Antiqua"/>
                <w:b/>
                <w:bCs/>
                <w:sz w:val="19"/>
                <w:szCs w:val="19"/>
              </w:rPr>
              <w:t>.</w:t>
            </w:r>
          </w:p>
        </w:tc>
      </w:tr>
    </w:tbl>
    <w:p w14:paraId="70D9238A" w14:textId="77777777" w:rsidR="00CD5EED" w:rsidRPr="00E12F9A" w:rsidRDefault="00CD5EED" w:rsidP="00CD5EED">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CD5EED">
        <w:rPr>
          <w:rFonts w:ascii="Book Antiqua" w:eastAsia="Times New Roman" w:hAnsi="Book Antiqua" w:cs="Arial"/>
          <w:color w:val="000000"/>
          <w:sz w:val="19"/>
          <w:szCs w:val="19"/>
          <w:lang w:eastAsia="pt-BR"/>
        </w:rPr>
        <w:t xml:space="preserve">        </w:t>
      </w:r>
      <w:r w:rsidRPr="00CD5EED">
        <w:rPr>
          <w:rFonts w:ascii="Book Antiqua" w:eastAsia="Times New Roman" w:hAnsi="Book Antiqua" w:cs="Arial"/>
          <w:b/>
          <w:bCs/>
          <w:color w:val="000000"/>
          <w:sz w:val="19"/>
          <w:szCs w:val="19"/>
          <w:highlight w:val="magenta"/>
          <w:lang w:eastAsia="pt-BR"/>
        </w:rPr>
        <w:t>2</w:t>
      </w:r>
      <w:r w:rsidRPr="00CD5EED">
        <w:rPr>
          <w:rFonts w:ascii="Book Antiqua" w:eastAsia="Times New Roman" w:hAnsi="Book Antiqua" w:cs="Arial"/>
          <w:color w:val="000000"/>
          <w:sz w:val="19"/>
          <w:szCs w:val="19"/>
          <w:lang w:eastAsia="pt-BR"/>
        </w:rPr>
        <w:t xml:space="preserve">. </w:t>
      </w:r>
      <w:r w:rsidRPr="00E12F9A">
        <w:rPr>
          <w:rFonts w:ascii="Book Antiqua" w:eastAsia="Times New Roman" w:hAnsi="Book Antiqua" w:cs="Arial"/>
          <w:b/>
          <w:bCs/>
          <w:color w:val="000000"/>
          <w:sz w:val="19"/>
          <w:szCs w:val="19"/>
          <w:lang w:eastAsia="pt-BR"/>
        </w:rPr>
        <w:t>Discriminação contra as pessoas portadoras de deficiência</w:t>
      </w:r>
    </w:p>
    <w:p w14:paraId="553567E2" w14:textId="7627A730" w:rsidR="00CD5EED" w:rsidRPr="006271F2"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271F2">
        <w:rPr>
          <w:rFonts w:ascii="Book Antiqua" w:eastAsia="Times New Roman" w:hAnsi="Book Antiqua" w:cs="Arial"/>
          <w:color w:val="000000"/>
          <w:sz w:val="19"/>
          <w:szCs w:val="19"/>
          <w:lang w:eastAsia="pt-BR"/>
        </w:rPr>
        <w:t xml:space="preserve">        a) o termo "discriminação contra as pessoas portadoras de deficiência" significa toda diferenciação, exclusão ou restrição baseada em deficiência, antecedente de deficiência, </w:t>
      </w:r>
      <w:proofErr w:type="spellStart"/>
      <w:r w:rsidRPr="006271F2">
        <w:rPr>
          <w:rFonts w:ascii="Book Antiqua" w:eastAsia="Times New Roman" w:hAnsi="Book Antiqua" w:cs="Arial"/>
          <w:color w:val="000000"/>
          <w:sz w:val="19"/>
          <w:szCs w:val="19"/>
          <w:lang w:eastAsia="pt-BR"/>
        </w:rPr>
        <w:t>conseqüência</w:t>
      </w:r>
      <w:proofErr w:type="spellEnd"/>
      <w:r w:rsidRPr="006271F2">
        <w:rPr>
          <w:rFonts w:ascii="Book Antiqua" w:eastAsia="Times New Roman" w:hAnsi="Book Antiqua" w:cs="Arial"/>
          <w:color w:val="000000"/>
          <w:sz w:val="19"/>
          <w:szCs w:val="19"/>
          <w:lang w:eastAsia="pt-BR"/>
        </w:rPr>
        <w:t xml:space="preserve"> de deficiência anterior ou percepção de deficiência presente ou passada, que tenha o efeito ou propósito de impedir ou anular o reconhecimento, gozo ou exercício por parte das pessoas portadoras de deficiência de seus direitos humanos e suas liberdades fundamentais.</w:t>
      </w:r>
      <w:r w:rsidR="006271F2" w:rsidRPr="006271F2">
        <w:rPr>
          <w:rFonts w:ascii="Book Antiqua" w:eastAsia="Times New Roman" w:hAnsi="Book Antiqua" w:cs="Arial"/>
          <w:color w:val="000000"/>
          <w:sz w:val="19"/>
          <w:szCs w:val="19"/>
          <w:lang w:eastAsia="pt-BR"/>
        </w:rPr>
        <w:t xml:space="preserve"> </w:t>
      </w:r>
    </w:p>
    <w:p w14:paraId="7CDF2197" w14:textId="42400998" w:rsidR="00CD5EED" w:rsidRPr="006271F2" w:rsidRDefault="00CD5EED" w:rsidP="00CD5EED">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6271F2">
        <w:rPr>
          <w:rFonts w:ascii="Book Antiqua" w:eastAsia="Times New Roman" w:hAnsi="Book Antiqua" w:cs="Arial"/>
          <w:b/>
          <w:bCs/>
          <w:color w:val="000000"/>
          <w:sz w:val="19"/>
          <w:szCs w:val="19"/>
          <w:lang w:eastAsia="pt-BR"/>
        </w:rPr>
        <w:t xml:space="preserve">        b) </w:t>
      </w:r>
      <w:r w:rsidRPr="006271F2">
        <w:rPr>
          <w:rFonts w:ascii="Book Antiqua" w:eastAsia="Times New Roman" w:hAnsi="Book Antiqua" w:cs="Arial"/>
          <w:b/>
          <w:bCs/>
          <w:caps/>
          <w:color w:val="000000"/>
          <w:sz w:val="19"/>
          <w:szCs w:val="19"/>
          <w:highlight w:val="green"/>
          <w:lang w:eastAsia="pt-BR"/>
        </w:rPr>
        <w:t>Não constitui</w:t>
      </w:r>
      <w:r w:rsidRPr="006271F2">
        <w:rPr>
          <w:rFonts w:ascii="Book Antiqua" w:eastAsia="Times New Roman" w:hAnsi="Book Antiqua" w:cs="Arial"/>
          <w:b/>
          <w:bCs/>
          <w:caps/>
          <w:color w:val="000000"/>
          <w:sz w:val="19"/>
          <w:szCs w:val="19"/>
          <w:lang w:eastAsia="pt-BR"/>
        </w:rPr>
        <w:t xml:space="preserve"> </w:t>
      </w:r>
      <w:r w:rsidRPr="006271F2">
        <w:rPr>
          <w:rFonts w:ascii="Book Antiqua" w:eastAsia="Times New Roman" w:hAnsi="Book Antiqua" w:cs="Arial"/>
          <w:b/>
          <w:bCs/>
          <w:caps/>
          <w:color w:val="000000"/>
          <w:sz w:val="19"/>
          <w:szCs w:val="19"/>
          <w:shd w:val="clear" w:color="auto" w:fill="F7CAAC" w:themeFill="accent2" w:themeFillTint="66"/>
          <w:lang w:eastAsia="pt-BR"/>
        </w:rPr>
        <w:t>discriminação</w:t>
      </w:r>
      <w:r w:rsidRPr="006271F2">
        <w:rPr>
          <w:rFonts w:ascii="Book Antiqua" w:eastAsia="Times New Roman" w:hAnsi="Book Antiqua" w:cs="Arial"/>
          <w:b/>
          <w:bCs/>
          <w:color w:val="000000"/>
          <w:sz w:val="19"/>
          <w:szCs w:val="19"/>
          <w:lang w:eastAsia="pt-BR"/>
        </w:rPr>
        <w:t xml:space="preserve"> a diferenciação ou preferência adotada pelo Estado Parte para promover a integração social ou o desenvolvimento pessoal dos portadores de deficiência, desde que a diferenciação ou preferência não limite em si mesma o direito à igualdade dessas pessoas e que elas não sejam obrigadas a aceitar tal diferenciação ou preferência. Nos casos em que a legislação interna preveja a declaração de interdição, quando for necessária e apropriada para o seu bem-estar, esta não constituirá discriminação.</w:t>
      </w:r>
      <w:r w:rsidR="006271F2" w:rsidRPr="006271F2">
        <w:rPr>
          <w:rFonts w:ascii="Book Antiqua" w:eastAsia="Times New Roman" w:hAnsi="Book Antiqua" w:cs="Arial"/>
          <w:b/>
          <w:bCs/>
          <w:color w:val="000000"/>
          <w:sz w:val="19"/>
          <w:szCs w:val="19"/>
          <w:lang w:eastAsia="pt-BR"/>
        </w:rPr>
        <w:t xml:space="preserve"> </w:t>
      </w:r>
      <w:bookmarkStart w:id="0" w:name="_Hlk156562348"/>
      <w:r w:rsidR="006271F2" w:rsidRPr="006271F2">
        <w:rPr>
          <w:rFonts w:ascii="Book Antiqua" w:eastAsia="Times New Roman" w:hAnsi="Book Antiqua" w:cs="Times New Roman"/>
          <w:b/>
          <w:bCs/>
          <w:color w:val="FF0000"/>
          <w:sz w:val="16"/>
          <w:szCs w:val="16"/>
          <w:u w:val="single"/>
          <w:lang w:eastAsia="pt-BR"/>
        </w:rPr>
        <w:t>(MPT-2009)</w:t>
      </w:r>
      <w:bookmarkEnd w:id="0"/>
      <w:r w:rsidR="00E12F9A" w:rsidRPr="006271F2">
        <w:rPr>
          <w:rFonts w:ascii="Book Antiqua" w:eastAsia="Times New Roman" w:hAnsi="Book Antiqua" w:cs="Arial"/>
          <w:b/>
          <w:bCs/>
          <w:color w:val="000000"/>
          <w:sz w:val="19"/>
          <w:szCs w:val="19"/>
          <w:lang w:eastAsia="pt-BR"/>
        </w:rPr>
        <w:t xml:space="preserve"> </w:t>
      </w:r>
      <w:r w:rsidR="00E12F9A" w:rsidRPr="006271F2">
        <w:rPr>
          <w:rFonts w:ascii="Book Antiqua" w:eastAsia="Times New Roman" w:hAnsi="Book Antiqua" w:cs="Arial"/>
          <w:b/>
          <w:bCs/>
          <w:color w:val="FF0000"/>
          <w:sz w:val="16"/>
          <w:szCs w:val="16"/>
          <w:u w:val="single"/>
          <w:lang w:eastAsia="pt-BR"/>
        </w:rPr>
        <w:t>(MPBA-2015)</w:t>
      </w:r>
    </w:p>
    <w:tbl>
      <w:tblPr>
        <w:tblStyle w:val="Tabelacomgrade"/>
        <w:tblW w:w="0" w:type="auto"/>
        <w:tblLook w:val="04A0" w:firstRow="1" w:lastRow="0" w:firstColumn="1" w:lastColumn="0" w:noHBand="0" w:noVBand="1"/>
      </w:tblPr>
      <w:tblGrid>
        <w:gridCol w:w="8494"/>
      </w:tblGrid>
      <w:tr w:rsidR="00CD5EED" w14:paraId="2A6D7B3A" w14:textId="77777777" w:rsidTr="00CD5EED">
        <w:tc>
          <w:tcPr>
            <w:tcW w:w="8494" w:type="dxa"/>
            <w:shd w:val="clear" w:color="auto" w:fill="CCFFFF"/>
          </w:tcPr>
          <w:p w14:paraId="2831251C" w14:textId="77777777" w:rsidR="00CD5EED" w:rsidRDefault="00CD5EED" w:rsidP="00CD5EE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CD5EED">
              <w:rPr>
                <w:rFonts w:ascii="Book Antiqua" w:eastAsia="Times New Roman" w:hAnsi="Book Antiqua" w:cs="Times New Roman"/>
                <w:b/>
                <w:bCs/>
                <w:color w:val="000000"/>
                <w:sz w:val="19"/>
                <w:szCs w:val="19"/>
                <w:highlight w:val="yellow"/>
                <w:lang w:eastAsia="pt-BR"/>
              </w:rPr>
              <w:t>MPBA-2015</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D5EED">
              <w:rPr>
                <w:rFonts w:ascii="Book Antiqua" w:eastAsia="Times New Roman" w:hAnsi="Book Antiqua" w:cs="Times New Roman"/>
                <w:color w:val="000000"/>
                <w:sz w:val="19"/>
                <w:szCs w:val="19"/>
                <w:lang w:eastAsia="pt-BR"/>
              </w:rPr>
              <w:t xml:space="preserve">Acerca da proteção às pessoas portadoras de deficiência, </w:t>
            </w:r>
            <w:r>
              <w:rPr>
                <w:rFonts w:ascii="Book Antiqua" w:eastAsia="Times New Roman" w:hAnsi="Book Antiqua" w:cs="Times New Roman"/>
                <w:color w:val="000000"/>
                <w:sz w:val="19"/>
                <w:szCs w:val="19"/>
                <w:lang w:eastAsia="pt-BR"/>
              </w:rPr>
              <w:t>assinale a alternativa correta</w:t>
            </w:r>
            <w:r w:rsidRPr="00CD5EED">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D5EED">
              <w:rPr>
                <w:rFonts w:ascii="Book Antiqua" w:eastAsia="Times New Roman" w:hAnsi="Book Antiqua" w:cs="Times New Roman"/>
                <w:color w:val="000000"/>
                <w:sz w:val="19"/>
                <w:szCs w:val="19"/>
                <w:lang w:eastAsia="pt-BR"/>
              </w:rPr>
              <w:t>Em conformidade com a Convenção Interamericana para a Eliminação de Discriminação contra as Pessoas Portadoras de Deficiência, não constitui discriminação a diferenciação ou preferência adotada pelo Estado Parte para promover a integração social ou o desenvolvimento pessoal dos portadores de deficiência, desde que a diferenciação ou preferência não limite em si mesma o direito à igualdade dessas pessoas e que elas não sejam obrigadas a aceitar tal diferenciação ou preferência.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I, item 2, alínea “b”,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p w14:paraId="0756DD1E" w14:textId="600F9700" w:rsidR="006271F2" w:rsidRPr="00CD5EED" w:rsidRDefault="006271F2" w:rsidP="00CD5EE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CD5EED">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T</w:t>
            </w:r>
            <w:r w:rsidRPr="00CD5EED">
              <w:rPr>
                <w:rFonts w:ascii="Book Antiqua" w:eastAsia="Times New Roman" w:hAnsi="Book Antiqua" w:cs="Times New Roman"/>
                <w:b/>
                <w:bCs/>
                <w:color w:val="000000"/>
                <w:sz w:val="19"/>
                <w:szCs w:val="19"/>
                <w:highlight w:val="yellow"/>
                <w:lang w:eastAsia="pt-BR"/>
              </w:rPr>
              <w:t>-2</w:t>
            </w:r>
            <w:r>
              <w:rPr>
                <w:rFonts w:ascii="Book Antiqua" w:eastAsia="Times New Roman" w:hAnsi="Book Antiqua" w:cs="Times New Roman"/>
                <w:b/>
                <w:bCs/>
                <w:color w:val="000000"/>
                <w:sz w:val="19"/>
                <w:szCs w:val="19"/>
                <w:highlight w:val="yellow"/>
                <w:lang w:eastAsia="pt-BR"/>
              </w:rPr>
              <w:t>009</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Assinale a alternativa correta:</w:t>
            </w:r>
            <w:r>
              <w:t xml:space="preserve"> </w:t>
            </w:r>
            <w:r w:rsidRPr="006271F2">
              <w:rPr>
                <w:rFonts w:ascii="Book Antiqua" w:eastAsia="Times New Roman" w:hAnsi="Book Antiqua" w:cs="Times New Roman"/>
                <w:color w:val="000000"/>
                <w:sz w:val="19"/>
                <w:szCs w:val="19"/>
                <w:lang w:eastAsia="pt-BR"/>
              </w:rPr>
              <w:t xml:space="preserve">A Convenção Interamericana para a Eliminação de Todas as Formas de Discriminação Contra as Pessoas Portadoras de Deficiência esclarece que não constituirá discriminação a diferenciação ou preferência adotada para promover a integração social ou o desenvolvimento pessoal das pessoas com deficiência, desde que a diferenciação ou </w:t>
            </w:r>
            <w:r w:rsidRPr="006271F2">
              <w:rPr>
                <w:rFonts w:ascii="Book Antiqua" w:eastAsia="Times New Roman" w:hAnsi="Book Antiqua" w:cs="Times New Roman"/>
                <w:color w:val="000000"/>
                <w:sz w:val="19"/>
                <w:szCs w:val="19"/>
                <w:lang w:eastAsia="pt-BR"/>
              </w:rPr>
              <w:lastRenderedPageBreak/>
              <w:t>preferência não limite em si mesma o direito à igualdade dessas pessoas, e que elas não sejam obrigadas a aceitar tal diferenciação ou preferência.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I, item 2, alínea “b”,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17188B8E" w14:textId="77777777" w:rsidR="00CD5EED" w:rsidRPr="00CD5EED" w:rsidRDefault="00CD5EED" w:rsidP="00CD5EE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lastRenderedPageBreak/>
        <w:t>Artigo II</w:t>
      </w:r>
    </w:p>
    <w:p w14:paraId="23AE7711"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Esta Convenção tem por objetivo prevenir e eliminar todas as formas de discriminação contra as pessoas portadoras de deficiência e propiciar a sua plena integração à sociedade.</w:t>
      </w:r>
    </w:p>
    <w:p w14:paraId="771A8EA8" w14:textId="77777777" w:rsidR="00CD5EED" w:rsidRPr="00E12F9A" w:rsidRDefault="00CD5EED" w:rsidP="00CD5EED">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E12F9A">
        <w:rPr>
          <w:rFonts w:ascii="Book Antiqua" w:eastAsia="Times New Roman" w:hAnsi="Book Antiqua" w:cs="Arial"/>
          <w:b/>
          <w:bCs/>
          <w:color w:val="000000"/>
          <w:sz w:val="19"/>
          <w:szCs w:val="19"/>
          <w:highlight w:val="magenta"/>
          <w:lang w:eastAsia="pt-BR"/>
        </w:rPr>
        <w:t>Artigo III</w:t>
      </w:r>
    </w:p>
    <w:p w14:paraId="50DFA7CF" w14:textId="77777777" w:rsidR="00CD5EED" w:rsidRPr="00E12F9A" w:rsidRDefault="00CD5EED" w:rsidP="00CD5EED">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CD5EED">
        <w:rPr>
          <w:rFonts w:ascii="Book Antiqua" w:eastAsia="Times New Roman" w:hAnsi="Book Antiqua" w:cs="Arial"/>
          <w:color w:val="000000"/>
          <w:sz w:val="19"/>
          <w:szCs w:val="19"/>
          <w:lang w:eastAsia="pt-BR"/>
        </w:rPr>
        <w:t xml:space="preserve">        </w:t>
      </w:r>
      <w:r w:rsidRPr="00E12F9A">
        <w:rPr>
          <w:rFonts w:ascii="Book Antiqua" w:eastAsia="Times New Roman" w:hAnsi="Book Antiqua" w:cs="Arial"/>
          <w:b/>
          <w:bCs/>
          <w:color w:val="000000"/>
          <w:sz w:val="19"/>
          <w:szCs w:val="19"/>
          <w:lang w:eastAsia="pt-BR"/>
        </w:rPr>
        <w:t>Para alcançar os objetivos desta Convenção, os Estados Partes comprometem-se a:</w:t>
      </w:r>
    </w:p>
    <w:p w14:paraId="2F3595E1"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1. Tomar as medidas de caráter legislativo, social, educacional, trabalhista, ou de qualquer outra natureza, que sejam necessárias para eliminar a discriminação contra as pessoas portadoras de deficiência e proporcionar a sua plena integração à sociedade, entre as quais as medidas abaixo enumeradas, que não devem ser consideradas exclusivas:</w:t>
      </w:r>
    </w:p>
    <w:p w14:paraId="35C39EDF"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a) medidas das autoridades governamentais e/ou entidades privadas para eliminar progressivamente a discriminação e promover a integração na prestação ou fornecimento de bens, serviços, instalações, programas e atividades, tais como o emprego, o transporte, as comunicações, a habitação, o lazer, a educação, o esporte, o acesso à justiça e aos serviços policiais e as atividades políticas e de administração;</w:t>
      </w:r>
    </w:p>
    <w:p w14:paraId="2CB2AB74"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b) medidas para que os edifícios, os veículos e as instalações que venham a ser construídos ou fabricados em seus respectivos territórios facilitem o transporte, a comunicação e o acesso das pessoas portadoras de deficiência;</w:t>
      </w:r>
    </w:p>
    <w:p w14:paraId="5D683DD5"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c) medidas para eliminar, na medida do possível, os obstáculos arquitetônicos, de transporte e comunicações que existam, com a finalidade de facilitar o acesso e uso por parte das pessoas portadoras de deficiência; e</w:t>
      </w:r>
    </w:p>
    <w:p w14:paraId="0318F32B"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d) medidas para assegurar que as pessoas encarregadas de aplicar esta Convenção e a legislação interna sobre esta matéria estejam capacitadas a fazê-lo.</w:t>
      </w:r>
    </w:p>
    <w:p w14:paraId="6F35637A" w14:textId="47515968" w:rsidR="00CD5EED" w:rsidRPr="00E12F9A" w:rsidRDefault="00CD5EED" w:rsidP="00CD5EED">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E12F9A">
        <w:rPr>
          <w:rFonts w:ascii="Book Antiqua" w:eastAsia="Times New Roman" w:hAnsi="Book Antiqua" w:cs="Arial"/>
          <w:b/>
          <w:bCs/>
          <w:color w:val="000000"/>
          <w:sz w:val="19"/>
          <w:szCs w:val="19"/>
          <w:lang w:eastAsia="pt-BR"/>
        </w:rPr>
        <w:t xml:space="preserve">        </w:t>
      </w:r>
      <w:r w:rsidRPr="00E12F9A">
        <w:rPr>
          <w:rFonts w:ascii="Book Antiqua" w:eastAsia="Times New Roman" w:hAnsi="Book Antiqua" w:cs="Arial"/>
          <w:b/>
          <w:bCs/>
          <w:color w:val="000000"/>
          <w:sz w:val="19"/>
          <w:szCs w:val="19"/>
          <w:highlight w:val="magenta"/>
          <w:lang w:eastAsia="pt-BR"/>
        </w:rPr>
        <w:t>2</w:t>
      </w:r>
      <w:r w:rsidRPr="00E12F9A">
        <w:rPr>
          <w:rFonts w:ascii="Book Antiqua" w:eastAsia="Times New Roman" w:hAnsi="Book Antiqua" w:cs="Arial"/>
          <w:b/>
          <w:bCs/>
          <w:color w:val="000000"/>
          <w:sz w:val="19"/>
          <w:szCs w:val="19"/>
          <w:lang w:eastAsia="pt-BR"/>
        </w:rPr>
        <w:t>. Trabalhar prioritariamente nas seguintes áreas:</w:t>
      </w:r>
      <w:r w:rsidR="00E12F9A" w:rsidRPr="00E12F9A">
        <w:rPr>
          <w:rFonts w:ascii="Book Antiqua" w:eastAsia="Times New Roman" w:hAnsi="Book Antiqua" w:cs="Arial"/>
          <w:b/>
          <w:bCs/>
          <w:color w:val="000000"/>
          <w:sz w:val="19"/>
          <w:szCs w:val="19"/>
          <w:lang w:eastAsia="pt-BR"/>
        </w:rPr>
        <w:t xml:space="preserve"> </w:t>
      </w:r>
      <w:r w:rsidR="00E12F9A" w:rsidRPr="00E12F9A">
        <w:rPr>
          <w:rFonts w:ascii="Book Antiqua" w:eastAsia="Times New Roman" w:hAnsi="Book Antiqua" w:cs="Arial"/>
          <w:b/>
          <w:bCs/>
          <w:color w:val="FF0000"/>
          <w:sz w:val="16"/>
          <w:szCs w:val="16"/>
          <w:u w:val="single"/>
          <w:lang w:eastAsia="pt-BR"/>
        </w:rPr>
        <w:t>(DPESC-2021)</w:t>
      </w:r>
    </w:p>
    <w:p w14:paraId="6E363BA0" w14:textId="21E5B52B"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12F9A">
        <w:rPr>
          <w:rFonts w:ascii="Book Antiqua" w:eastAsia="Times New Roman" w:hAnsi="Book Antiqua" w:cs="Arial"/>
          <w:b/>
          <w:bCs/>
          <w:color w:val="000000"/>
          <w:sz w:val="19"/>
          <w:szCs w:val="19"/>
          <w:lang w:eastAsia="pt-BR"/>
        </w:rPr>
        <w:t>        a) prevenção de todas as formas de deficiência preveníveis</w:t>
      </w:r>
      <w:r w:rsidRPr="00CD5EED">
        <w:rPr>
          <w:rFonts w:ascii="Book Antiqua" w:eastAsia="Times New Roman" w:hAnsi="Book Antiqua" w:cs="Arial"/>
          <w:color w:val="000000"/>
          <w:sz w:val="19"/>
          <w:szCs w:val="19"/>
          <w:lang w:eastAsia="pt-BR"/>
        </w:rPr>
        <w:t>;</w:t>
      </w:r>
      <w:r w:rsidR="00E12F9A">
        <w:rPr>
          <w:rFonts w:ascii="Book Antiqua" w:eastAsia="Times New Roman" w:hAnsi="Book Antiqua" w:cs="Arial"/>
          <w:color w:val="000000"/>
          <w:sz w:val="19"/>
          <w:szCs w:val="19"/>
          <w:lang w:eastAsia="pt-BR"/>
        </w:rPr>
        <w:t xml:space="preserve"> </w:t>
      </w:r>
      <w:bookmarkStart w:id="1" w:name="_Hlk151034566"/>
      <w:r w:rsidR="00E12F9A">
        <w:rPr>
          <w:rFonts w:ascii="Book Antiqua" w:eastAsia="Times New Roman" w:hAnsi="Book Antiqua" w:cs="Arial"/>
          <w:b/>
          <w:bCs/>
          <w:color w:val="FF0000"/>
          <w:sz w:val="16"/>
          <w:szCs w:val="16"/>
          <w:u w:val="single"/>
          <w:lang w:eastAsia="pt-BR"/>
        </w:rPr>
        <w:t>(DPESC-2021)</w:t>
      </w:r>
      <w:bookmarkEnd w:id="1"/>
    </w:p>
    <w:tbl>
      <w:tblPr>
        <w:tblStyle w:val="Tabelacomgrade"/>
        <w:tblW w:w="0" w:type="auto"/>
        <w:tblLook w:val="04A0" w:firstRow="1" w:lastRow="0" w:firstColumn="1" w:lastColumn="0" w:noHBand="0" w:noVBand="1"/>
      </w:tblPr>
      <w:tblGrid>
        <w:gridCol w:w="8494"/>
      </w:tblGrid>
      <w:tr w:rsidR="00E12F9A" w14:paraId="037B8972" w14:textId="77777777" w:rsidTr="003A20AD">
        <w:tc>
          <w:tcPr>
            <w:tcW w:w="8494" w:type="dxa"/>
            <w:shd w:val="clear" w:color="auto" w:fill="CCFFFF"/>
          </w:tcPr>
          <w:p w14:paraId="1CA510A0" w14:textId="03A7D335" w:rsidR="00E12F9A" w:rsidRPr="00BD5F28" w:rsidRDefault="00E12F9A" w:rsidP="00E12F9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BD5F28">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SC-2021</w:t>
            </w:r>
            <w:r w:rsidRPr="00BD5F28">
              <w:rPr>
                <w:rFonts w:ascii="Book Antiqua" w:eastAsia="Times New Roman" w:hAnsi="Book Antiqua" w:cs="Times New Roman"/>
                <w:b/>
                <w:bCs/>
                <w:color w:val="000000"/>
                <w:sz w:val="19"/>
                <w:szCs w:val="19"/>
                <w:highlight w:val="yellow"/>
                <w:lang w:eastAsia="pt-BR"/>
              </w:rPr>
              <w:t>-FCC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12F9A">
              <w:rPr>
                <w:rFonts w:ascii="Book Antiqua" w:hAnsi="Book Antiqua"/>
                <w:sz w:val="19"/>
                <w:szCs w:val="19"/>
              </w:rPr>
              <w:t>Acerca da Convenção Interamericana sobre a Eliminação de Todas as Formas de Discriminação contra Pessoas Portadoras de Deficiência e da Declaração das Nações Unidas sobre os Direitos dos Povos Indígenas, considere:</w:t>
            </w:r>
            <w:r>
              <w:rPr>
                <w:rFonts w:ascii="Book Antiqua" w:hAnsi="Book Antiqua"/>
                <w:sz w:val="19"/>
                <w:szCs w:val="19"/>
              </w:rPr>
              <w:t xml:space="preserve"> </w:t>
            </w:r>
            <w:r w:rsidRPr="00E12F9A">
              <w:rPr>
                <w:rFonts w:ascii="Book Antiqua" w:hAnsi="Book Antiqua"/>
                <w:sz w:val="19"/>
                <w:szCs w:val="19"/>
              </w:rPr>
              <w:t>Para alcançar os objetivos da Convenção Interamericana sobre a Eliminação de Todas as Formas de Discriminação contra Pessoas Portadoras de Deficiência, os Estados Partes comprometem-se a trabalhar prioritariamente na prevenção de todas as formas de deficiência preveníveis.</w:t>
            </w:r>
            <w:r>
              <w:rPr>
                <w:rFonts w:ascii="Book Antiqua" w:hAnsi="Book Antiqua"/>
                <w:sz w:val="19"/>
                <w:szCs w:val="19"/>
              </w:rPr>
              <w:t xml:space="preserve"> </w:t>
            </w:r>
            <w:r>
              <w:rPr>
                <w:rFonts w:ascii="Book Antiqua" w:hAnsi="Book Antiqua"/>
                <w:b/>
                <w:bCs/>
                <w:sz w:val="19"/>
                <w:szCs w:val="19"/>
              </w:rPr>
              <w:t>BL: art. 3º, item 2, ‘a’, Conv.</w:t>
            </w:r>
          </w:p>
        </w:tc>
      </w:tr>
    </w:tbl>
    <w:p w14:paraId="319A6715" w14:textId="453CBA1D"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b) detecção e intervenção precoce, tratamento, reabilitação, educação, formação ocupacional e prestação de serviços completos para garantir o melhor nível de independência e qualidade de vida para as pessoas portadoras de deficiência; e</w:t>
      </w:r>
    </w:p>
    <w:p w14:paraId="0B715125"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c) sensibilização da população, por meio de campanhas de educação, destinadas a eliminar preconceitos, estereótipos e outras atitudes que atentam contra o direito das pessoas a serem iguais, permitindo desta forma o respeito e a convivência com as pessoas portadoras de deficiência.</w:t>
      </w:r>
    </w:p>
    <w:p w14:paraId="1542BAFB" w14:textId="77777777" w:rsidR="00CD5EED" w:rsidRPr="00CD5EED" w:rsidRDefault="00CD5EED" w:rsidP="00CD5EE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Artigo IV</w:t>
      </w:r>
    </w:p>
    <w:p w14:paraId="3C0BEE0D"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Para alcançar os objetivos desta Convenção, os Estados Partes comprometem-se a:</w:t>
      </w:r>
    </w:p>
    <w:p w14:paraId="30B82B69"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1. Cooperar entre si a fim de contribuir para a prevenção e eliminação da discriminação contra as pessoas portadoras de deficiência.</w:t>
      </w:r>
    </w:p>
    <w:p w14:paraId="246627F3"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lastRenderedPageBreak/>
        <w:t>        2. Colaborar de forma efetiva no seguinte:</w:t>
      </w:r>
    </w:p>
    <w:p w14:paraId="7E174FB8"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a) pesquisa científica e tecnológica relacionada com a prevenção das deficiências, o tratamento, a reabilitação e a integração na sociedade de pessoas portadoras de deficiência; e</w:t>
      </w:r>
    </w:p>
    <w:p w14:paraId="5F5A39C2"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xml:space="preserve">        b) desenvolvimento de meios e recursos destinados a facilitar ou promover a vida independente, a </w:t>
      </w:r>
      <w:proofErr w:type="spellStart"/>
      <w:r w:rsidRPr="00CD5EED">
        <w:rPr>
          <w:rFonts w:ascii="Book Antiqua" w:eastAsia="Times New Roman" w:hAnsi="Book Antiqua" w:cs="Arial"/>
          <w:color w:val="000000"/>
          <w:sz w:val="19"/>
          <w:szCs w:val="19"/>
          <w:lang w:eastAsia="pt-BR"/>
        </w:rPr>
        <w:t>auto-suficiência</w:t>
      </w:r>
      <w:proofErr w:type="spellEnd"/>
      <w:r w:rsidRPr="00CD5EED">
        <w:rPr>
          <w:rFonts w:ascii="Book Antiqua" w:eastAsia="Times New Roman" w:hAnsi="Book Antiqua" w:cs="Arial"/>
          <w:color w:val="000000"/>
          <w:sz w:val="19"/>
          <w:szCs w:val="19"/>
          <w:lang w:eastAsia="pt-BR"/>
        </w:rPr>
        <w:t xml:space="preserve"> e a integração total, em condições de igualdade, à sociedade das pessoas portadoras de deficiência.</w:t>
      </w:r>
    </w:p>
    <w:p w14:paraId="2366A151" w14:textId="77777777" w:rsidR="00CD5EED" w:rsidRPr="00CD5EED" w:rsidRDefault="00CD5EED" w:rsidP="00CD5EE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Artigo V</w:t>
      </w:r>
    </w:p>
    <w:p w14:paraId="33477219"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1. Os Estados Partes promoverão, na medida em que isto for coerente com as suas respectivas legislações nacionais, a participação de representantes de organizações de pessoas portadoras de deficiência, de organizações não-governamentais que trabalham nessa área ou, se essas organizações não existirem, de pessoas portadoras de deficiência, na elaboração, execução e avaliação de medidas e políticas para aplicar esta Convenção.</w:t>
      </w:r>
    </w:p>
    <w:p w14:paraId="56F10278"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2. Os Estados Partes criarão canais de comunicação eficazes que permitam difundir entre as organizações públicas e privadas que trabalham com pessoas portadoras de deficiência os avanços normativos e jurídicos ocorridos para a eliminação da discriminação contra as pessoas portadoras de deficiência.</w:t>
      </w:r>
    </w:p>
    <w:p w14:paraId="76F8AA2E" w14:textId="77777777" w:rsidR="00CD5EED" w:rsidRPr="00CD5EED" w:rsidRDefault="00CD5EED" w:rsidP="00CD5EE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Artigo VI</w:t>
      </w:r>
    </w:p>
    <w:p w14:paraId="3CA598D4"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1. Para dar acompanhamento aos compromissos assumidos nesta Convenção, será estabelecida uma Comissão para a Eliminação de Todas as Formas de Discriminação contra as Pessoas Portadoras de Deficiência, constituída por um representante designado por cada Estado Parte.</w:t>
      </w:r>
    </w:p>
    <w:p w14:paraId="37E4C912"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xml:space="preserve">        2. A Comissão realizará a sua primeira reunião dentro dos 90 dias seguintes ao depósito do décimo primeiro instrumento de ratificação. Essa reunião será convocada pela </w:t>
      </w:r>
      <w:proofErr w:type="spellStart"/>
      <w:r w:rsidRPr="00CD5EED">
        <w:rPr>
          <w:rFonts w:ascii="Book Antiqua" w:eastAsia="Times New Roman" w:hAnsi="Book Antiqua" w:cs="Arial"/>
          <w:color w:val="000000"/>
          <w:sz w:val="19"/>
          <w:szCs w:val="19"/>
          <w:lang w:eastAsia="pt-BR"/>
        </w:rPr>
        <w:t>Secretaria-Geral</w:t>
      </w:r>
      <w:proofErr w:type="spellEnd"/>
      <w:r w:rsidRPr="00CD5EED">
        <w:rPr>
          <w:rFonts w:ascii="Book Antiqua" w:eastAsia="Times New Roman" w:hAnsi="Book Antiqua" w:cs="Arial"/>
          <w:color w:val="000000"/>
          <w:sz w:val="19"/>
          <w:szCs w:val="19"/>
          <w:lang w:eastAsia="pt-BR"/>
        </w:rPr>
        <w:t xml:space="preserve"> da Organização dos Estados Americanos e será realizada na sua sede, salvo se um Estado Parte oferecer sede.</w:t>
      </w:r>
    </w:p>
    <w:p w14:paraId="5F027906"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3. Os Estados Partes comprometem-se, na primeira reunião, a apresentar um relatório ao Secretário-Geral da Organização para que o envie à Comissão para análise e estudo. No futuro, os relatórios serão apresentados a cada quatro anos.</w:t>
      </w:r>
    </w:p>
    <w:p w14:paraId="7CE9D1F0"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4. Os relatórios preparados em virtude do parágrafo anterior deverão incluir as medidas que os Estados membros tiverem adotado na aplicação desta Convenção e qualquer progresso alcançado na eliminação de todas as formas de discriminação contra as pessoas portadoras de deficiência. Os relatórios também conterão todas circunstância ou dificuldade que afete o grau de cumprimento decorrente desta Convenção.</w:t>
      </w:r>
    </w:p>
    <w:p w14:paraId="3127E092"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5. A Comissão será o foro encarregado de examinar o progresso registrado na aplicação da Convenção e de intercambiar experiências entre os Estados Partes. Os relatórios que a Comissão elaborará refletirão o debate havido e incluirão informação sobre as medidas que os Estados Partes tenham adotado em aplicação desta Convenção, o progresso alcançado na eliminação de todas as formas de discriminação contra as pessoas portadoras de deficiência, as circunstâncias ou dificuldades que tenham tido na implementação da Convenção, bem como as conclusões, observações e sugestões gerais da Comissão para o cumprimento progressivo da mesma.</w:t>
      </w:r>
    </w:p>
    <w:p w14:paraId="61DF0898"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6. A Comissão elaborará o seu regulamento interno e o aprovará por maioria absoluta.</w:t>
      </w:r>
    </w:p>
    <w:p w14:paraId="44599AF7"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7. O Secretário-Geral prestará à Comissão o apoio necessário para o cumprimento de suas funções.</w:t>
      </w:r>
    </w:p>
    <w:p w14:paraId="3C9AD736" w14:textId="77777777" w:rsidR="00CD5EED" w:rsidRPr="00CD5EED" w:rsidRDefault="00CD5EED" w:rsidP="00CD5EE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Artigo VII</w:t>
      </w:r>
    </w:p>
    <w:p w14:paraId="1B3F1886"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xml:space="preserve">        Nenhuma disposição desta Convenção será interpretada no sentido de restringir ou permitir que os Estados Partes limitem o gozo dos direitos das pessoas portadoras de deficiência reconhecidos pelo </w:t>
      </w:r>
      <w:r w:rsidRPr="00CD5EED">
        <w:rPr>
          <w:rFonts w:ascii="Book Antiqua" w:eastAsia="Times New Roman" w:hAnsi="Book Antiqua" w:cs="Arial"/>
          <w:color w:val="000000"/>
          <w:sz w:val="19"/>
          <w:szCs w:val="19"/>
          <w:lang w:eastAsia="pt-BR"/>
        </w:rPr>
        <w:lastRenderedPageBreak/>
        <w:t>Direito Internacional consuetudinário ou pelos instrumentos internacionais vinculantes para um determinado Estado Parte.</w:t>
      </w:r>
    </w:p>
    <w:p w14:paraId="5E9C815A" w14:textId="77777777" w:rsidR="00CD5EED" w:rsidRPr="00CD5EED" w:rsidRDefault="00CD5EED" w:rsidP="00CD5EE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Artigo VIII</w:t>
      </w:r>
    </w:p>
    <w:p w14:paraId="351B4E23"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1. Esta Convenção estará aberta a todos os Estados membros para sua assinatura, na cidade da Guatemala, Guatemala, em 8 de junho de 1999 e, a partir dessa data, permanecerá aberta à assinatura de todos os Estados na sede da Organização dos Estados Americanos até sua entrada em vigor.</w:t>
      </w:r>
    </w:p>
    <w:p w14:paraId="73915287"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2. Esta Convenção está sujeita a ratificação.</w:t>
      </w:r>
    </w:p>
    <w:p w14:paraId="2917FFA1"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xml:space="preserve">        3. Esta Convenção entrará em vigor para os Estados </w:t>
      </w:r>
      <w:proofErr w:type="spellStart"/>
      <w:r w:rsidRPr="00CD5EED">
        <w:rPr>
          <w:rFonts w:ascii="Book Antiqua" w:eastAsia="Times New Roman" w:hAnsi="Book Antiqua" w:cs="Arial"/>
          <w:color w:val="000000"/>
          <w:sz w:val="19"/>
          <w:szCs w:val="19"/>
          <w:lang w:eastAsia="pt-BR"/>
        </w:rPr>
        <w:t>ratificantes</w:t>
      </w:r>
      <w:proofErr w:type="spellEnd"/>
      <w:r w:rsidRPr="00CD5EED">
        <w:rPr>
          <w:rFonts w:ascii="Book Antiqua" w:eastAsia="Times New Roman" w:hAnsi="Book Antiqua" w:cs="Arial"/>
          <w:color w:val="000000"/>
          <w:sz w:val="19"/>
          <w:szCs w:val="19"/>
          <w:lang w:eastAsia="pt-BR"/>
        </w:rPr>
        <w:t xml:space="preserve"> no trigésimo dia a partir da data em que tenha sido depositado o sexto instrumento de ratificação de um Estado membro da Organização dos Estados Americanos.</w:t>
      </w:r>
    </w:p>
    <w:p w14:paraId="18B67D43" w14:textId="77777777" w:rsidR="00CD5EED" w:rsidRPr="00CD5EED" w:rsidRDefault="00CD5EED" w:rsidP="00CD5EE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Artigo IX</w:t>
      </w:r>
    </w:p>
    <w:p w14:paraId="2BF0288A"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Depois de entrar em vigor, esta Convenção estará aberta à adesão de todos os Estados que não a tenham assinado.</w:t>
      </w:r>
    </w:p>
    <w:p w14:paraId="37500EA0" w14:textId="77777777" w:rsidR="00CD5EED" w:rsidRPr="00CD5EED" w:rsidRDefault="00CD5EED" w:rsidP="00CD5EE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Artigo X</w:t>
      </w:r>
    </w:p>
    <w:p w14:paraId="154DD776"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xml:space="preserve">        1. Os instrumentos de ratificação e adesão serão depositados na </w:t>
      </w:r>
      <w:proofErr w:type="spellStart"/>
      <w:r w:rsidRPr="00CD5EED">
        <w:rPr>
          <w:rFonts w:ascii="Book Antiqua" w:eastAsia="Times New Roman" w:hAnsi="Book Antiqua" w:cs="Arial"/>
          <w:color w:val="000000"/>
          <w:sz w:val="19"/>
          <w:szCs w:val="19"/>
          <w:lang w:eastAsia="pt-BR"/>
        </w:rPr>
        <w:t>Secretaria-Geral</w:t>
      </w:r>
      <w:proofErr w:type="spellEnd"/>
      <w:r w:rsidRPr="00CD5EED">
        <w:rPr>
          <w:rFonts w:ascii="Book Antiqua" w:eastAsia="Times New Roman" w:hAnsi="Book Antiqua" w:cs="Arial"/>
          <w:color w:val="000000"/>
          <w:sz w:val="19"/>
          <w:szCs w:val="19"/>
          <w:lang w:eastAsia="pt-BR"/>
        </w:rPr>
        <w:t xml:space="preserve"> da Organização dos Estados Americanos.</w:t>
      </w:r>
    </w:p>
    <w:p w14:paraId="664F7A58"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2. Para cada Estado que ratificar a Convenção ou aderir a ela depois do depósito do sexto instrumento de ratificação, a Convenção entrará em vigor no trigésimo dia a partir da data em que esse Estado tenha depositado seu instrumento de ratificação ou adesão.</w:t>
      </w:r>
    </w:p>
    <w:p w14:paraId="12156FD1" w14:textId="77777777" w:rsidR="00CD5EED" w:rsidRPr="00CD5EED" w:rsidRDefault="00CD5EED" w:rsidP="00CD5EE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Artigo XI</w:t>
      </w:r>
    </w:p>
    <w:p w14:paraId="5B6F6357"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xml:space="preserve">        1. Qualquer Estado Parte poderá formular propostas de emenda a esta Convenção. As referidas propostas serão apresentadas à </w:t>
      </w:r>
      <w:proofErr w:type="spellStart"/>
      <w:r w:rsidRPr="00CD5EED">
        <w:rPr>
          <w:rFonts w:ascii="Book Antiqua" w:eastAsia="Times New Roman" w:hAnsi="Book Antiqua" w:cs="Arial"/>
          <w:color w:val="000000"/>
          <w:sz w:val="19"/>
          <w:szCs w:val="19"/>
          <w:lang w:eastAsia="pt-BR"/>
        </w:rPr>
        <w:t>Secretaria-Geral</w:t>
      </w:r>
      <w:proofErr w:type="spellEnd"/>
      <w:r w:rsidRPr="00CD5EED">
        <w:rPr>
          <w:rFonts w:ascii="Book Antiqua" w:eastAsia="Times New Roman" w:hAnsi="Book Antiqua" w:cs="Arial"/>
          <w:color w:val="000000"/>
          <w:sz w:val="19"/>
          <w:szCs w:val="19"/>
          <w:lang w:eastAsia="pt-BR"/>
        </w:rPr>
        <w:t xml:space="preserve"> da OEA para distribuição aos Estados Partes.</w:t>
      </w:r>
    </w:p>
    <w:p w14:paraId="5B42E635"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xml:space="preserve">        2. As emendas entrarão em vigor para os Estados </w:t>
      </w:r>
      <w:proofErr w:type="spellStart"/>
      <w:r w:rsidRPr="00CD5EED">
        <w:rPr>
          <w:rFonts w:ascii="Book Antiqua" w:eastAsia="Times New Roman" w:hAnsi="Book Antiqua" w:cs="Arial"/>
          <w:color w:val="000000"/>
          <w:sz w:val="19"/>
          <w:szCs w:val="19"/>
          <w:lang w:eastAsia="pt-BR"/>
        </w:rPr>
        <w:t>ratificantes</w:t>
      </w:r>
      <w:proofErr w:type="spellEnd"/>
      <w:r w:rsidRPr="00CD5EED">
        <w:rPr>
          <w:rFonts w:ascii="Book Antiqua" w:eastAsia="Times New Roman" w:hAnsi="Book Antiqua" w:cs="Arial"/>
          <w:color w:val="000000"/>
          <w:sz w:val="19"/>
          <w:szCs w:val="19"/>
          <w:lang w:eastAsia="pt-BR"/>
        </w:rPr>
        <w:t xml:space="preserve"> das mesmas na data em que dois terços dos Estados Partes tenham depositado o respectivo instrumento de ratificação. No que se refere ao restante dos Estados partes, entrarão em vigor na data em que depositarem seus respectivos instrumentos de ratificação.</w:t>
      </w:r>
    </w:p>
    <w:p w14:paraId="308664C8" w14:textId="77777777" w:rsidR="00CD5EED" w:rsidRPr="00CD5EED" w:rsidRDefault="00CD5EED" w:rsidP="00CD5EE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Artigo XII</w:t>
      </w:r>
    </w:p>
    <w:p w14:paraId="2ED52B38"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Os Estados poderão formular reservas a esta Convenção no momento de ratificá-la ou a ela aderir, desde que essas reservas não sejam incompatíveis com o objetivo e propósito da Convenção e versem sobre uma ou mais disposições específicas.</w:t>
      </w:r>
    </w:p>
    <w:p w14:paraId="42E7BFA9" w14:textId="77777777" w:rsidR="00CD5EED" w:rsidRPr="00CD5EED" w:rsidRDefault="00CD5EED" w:rsidP="00CD5EE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Artigo XIII</w:t>
      </w:r>
    </w:p>
    <w:p w14:paraId="4FB098B3"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xml:space="preserve">        Esta Convenção vigorará indefinidamente, mas qualquer Estado Parte poderá denunciá-la. O instrumento de denúncia será depositado na </w:t>
      </w:r>
      <w:proofErr w:type="spellStart"/>
      <w:r w:rsidRPr="00CD5EED">
        <w:rPr>
          <w:rFonts w:ascii="Book Antiqua" w:eastAsia="Times New Roman" w:hAnsi="Book Antiqua" w:cs="Arial"/>
          <w:color w:val="000000"/>
          <w:sz w:val="19"/>
          <w:szCs w:val="19"/>
          <w:lang w:eastAsia="pt-BR"/>
        </w:rPr>
        <w:t>Secretaria-Geral</w:t>
      </w:r>
      <w:proofErr w:type="spellEnd"/>
      <w:r w:rsidRPr="00CD5EED">
        <w:rPr>
          <w:rFonts w:ascii="Book Antiqua" w:eastAsia="Times New Roman" w:hAnsi="Book Antiqua" w:cs="Arial"/>
          <w:color w:val="000000"/>
          <w:sz w:val="19"/>
          <w:szCs w:val="19"/>
          <w:lang w:eastAsia="pt-BR"/>
        </w:rPr>
        <w:t xml:space="preserve"> da Organização dos Estados Americanos. Decorrido um ano a partir da data de depósito do instrumento de denúncia, a Convenção cessará seus efeitos para o Estado denunciante, permanecendo em vigor para os demais Estados Partes. A denúncia não eximirá o Estado Parte das obrigações que lhe impõe esta Convenção com respeito a qualquer ação ou omissão ocorrida antes da data em que a denúncia tiver produzido seus efeitos.</w:t>
      </w:r>
    </w:p>
    <w:p w14:paraId="44DEF0DB" w14:textId="77777777" w:rsidR="00CD5EED" w:rsidRPr="00CD5EED" w:rsidRDefault="00CD5EED" w:rsidP="00CD5EE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Artigo XIV</w:t>
      </w:r>
    </w:p>
    <w:p w14:paraId="37CAD5A1"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xml:space="preserve">        1. O instrumento original desta Convenção, cujos textos em espanhol, francês, inglês e português são igualmente autênticos, será depositado na </w:t>
      </w:r>
      <w:proofErr w:type="spellStart"/>
      <w:r w:rsidRPr="00CD5EED">
        <w:rPr>
          <w:rFonts w:ascii="Book Antiqua" w:eastAsia="Times New Roman" w:hAnsi="Book Antiqua" w:cs="Arial"/>
          <w:color w:val="000000"/>
          <w:sz w:val="19"/>
          <w:szCs w:val="19"/>
          <w:lang w:eastAsia="pt-BR"/>
        </w:rPr>
        <w:t>Secretaria-Geral</w:t>
      </w:r>
      <w:proofErr w:type="spellEnd"/>
      <w:r w:rsidRPr="00CD5EED">
        <w:rPr>
          <w:rFonts w:ascii="Book Antiqua" w:eastAsia="Times New Roman" w:hAnsi="Book Antiqua" w:cs="Arial"/>
          <w:color w:val="000000"/>
          <w:sz w:val="19"/>
          <w:szCs w:val="19"/>
          <w:lang w:eastAsia="pt-BR"/>
        </w:rPr>
        <w:t xml:space="preserve"> da Organização dos Estados </w:t>
      </w:r>
      <w:r w:rsidRPr="00CD5EED">
        <w:rPr>
          <w:rFonts w:ascii="Book Antiqua" w:eastAsia="Times New Roman" w:hAnsi="Book Antiqua" w:cs="Arial"/>
          <w:color w:val="000000"/>
          <w:sz w:val="19"/>
          <w:szCs w:val="19"/>
          <w:lang w:eastAsia="pt-BR"/>
        </w:rPr>
        <w:lastRenderedPageBreak/>
        <w:t>Americanos, que enviará cópia autenticada de seu texto, para registro e publicação, ao Secretariado das Nações Unidas, em conformidade com o artigo 102 da Carta das Nações Unidas.</w:t>
      </w:r>
    </w:p>
    <w:p w14:paraId="7B7253AE" w14:textId="77777777" w:rsidR="00CD5EED" w:rsidRPr="00CD5EED" w:rsidRDefault="00CD5EED" w:rsidP="00CD5EED">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D5EED">
        <w:rPr>
          <w:rFonts w:ascii="Book Antiqua" w:eastAsia="Times New Roman" w:hAnsi="Book Antiqua" w:cs="Arial"/>
          <w:color w:val="000000"/>
          <w:sz w:val="19"/>
          <w:szCs w:val="19"/>
          <w:lang w:eastAsia="pt-BR"/>
        </w:rPr>
        <w:t xml:space="preserve">        2. A </w:t>
      </w:r>
      <w:proofErr w:type="spellStart"/>
      <w:r w:rsidRPr="00CD5EED">
        <w:rPr>
          <w:rFonts w:ascii="Book Antiqua" w:eastAsia="Times New Roman" w:hAnsi="Book Antiqua" w:cs="Arial"/>
          <w:color w:val="000000"/>
          <w:sz w:val="19"/>
          <w:szCs w:val="19"/>
          <w:lang w:eastAsia="pt-BR"/>
        </w:rPr>
        <w:t>Secretaria-Geral</w:t>
      </w:r>
      <w:proofErr w:type="spellEnd"/>
      <w:r w:rsidRPr="00CD5EED">
        <w:rPr>
          <w:rFonts w:ascii="Book Antiqua" w:eastAsia="Times New Roman" w:hAnsi="Book Antiqua" w:cs="Arial"/>
          <w:color w:val="000000"/>
          <w:sz w:val="19"/>
          <w:szCs w:val="19"/>
          <w:lang w:eastAsia="pt-BR"/>
        </w:rPr>
        <w:t xml:space="preserve"> da Organização dos Estados Americanos notificará os Estados membros dessa Organização e os Estados que tiverem aderido à Convenção sobre as assinaturas, os depósitos dos instrumentos de ratificação, adesão ou denúncia, bem como sobre as eventuais reservas.</w:t>
      </w:r>
    </w:p>
    <w:p w14:paraId="11FCA460" w14:textId="77777777" w:rsidR="003A7B76" w:rsidRPr="00CD5EED" w:rsidRDefault="003A7B76" w:rsidP="00CD5EED">
      <w:pPr>
        <w:spacing w:before="100" w:beforeAutospacing="1" w:after="100" w:afterAutospacing="1" w:line="240" w:lineRule="auto"/>
        <w:rPr>
          <w:rFonts w:ascii="Book Antiqua" w:hAnsi="Book Antiqua"/>
          <w:sz w:val="19"/>
          <w:szCs w:val="19"/>
        </w:rPr>
      </w:pPr>
    </w:p>
    <w:sectPr w:rsidR="003A7B76" w:rsidRPr="00CD5EED" w:rsidSect="00E7318C">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B76"/>
    <w:rsid w:val="003A7B76"/>
    <w:rsid w:val="006271F2"/>
    <w:rsid w:val="0072108E"/>
    <w:rsid w:val="00A427FE"/>
    <w:rsid w:val="00AA3E88"/>
    <w:rsid w:val="00B10446"/>
    <w:rsid w:val="00B45B5D"/>
    <w:rsid w:val="00BD5F28"/>
    <w:rsid w:val="00C621F6"/>
    <w:rsid w:val="00CD5EED"/>
    <w:rsid w:val="00D343B6"/>
    <w:rsid w:val="00E12F9A"/>
    <w:rsid w:val="00E7318C"/>
    <w:rsid w:val="00EB55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1F1CC"/>
  <w15:chartTrackingRefBased/>
  <w15:docId w15:val="{4EFA72F1-609D-405E-A00B-8D473B0B3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CD5E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4940443">
      <w:bodyDiv w:val="1"/>
      <w:marLeft w:val="0"/>
      <w:marRight w:val="0"/>
      <w:marTop w:val="0"/>
      <w:marBottom w:val="0"/>
      <w:divBdr>
        <w:top w:val="none" w:sz="0" w:space="0" w:color="auto"/>
        <w:left w:val="none" w:sz="0" w:space="0" w:color="auto"/>
        <w:bottom w:val="none" w:sz="0" w:space="0" w:color="auto"/>
        <w:right w:val="none" w:sz="0" w:space="0" w:color="auto"/>
      </w:divBdr>
      <w:divsChild>
        <w:div w:id="1312248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gislacao.planalto.gov.br/legisla/legislacao.nsf/Viw_Identificacao/DEC%203.956-2001?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2707</Words>
  <Characters>14621</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8</cp:revision>
  <dcterms:created xsi:type="dcterms:W3CDTF">2021-05-16T16:46:00Z</dcterms:created>
  <dcterms:modified xsi:type="dcterms:W3CDTF">2024-11-06T21:01:00Z</dcterms:modified>
</cp:coreProperties>
</file>