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F6522" w14:textId="35CC3304" w:rsidR="00CA1C84" w:rsidRDefault="00CA1C84" w:rsidP="00CA1C84">
      <w:pPr>
        <w:spacing w:before="100" w:beforeAutospacing="1" w:after="100" w:afterAutospacing="1" w:line="240" w:lineRule="auto"/>
        <w:jc w:val="center"/>
        <w:rPr>
          <w:rFonts w:ascii="Book Antiqua" w:hAnsi="Book Antiqua"/>
          <w:sz w:val="19"/>
          <w:szCs w:val="19"/>
        </w:rPr>
      </w:pPr>
      <w:bookmarkStart w:id="0" w:name="_Hlk159943011"/>
      <w:r w:rsidRPr="00CA249F">
        <w:rPr>
          <w:rStyle w:val="Forte"/>
          <w:rFonts w:ascii="Book Antiqua" w:hAnsi="Book Antiqua" w:cs="Arial"/>
          <w:color w:val="FF0000"/>
          <w:sz w:val="19"/>
          <w:szCs w:val="19"/>
        </w:rPr>
        <w:t xml:space="preserve">(Atualização em </w:t>
      </w:r>
      <w:r w:rsidR="00BB6EDE">
        <w:rPr>
          <w:rStyle w:val="Forte"/>
          <w:rFonts w:ascii="Book Antiqua" w:hAnsi="Book Antiqua" w:cs="Arial"/>
          <w:color w:val="FF0000"/>
          <w:sz w:val="19"/>
          <w:szCs w:val="19"/>
        </w:rPr>
        <w:t>03/03</w:t>
      </w:r>
      <w:r>
        <w:rPr>
          <w:rStyle w:val="Forte"/>
          <w:rFonts w:ascii="Book Antiqua" w:hAnsi="Book Antiqua" w:cs="Arial"/>
          <w:color w:val="FF0000"/>
          <w:sz w:val="19"/>
          <w:szCs w:val="19"/>
        </w:rPr>
        <w:t>/2024</w:t>
      </w:r>
      <w:r w:rsidRPr="00CA249F">
        <w:rPr>
          <w:rStyle w:val="Forte"/>
          <w:rFonts w:ascii="Book Antiqua" w:hAnsi="Book Antiqua" w:cs="Arial"/>
          <w:color w:val="FF0000"/>
          <w:sz w:val="19"/>
          <w:szCs w:val="19"/>
        </w:rPr>
        <w:t>: questões de concurso)</w:t>
      </w:r>
      <w:bookmarkEnd w:id="0"/>
    </w:p>
    <w:p w14:paraId="4B4E1252" w14:textId="1496455B" w:rsidR="00CA1C84" w:rsidRPr="00CA1C84" w:rsidRDefault="00CA1C84" w:rsidP="00CA1C84">
      <w:pPr>
        <w:spacing w:before="100" w:beforeAutospacing="1" w:after="100" w:afterAutospacing="1" w:line="240" w:lineRule="auto"/>
        <w:jc w:val="center"/>
        <w:rPr>
          <w:rFonts w:ascii="Book Antiqua" w:hAnsi="Book Antiqua"/>
          <w:sz w:val="19"/>
          <w:szCs w:val="19"/>
        </w:rPr>
      </w:pPr>
      <w:r w:rsidRPr="00CA1C84">
        <w:rPr>
          <w:rFonts w:ascii="Book Antiqua" w:hAnsi="Book Antiqua"/>
          <w:sz w:val="19"/>
          <w:szCs w:val="19"/>
        </w:rPr>
        <w:t>DECRETO Nº 1.979, DE 9 DE AGOSTO DE 1996</w:t>
      </w:r>
    </w:p>
    <w:p w14:paraId="5FF4EC53" w14:textId="7236F4F3" w:rsidR="00CA1C84" w:rsidRPr="00CA1C84" w:rsidRDefault="00CA1C84" w:rsidP="00CA1C84">
      <w:pPr>
        <w:spacing w:before="100" w:beforeAutospacing="1" w:after="100" w:afterAutospacing="1" w:line="240" w:lineRule="auto"/>
        <w:ind w:firstLine="284"/>
        <w:jc w:val="both"/>
        <w:rPr>
          <w:rFonts w:ascii="Book Antiqua" w:hAnsi="Book Antiqua"/>
          <w:sz w:val="19"/>
          <w:szCs w:val="19"/>
        </w:rPr>
      </w:pPr>
      <w:r w:rsidRPr="00CA1C84">
        <w:rPr>
          <w:rFonts w:ascii="Book Antiqua" w:hAnsi="Book Antiqua"/>
          <w:sz w:val="19"/>
          <w:szCs w:val="19"/>
        </w:rPr>
        <w:t>Promulga a Convenção Interamericana sobre Normas Gerais de Direito Internacional Privado, concluída em Montevidéu, Uruguai, em 8 de maio de 1979.</w:t>
      </w:r>
    </w:p>
    <w:p w14:paraId="5EC02E24" w14:textId="77777777" w:rsid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 xml:space="preserve">     O PRESIDENTE DA REPÚBLICA, no uso das atribuições que lhe confere o art. 84, inciso VIII, da Constituição Federal, e</w:t>
      </w:r>
    </w:p>
    <w:p w14:paraId="46A743D1" w14:textId="5F65C840"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 xml:space="preserve">     Considerando que a Convenção Interamericana sobre Normas Gerais de Direito Internacional Privado foi concluída em Montevidéu, Uruguai, em 8 de maio de 1979;</w:t>
      </w:r>
    </w:p>
    <w:p w14:paraId="7E1FCB51"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 xml:space="preserve">     Considerando que a Convenção ora promulgada foi oportunamente submetida ao Congresso Nacional, que a aprovou por meio do Decreto Legislativo nº 36, de 4 de abril de 1995;</w:t>
      </w:r>
    </w:p>
    <w:p w14:paraId="22065AFB"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 xml:space="preserve">     Considerando que a Convenção em tela entrou em vigor internacional em 10 de junho de 1981; e</w:t>
      </w:r>
    </w:p>
    <w:p w14:paraId="04202386"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 xml:space="preserve">     Considerando que o Governo brasileiro depositou a Carta de Ratificação do instrumento multilateral em epígrafe em 27 de novembro de 1995, passando o mesmo a vigorar, para o Brasil, em 27 de dezembro de 1995, na forma de seu artigo 14;</w:t>
      </w:r>
    </w:p>
    <w:p w14:paraId="685C0C17"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 xml:space="preserve">     DECRETA:</w:t>
      </w:r>
    </w:p>
    <w:p w14:paraId="71A27BA5"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 xml:space="preserve">     Art. 1º. A Convenção Interamericana sobre Normas Gerais de Direito Internacional Privado, concluída em Montevidéu, Uruguai, em 8 de maio de 1979, apensa por cópia ao presente Decreto, deverá ser executada e cumprida tão inteiramente como nela se contém.</w:t>
      </w:r>
    </w:p>
    <w:p w14:paraId="04543BBA"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 xml:space="preserve">     Art. 2º. O presente Decreto entra em vigor na data de sua publicação.</w:t>
      </w:r>
    </w:p>
    <w:p w14:paraId="182750DA" w14:textId="77777777" w:rsidR="00CA1C84" w:rsidRPr="00CA1C84" w:rsidRDefault="00CA1C84" w:rsidP="00CA1C84">
      <w:pPr>
        <w:spacing w:before="100" w:beforeAutospacing="1" w:after="100" w:afterAutospacing="1" w:line="240" w:lineRule="auto"/>
        <w:jc w:val="center"/>
        <w:rPr>
          <w:rFonts w:ascii="Book Antiqua" w:hAnsi="Book Antiqua"/>
          <w:sz w:val="19"/>
          <w:szCs w:val="19"/>
        </w:rPr>
      </w:pPr>
      <w:r w:rsidRPr="00CA1C84">
        <w:rPr>
          <w:rFonts w:ascii="Book Antiqua" w:hAnsi="Book Antiqua"/>
          <w:sz w:val="19"/>
          <w:szCs w:val="19"/>
        </w:rPr>
        <w:t>Brasília, 9 de agosto de 1996; 175º da Independência 108º da República.</w:t>
      </w:r>
    </w:p>
    <w:p w14:paraId="64DDEE92"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FERNANDO HENRIQUE CARDOSO</w:t>
      </w:r>
    </w:p>
    <w:p w14:paraId="311645C9"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Luiz Felipe Lampreia</w:t>
      </w:r>
    </w:p>
    <w:p w14:paraId="3E7FF554"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p>
    <w:p w14:paraId="7F077556" w14:textId="77777777" w:rsidR="00CA1C84" w:rsidRPr="00CA1C84" w:rsidRDefault="00CA1C84" w:rsidP="00CA1C84">
      <w:pPr>
        <w:spacing w:before="100" w:beforeAutospacing="1" w:after="100" w:afterAutospacing="1" w:line="240" w:lineRule="auto"/>
        <w:jc w:val="center"/>
        <w:rPr>
          <w:rFonts w:ascii="Book Antiqua" w:hAnsi="Book Antiqua"/>
          <w:b/>
          <w:bCs/>
          <w:sz w:val="19"/>
          <w:szCs w:val="19"/>
        </w:rPr>
      </w:pPr>
      <w:r w:rsidRPr="00CA1C84">
        <w:rPr>
          <w:rFonts w:ascii="Book Antiqua" w:hAnsi="Book Antiqua"/>
          <w:b/>
          <w:bCs/>
          <w:sz w:val="19"/>
          <w:szCs w:val="19"/>
        </w:rPr>
        <w:t>CONVENÇÃO INTERAMERICANA SOBRE NORMAS GERAIS DE DIREITO INTERNACIONAL PRIVADO</w:t>
      </w:r>
    </w:p>
    <w:p w14:paraId="53370963"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Os Governos dos Estados Membros de Organização dos Estados Americanos, desejosos de concluir uma convenção sobre normas gerais de Direito Internacional Privado, convieram no seguinte:</w:t>
      </w:r>
    </w:p>
    <w:p w14:paraId="3EFB356A"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Artigo 1</w:t>
      </w:r>
    </w:p>
    <w:p w14:paraId="2B51CDAB"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A determinação da norma jurídica aplicável para reger situações vinculadas com o direito estrangeiro ficará sujeita ao disposto nesta Convenção e nas demais convenções internacionais assinaladas, ou que venham a ser assinadas no futuro, em caráter bilateral ou multinacional, pelos Estados Partes.</w:t>
      </w:r>
    </w:p>
    <w:p w14:paraId="091654A5"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Na falta de norma internacional, os Estados Partes aplicarão as regras de conflito do seu direito interno.</w:t>
      </w:r>
    </w:p>
    <w:p w14:paraId="525DD14C" w14:textId="77777777" w:rsidR="00CA1C84" w:rsidRPr="00BB6EDE" w:rsidRDefault="00CA1C84" w:rsidP="00CA1C84">
      <w:pPr>
        <w:spacing w:before="100" w:beforeAutospacing="1" w:after="100" w:afterAutospacing="1" w:line="240" w:lineRule="auto"/>
        <w:jc w:val="both"/>
        <w:rPr>
          <w:rFonts w:ascii="Book Antiqua" w:hAnsi="Book Antiqua"/>
          <w:b/>
          <w:bCs/>
          <w:sz w:val="19"/>
          <w:szCs w:val="19"/>
        </w:rPr>
      </w:pPr>
      <w:r w:rsidRPr="00BB6EDE">
        <w:rPr>
          <w:rFonts w:ascii="Book Antiqua" w:hAnsi="Book Antiqua"/>
          <w:b/>
          <w:bCs/>
          <w:sz w:val="19"/>
          <w:szCs w:val="19"/>
          <w:highlight w:val="magenta"/>
        </w:rPr>
        <w:t>Artigo 2</w:t>
      </w:r>
    </w:p>
    <w:p w14:paraId="6CE16D90" w14:textId="6C354910" w:rsidR="00CA1C84" w:rsidRPr="00CA1C84" w:rsidRDefault="00CA1C84" w:rsidP="00CA1C84">
      <w:pPr>
        <w:spacing w:before="100" w:beforeAutospacing="1" w:after="100" w:afterAutospacing="1" w:line="240" w:lineRule="auto"/>
        <w:jc w:val="both"/>
        <w:rPr>
          <w:rFonts w:ascii="Book Antiqua" w:hAnsi="Book Antiqua"/>
          <w:sz w:val="19"/>
          <w:szCs w:val="19"/>
        </w:rPr>
      </w:pPr>
      <w:r w:rsidRPr="00BB6EDE">
        <w:rPr>
          <w:rFonts w:ascii="Book Antiqua" w:hAnsi="Book Antiqua"/>
          <w:b/>
          <w:bCs/>
          <w:sz w:val="19"/>
          <w:szCs w:val="19"/>
        </w:rPr>
        <w:t xml:space="preserve">Os juízes e as autoridades dos Estados Partes ficarão obrigados a aplicar o direito estrangeiro tal como o fariam os </w:t>
      </w:r>
      <w:proofErr w:type="spellStart"/>
      <w:r w:rsidRPr="00BB6EDE">
        <w:rPr>
          <w:rFonts w:ascii="Book Antiqua" w:hAnsi="Book Antiqua"/>
          <w:b/>
          <w:bCs/>
          <w:sz w:val="19"/>
          <w:szCs w:val="19"/>
        </w:rPr>
        <w:t>juizes</w:t>
      </w:r>
      <w:proofErr w:type="spellEnd"/>
      <w:r w:rsidRPr="00BB6EDE">
        <w:rPr>
          <w:rFonts w:ascii="Book Antiqua" w:hAnsi="Book Antiqua"/>
          <w:b/>
          <w:bCs/>
          <w:sz w:val="19"/>
          <w:szCs w:val="19"/>
        </w:rPr>
        <w:t xml:space="preserve"> do Estado cujo direito seja aplicável, sem prejuízo de que as partes possam alegar e provar a existência e o conteúdo da lei estrangeira invocada</w:t>
      </w:r>
      <w:r w:rsidRPr="00CA1C84">
        <w:rPr>
          <w:rFonts w:ascii="Book Antiqua" w:hAnsi="Book Antiqua"/>
          <w:sz w:val="19"/>
          <w:szCs w:val="19"/>
        </w:rPr>
        <w:t>.</w:t>
      </w:r>
      <w:r w:rsidR="00BB6EDE">
        <w:rPr>
          <w:rFonts w:ascii="Book Antiqua" w:hAnsi="Book Antiqua"/>
          <w:sz w:val="19"/>
          <w:szCs w:val="19"/>
        </w:rPr>
        <w:t xml:space="preserve"> </w:t>
      </w:r>
      <w:bookmarkStart w:id="1" w:name="_Hlk160369101"/>
      <w:r w:rsidR="00BB6EDE" w:rsidRPr="00692966">
        <w:rPr>
          <w:rFonts w:ascii="Book Antiqua" w:eastAsia="Times New Roman" w:hAnsi="Book Antiqua" w:cs="Arial"/>
          <w:b/>
          <w:bCs/>
          <w:color w:val="FF0000"/>
          <w:sz w:val="16"/>
          <w:szCs w:val="16"/>
          <w:u w:val="single"/>
          <w:lang w:eastAsia="pt-BR"/>
        </w:rPr>
        <w:t>(MPF-2015)</w:t>
      </w:r>
      <w:bookmarkEnd w:id="1"/>
    </w:p>
    <w:tbl>
      <w:tblPr>
        <w:tblStyle w:val="Tabelacomgrade"/>
        <w:tblW w:w="0" w:type="auto"/>
        <w:tblLook w:val="04A0" w:firstRow="1" w:lastRow="0" w:firstColumn="1" w:lastColumn="0" w:noHBand="0" w:noVBand="1"/>
      </w:tblPr>
      <w:tblGrid>
        <w:gridCol w:w="8494"/>
      </w:tblGrid>
      <w:tr w:rsidR="00BB6EDE" w14:paraId="356CF6BB" w14:textId="77777777" w:rsidTr="00BB6EDE">
        <w:tc>
          <w:tcPr>
            <w:tcW w:w="8494" w:type="dxa"/>
            <w:shd w:val="clear" w:color="auto" w:fill="CCFFFF"/>
          </w:tcPr>
          <w:p w14:paraId="077F304F" w14:textId="3EBB706F" w:rsidR="00BB6EDE" w:rsidRDefault="00BB6EDE" w:rsidP="00CA1C84">
            <w:pPr>
              <w:spacing w:before="100" w:beforeAutospacing="1" w:after="100" w:afterAutospacing="1"/>
              <w:jc w:val="both"/>
              <w:rPr>
                <w:rFonts w:ascii="Book Antiqua" w:hAnsi="Book Antiqua"/>
                <w:sz w:val="19"/>
                <w:szCs w:val="19"/>
              </w:rPr>
            </w:pPr>
            <w:r>
              <w:rPr>
                <w:rFonts w:ascii="Book Antiqua" w:eastAsia="Times New Roman" w:hAnsi="Book Antiqua" w:cs="Arial"/>
                <w:b/>
                <w:bCs/>
                <w:color w:val="000000"/>
                <w:kern w:val="0"/>
                <w:sz w:val="19"/>
                <w:szCs w:val="19"/>
                <w:lang w:eastAsia="pt-BR"/>
                <w14:ligatures w14:val="none"/>
              </w:rPr>
              <w:lastRenderedPageBreak/>
              <w:t>(</w:t>
            </w:r>
            <w:r w:rsidRPr="00A427BD">
              <w:rPr>
                <w:rFonts w:ascii="Book Antiqua" w:eastAsia="Times New Roman" w:hAnsi="Book Antiqua" w:cs="Arial"/>
                <w:b/>
                <w:bCs/>
                <w:color w:val="000000"/>
                <w:kern w:val="0"/>
                <w:sz w:val="19"/>
                <w:szCs w:val="19"/>
                <w:highlight w:val="yellow"/>
                <w:lang w:eastAsia="pt-BR"/>
                <w14:ligatures w14:val="none"/>
              </w:rPr>
              <w:t>MPF-2015</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Assinale a alternativa correta: </w:t>
            </w:r>
            <w:r w:rsidRPr="00BB6EDE">
              <w:rPr>
                <w:rFonts w:ascii="Book Antiqua" w:eastAsia="Times New Roman" w:hAnsi="Book Antiqua" w:cs="Arial"/>
                <w:color w:val="000000"/>
                <w:kern w:val="0"/>
                <w:sz w:val="19"/>
                <w:szCs w:val="19"/>
                <w:lang w:eastAsia="pt-BR"/>
                <w14:ligatures w14:val="none"/>
              </w:rPr>
              <w:t xml:space="preserve">A interpretação do direito estrangeiro pelo juiz nacional deve ser feita tal como o fariam os </w:t>
            </w:r>
            <w:r w:rsidRPr="00BB6EDE">
              <w:rPr>
                <w:rFonts w:ascii="Book Antiqua" w:eastAsia="Times New Roman" w:hAnsi="Book Antiqua" w:cs="Arial"/>
                <w:color w:val="000000"/>
                <w:kern w:val="0"/>
                <w:sz w:val="19"/>
                <w:szCs w:val="19"/>
                <w:lang w:eastAsia="pt-BR"/>
                <w14:ligatures w14:val="none"/>
              </w:rPr>
              <w:t>juízes</w:t>
            </w:r>
            <w:r w:rsidRPr="00BB6EDE">
              <w:rPr>
                <w:rFonts w:ascii="Book Antiqua" w:eastAsia="Times New Roman" w:hAnsi="Book Antiqua" w:cs="Arial"/>
                <w:color w:val="000000"/>
                <w:kern w:val="0"/>
                <w:sz w:val="19"/>
                <w:szCs w:val="19"/>
                <w:lang w:eastAsia="pt-BR"/>
                <w14:ligatures w14:val="none"/>
              </w:rPr>
              <w:t xml:space="preserve"> do Estado cujo direito seja aplicável.</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w:t>
            </w:r>
            <w:r>
              <w:rPr>
                <w:rFonts w:ascii="Book Antiqua" w:eastAsia="Times New Roman" w:hAnsi="Book Antiqua" w:cs="Arial"/>
                <w:b/>
                <w:bCs/>
                <w:color w:val="000000"/>
                <w:kern w:val="0"/>
                <w:sz w:val="19"/>
                <w:szCs w:val="19"/>
                <w:lang w:eastAsia="pt-BR"/>
                <w14:ligatures w14:val="none"/>
              </w:rPr>
              <w:t>2</w:t>
            </w:r>
            <w:r>
              <w:rPr>
                <w:rFonts w:ascii="Book Antiqua" w:eastAsia="Times New Roman" w:hAnsi="Book Antiqua" w:cs="Arial"/>
                <w:b/>
                <w:bCs/>
                <w:color w:val="000000"/>
                <w:kern w:val="0"/>
                <w:sz w:val="19"/>
                <w:szCs w:val="19"/>
                <w:lang w:eastAsia="pt-BR"/>
                <w14:ligatures w14:val="none"/>
              </w:rPr>
              <w:t xml:space="preserve">º,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w:t>
            </w:r>
          </w:p>
        </w:tc>
      </w:tr>
    </w:tbl>
    <w:p w14:paraId="5539FD0C" w14:textId="431DB909"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Artigo 3</w:t>
      </w:r>
    </w:p>
    <w:p w14:paraId="17FF98DA"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Quando a lei de um Estado Parte previr instituições ou procedimentos essenciais para a sua aplicação adequada e que não sejam previstos na legislação de outro Estado Parte, este poderá negar-se a aplicar a referida lei, desde que tenha instituições ou procedimentos análogos.</w:t>
      </w:r>
    </w:p>
    <w:p w14:paraId="2967F710"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Artigo 4</w:t>
      </w:r>
    </w:p>
    <w:p w14:paraId="3E875B8A"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Todos os recursos previstos na lei processual do lugar do processo serão igualmente admitidos para os casos de aplicação da lei de qualquer dos outros Estados Partes que seja aplicável.</w:t>
      </w:r>
    </w:p>
    <w:p w14:paraId="5D74EDE4"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Artigo 5</w:t>
      </w:r>
    </w:p>
    <w:p w14:paraId="0170E30F"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A lei declarada aplicável por uma convenção de Direito Internacional Privado poderá não ser aplicada no território do Estado Parte que a considerar manifestante contraria aos princípios da sua ordem pública.</w:t>
      </w:r>
    </w:p>
    <w:p w14:paraId="7BFA6F55"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Artigo 6</w:t>
      </w:r>
    </w:p>
    <w:p w14:paraId="4E687147"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Não se aplica como direito estrangeiro o direito de um Estado Parte quando artificiosamente se tenham burlado os princípios fundamentais da lei do outro Estado Parte.</w:t>
      </w:r>
    </w:p>
    <w:p w14:paraId="6983DC34"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Ficará a juízo das autoridades competentes do Estado receptor determinar a intenção fraudulenta das partes interessadas.</w:t>
      </w:r>
    </w:p>
    <w:p w14:paraId="5A2A6E21"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Artigo 7</w:t>
      </w:r>
    </w:p>
    <w:p w14:paraId="444BF633"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As situações jurídicas validamente constituídas em um Estado Parte, e acordo com todas as leis com as quais tenham conexão no momento de sua constituição, serão reconhecidas nos Estados Partes, desde que não contrarias aos princípios da sua ordem pública.</w:t>
      </w:r>
    </w:p>
    <w:p w14:paraId="3C4EBF21" w14:textId="77777777" w:rsidR="00CA1C84" w:rsidRPr="00CA1C84" w:rsidRDefault="00CA1C84" w:rsidP="00CA1C84">
      <w:pPr>
        <w:spacing w:before="100" w:beforeAutospacing="1" w:after="100" w:afterAutospacing="1" w:line="240" w:lineRule="auto"/>
        <w:jc w:val="both"/>
        <w:rPr>
          <w:rFonts w:ascii="Book Antiqua" w:hAnsi="Book Antiqua"/>
          <w:b/>
          <w:bCs/>
          <w:sz w:val="19"/>
          <w:szCs w:val="19"/>
        </w:rPr>
      </w:pPr>
      <w:r w:rsidRPr="00CA1C84">
        <w:rPr>
          <w:rFonts w:ascii="Book Antiqua" w:hAnsi="Book Antiqua"/>
          <w:b/>
          <w:bCs/>
          <w:sz w:val="19"/>
          <w:szCs w:val="19"/>
          <w:highlight w:val="magenta"/>
        </w:rPr>
        <w:t>Artigo 8</w:t>
      </w:r>
    </w:p>
    <w:p w14:paraId="117719E2" w14:textId="7B1B549D"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b/>
          <w:bCs/>
          <w:sz w:val="19"/>
          <w:szCs w:val="19"/>
        </w:rPr>
        <w:t>As questões prévias, preliminares ou incidentes que surjam em decorrência de uma questão principal não devem necessariamente ser resolvidas de acordo com a lei que regula esta última</w:t>
      </w:r>
      <w:r w:rsidRPr="00CA1C84">
        <w:rPr>
          <w:rFonts w:ascii="Book Antiqua" w:hAnsi="Book Antiqua"/>
          <w:sz w:val="19"/>
          <w:szCs w:val="19"/>
        </w:rPr>
        <w:t>.</w:t>
      </w:r>
      <w:r>
        <w:rPr>
          <w:rFonts w:ascii="Book Antiqua" w:hAnsi="Book Antiqua"/>
          <w:sz w:val="19"/>
          <w:szCs w:val="19"/>
        </w:rPr>
        <w:t xml:space="preserve"> </w:t>
      </w:r>
      <w:r w:rsidRPr="00A25FAE">
        <w:rPr>
          <w:rFonts w:ascii="Book Antiqua" w:hAnsi="Book Antiqua"/>
          <w:b/>
          <w:bCs/>
          <w:color w:val="FF0000"/>
          <w:sz w:val="16"/>
          <w:szCs w:val="16"/>
          <w:u w:val="single"/>
        </w:rPr>
        <w:t>(MPF-2015)</w:t>
      </w:r>
    </w:p>
    <w:tbl>
      <w:tblPr>
        <w:tblStyle w:val="Tabelacomgrade"/>
        <w:tblW w:w="0" w:type="auto"/>
        <w:tblLook w:val="04A0" w:firstRow="1" w:lastRow="0" w:firstColumn="1" w:lastColumn="0" w:noHBand="0" w:noVBand="1"/>
      </w:tblPr>
      <w:tblGrid>
        <w:gridCol w:w="8494"/>
      </w:tblGrid>
      <w:tr w:rsidR="00CA1C84" w14:paraId="3BA8A7C7" w14:textId="77777777" w:rsidTr="00CA1C84">
        <w:tc>
          <w:tcPr>
            <w:tcW w:w="8494" w:type="dxa"/>
            <w:shd w:val="clear" w:color="auto" w:fill="CCFFFF"/>
          </w:tcPr>
          <w:p w14:paraId="0B57A02D" w14:textId="2BE55525" w:rsidR="00CA1C84" w:rsidRPr="00CA1C84" w:rsidRDefault="00CA1C84" w:rsidP="00CA1C84">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CA1C84">
              <w:rPr>
                <w:rFonts w:ascii="Book Antiqua" w:hAnsi="Book Antiqua"/>
                <w:b/>
                <w:bCs/>
                <w:sz w:val="19"/>
                <w:szCs w:val="19"/>
                <w:highlight w:val="yellow"/>
              </w:rPr>
              <w:t>MPF-2015</w:t>
            </w:r>
            <w:r>
              <w:rPr>
                <w:rFonts w:ascii="Book Antiqua" w:hAnsi="Book Antiqua"/>
                <w:b/>
                <w:bCs/>
                <w:sz w:val="19"/>
                <w:szCs w:val="19"/>
              </w:rPr>
              <w:t>)</w:t>
            </w:r>
            <w:r>
              <w:rPr>
                <w:rFonts w:ascii="Book Antiqua" w:hAnsi="Book Antiqua"/>
                <w:sz w:val="19"/>
                <w:szCs w:val="19"/>
              </w:rPr>
              <w:t xml:space="preserve">: Assinale a alternativa correta: </w:t>
            </w:r>
            <w:r w:rsidRPr="00CA1C84">
              <w:rPr>
                <w:rFonts w:ascii="Book Antiqua" w:hAnsi="Book Antiqua"/>
                <w:sz w:val="19"/>
                <w:szCs w:val="19"/>
              </w:rPr>
              <w:t>A Convenção Interamericana sobre Normas Gerais de Direito Internacional Privado prevê que as questões prévias, preliminares ou incidentes que surjam em decorrência de uma questão principal não devem necessariamente ser resolvidas de acordo com a lei que regula esta última.</w:t>
            </w:r>
            <w:r>
              <w:rPr>
                <w:rFonts w:ascii="Book Antiqua" w:hAnsi="Book Antiqua"/>
                <w:sz w:val="19"/>
                <w:szCs w:val="19"/>
              </w:rPr>
              <w:t xml:space="preserve"> </w:t>
            </w:r>
            <w:r>
              <w:rPr>
                <w:rFonts w:ascii="Book Antiqua" w:hAnsi="Book Antiqua"/>
                <w:b/>
                <w:bCs/>
                <w:sz w:val="19"/>
                <w:szCs w:val="19"/>
              </w:rPr>
              <w:t xml:space="preserve">BL: art. 8º, </w:t>
            </w:r>
            <w:proofErr w:type="spellStart"/>
            <w:r>
              <w:rPr>
                <w:rFonts w:ascii="Book Antiqua" w:hAnsi="Book Antiqua"/>
                <w:b/>
                <w:bCs/>
                <w:sz w:val="19"/>
                <w:szCs w:val="19"/>
              </w:rPr>
              <w:t>Conv</w:t>
            </w:r>
            <w:proofErr w:type="spellEnd"/>
            <w:r>
              <w:rPr>
                <w:rFonts w:ascii="Book Antiqua" w:hAnsi="Book Antiqua"/>
                <w:b/>
                <w:bCs/>
                <w:sz w:val="19"/>
                <w:szCs w:val="19"/>
              </w:rPr>
              <w:t>.</w:t>
            </w:r>
          </w:p>
        </w:tc>
      </w:tr>
    </w:tbl>
    <w:p w14:paraId="2F3AD10F" w14:textId="4513E624"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Artigo 9</w:t>
      </w:r>
    </w:p>
    <w:p w14:paraId="1DBF56D1"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As diversas leis que podem ser competentes para regular os diferentes aspectos de uma mesma relação jurídica serão aplicadas de maneira harmônica, procurando-se realizar os fins colimados por cada uma das referidas legislações. As dificuldades que forem causadas por sua aplicação simultânea serão resolvidas levando-se em conta as exigências impostas pela equidade no caso concreto.</w:t>
      </w:r>
    </w:p>
    <w:p w14:paraId="4BBB8AA4"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Artigo 10</w:t>
      </w:r>
    </w:p>
    <w:p w14:paraId="65F699B3"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Esta Convenção ficará aberta à assinatura dos Estados Membros da Organização dos Estados Americanos.</w:t>
      </w:r>
    </w:p>
    <w:p w14:paraId="21312DA2"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Artigo 11</w:t>
      </w:r>
    </w:p>
    <w:p w14:paraId="66FABDDB"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lastRenderedPageBreak/>
        <w:t xml:space="preserve">Esta Convenção está sujeita a ratificação. Os instrumentos de ratificação serão depositados na </w:t>
      </w:r>
      <w:proofErr w:type="spellStart"/>
      <w:r w:rsidRPr="00CA1C84">
        <w:rPr>
          <w:rFonts w:ascii="Book Antiqua" w:hAnsi="Book Antiqua"/>
          <w:sz w:val="19"/>
          <w:szCs w:val="19"/>
        </w:rPr>
        <w:t>Secretaria-Geral</w:t>
      </w:r>
      <w:proofErr w:type="spellEnd"/>
      <w:r w:rsidRPr="00CA1C84">
        <w:rPr>
          <w:rFonts w:ascii="Book Antiqua" w:hAnsi="Book Antiqua"/>
          <w:sz w:val="19"/>
          <w:szCs w:val="19"/>
        </w:rPr>
        <w:t xml:space="preserve"> da Organização dos Estados Americanos.</w:t>
      </w:r>
    </w:p>
    <w:p w14:paraId="40E67769"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Artigo 12</w:t>
      </w:r>
    </w:p>
    <w:p w14:paraId="1869CF3C"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 xml:space="preserve">Esta Convenção ficará aberta a adesão de qualquer outro Estado. Os instrumentos de adesão serão depositados na </w:t>
      </w:r>
      <w:proofErr w:type="spellStart"/>
      <w:r w:rsidRPr="00CA1C84">
        <w:rPr>
          <w:rFonts w:ascii="Book Antiqua" w:hAnsi="Book Antiqua"/>
          <w:sz w:val="19"/>
          <w:szCs w:val="19"/>
        </w:rPr>
        <w:t>Secretaria-Geral</w:t>
      </w:r>
      <w:proofErr w:type="spellEnd"/>
      <w:r w:rsidRPr="00CA1C84">
        <w:rPr>
          <w:rFonts w:ascii="Book Antiqua" w:hAnsi="Book Antiqua"/>
          <w:sz w:val="19"/>
          <w:szCs w:val="19"/>
        </w:rPr>
        <w:t xml:space="preserve"> da Organização dos Estados Americanos.</w:t>
      </w:r>
    </w:p>
    <w:p w14:paraId="685272FD"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Artigo 13</w:t>
      </w:r>
    </w:p>
    <w:p w14:paraId="6059EC65"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Cada Estado poderá formular reservas a esta Convenção no momento de assiná-la, ratificá-la ou a ela aderir, desde que a reserva verse sobre uma ou mais disposições especificas e que não seja incompatível com o objetivo e fim da Convenção.</w:t>
      </w:r>
    </w:p>
    <w:p w14:paraId="3C52EB01"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Artigo 14</w:t>
      </w:r>
    </w:p>
    <w:p w14:paraId="486C8849"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Esta Convenção entrará em vigor no trigésimo dia a partir da data em que haja sido depositado o segundo instrumento de ratificação. Para cada Estado que ratificar a Convenção ou ela aderir depois de haver sido depositado o segundo instrumento de ratificação, a Convenção entrará em vigor no trigésimo dias a partir da data em que tal Estado haja depositado seu instrumento de ratificação ou adesão.</w:t>
      </w:r>
    </w:p>
    <w:p w14:paraId="6E5A1C1C"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Artigo 15</w:t>
      </w:r>
    </w:p>
    <w:p w14:paraId="0DD35362"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Os Estados Partes que tenham duas ou mais unidades territoriais em que vigorem sistemas jurídicos diferentes com relação a questões de que trata esta Convenção poderão declarar, no momento da assinatura, ratificação ou adesão, que a Convenção se aplicará a todas as suas unidades territoriais ou somente a uma ou mais delas.</w:t>
      </w:r>
    </w:p>
    <w:p w14:paraId="51CB08B8"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 xml:space="preserve">Tais declarações poderão ser modificadas mediante declarações ulteriores, que especificarão expressamente a ou as unidades territoriais a que se aplicará esta Convenção. Tais declarações ulteriores serão transmitidas a </w:t>
      </w:r>
      <w:proofErr w:type="spellStart"/>
      <w:r w:rsidRPr="00CA1C84">
        <w:rPr>
          <w:rFonts w:ascii="Book Antiqua" w:hAnsi="Book Antiqua"/>
          <w:sz w:val="19"/>
          <w:szCs w:val="19"/>
        </w:rPr>
        <w:t>Secretaria-Geral</w:t>
      </w:r>
      <w:proofErr w:type="spellEnd"/>
      <w:r w:rsidRPr="00CA1C84">
        <w:rPr>
          <w:rFonts w:ascii="Book Antiqua" w:hAnsi="Book Antiqua"/>
          <w:sz w:val="19"/>
          <w:szCs w:val="19"/>
        </w:rPr>
        <w:t xml:space="preserve"> da Organização dos Estados Americanos e surtirão efeito trinta dias depois de recebidas.</w:t>
      </w:r>
    </w:p>
    <w:p w14:paraId="11152DE2"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Artigo 16</w:t>
      </w:r>
    </w:p>
    <w:p w14:paraId="04FF6F56"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 xml:space="preserve">Esta Convenção vigorará por prazo indefinido, mas qualquer dos Estados Partes poderá denunciá-la. O instrumento de denuncia será depositado na </w:t>
      </w:r>
      <w:proofErr w:type="spellStart"/>
      <w:r w:rsidRPr="00CA1C84">
        <w:rPr>
          <w:rFonts w:ascii="Book Antiqua" w:hAnsi="Book Antiqua"/>
          <w:sz w:val="19"/>
          <w:szCs w:val="19"/>
        </w:rPr>
        <w:t>Secretaria-Geral</w:t>
      </w:r>
      <w:proofErr w:type="spellEnd"/>
      <w:r w:rsidRPr="00CA1C84">
        <w:rPr>
          <w:rFonts w:ascii="Book Antiqua" w:hAnsi="Book Antiqua"/>
          <w:sz w:val="19"/>
          <w:szCs w:val="19"/>
        </w:rPr>
        <w:t xml:space="preserve"> da Organização dos Estados Americanos. Transcorrido um ano, contato a partir da data do depósito do instrumento de </w:t>
      </w:r>
      <w:proofErr w:type="spellStart"/>
      <w:r w:rsidRPr="00CA1C84">
        <w:rPr>
          <w:rFonts w:ascii="Book Antiqua" w:hAnsi="Book Antiqua"/>
          <w:sz w:val="19"/>
          <w:szCs w:val="19"/>
        </w:rPr>
        <w:t>denuncia</w:t>
      </w:r>
      <w:proofErr w:type="spellEnd"/>
      <w:r w:rsidRPr="00CA1C84">
        <w:rPr>
          <w:rFonts w:ascii="Book Antiqua" w:hAnsi="Book Antiqua"/>
          <w:sz w:val="19"/>
          <w:szCs w:val="19"/>
        </w:rPr>
        <w:t>, cessarão os efeitos da Convenção para o Estado denunciante, continuando ela subsistente para os demais Estados Partes.</w:t>
      </w:r>
    </w:p>
    <w:p w14:paraId="11F40C9F"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Artigo 17</w:t>
      </w:r>
    </w:p>
    <w:p w14:paraId="20200754"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 xml:space="preserve">O Instrumento original desta Convenção, cujos textos em português, espanhol, francês e inglês são igualmente autênticos, será depositado na </w:t>
      </w:r>
      <w:proofErr w:type="spellStart"/>
      <w:r w:rsidRPr="00CA1C84">
        <w:rPr>
          <w:rFonts w:ascii="Book Antiqua" w:hAnsi="Book Antiqua"/>
          <w:sz w:val="19"/>
          <w:szCs w:val="19"/>
        </w:rPr>
        <w:t>Secretaria-Geral</w:t>
      </w:r>
      <w:proofErr w:type="spellEnd"/>
      <w:r w:rsidRPr="00CA1C84">
        <w:rPr>
          <w:rFonts w:ascii="Book Antiqua" w:hAnsi="Book Antiqua"/>
          <w:sz w:val="19"/>
          <w:szCs w:val="19"/>
        </w:rPr>
        <w:t xml:space="preserve"> da Organização dos Estados Americanos, que enviará cópia autenticada do seu texto para o respectivo registro e publicação à Secretaria das Nações Unidas, de conformidade com o artigo 102 da sua Carta constitutiva. A </w:t>
      </w:r>
      <w:proofErr w:type="spellStart"/>
      <w:r w:rsidRPr="00CA1C84">
        <w:rPr>
          <w:rFonts w:ascii="Book Antiqua" w:hAnsi="Book Antiqua"/>
          <w:sz w:val="19"/>
          <w:szCs w:val="19"/>
        </w:rPr>
        <w:t>Secretaria-Geral</w:t>
      </w:r>
      <w:proofErr w:type="spellEnd"/>
      <w:r w:rsidRPr="00CA1C84">
        <w:rPr>
          <w:rFonts w:ascii="Book Antiqua" w:hAnsi="Book Antiqua"/>
          <w:sz w:val="19"/>
          <w:szCs w:val="19"/>
        </w:rPr>
        <w:t xml:space="preserve"> d9oa Organização dos Estados Americanos notificará aos Estados membros da referida Organização, e os Estados que houverem, aderido à Convenção, as assinaturas e os depósitos de instrumentos de ratificação, de adesão e de denúncia, bem como as reservas que houver. Outrossim, transmitirá aos mesmos as declarações previstas no artigo 15 desta Convenção.</w:t>
      </w:r>
    </w:p>
    <w:p w14:paraId="50572E98"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Em fé do que, os plenipotenciários infra-assinados, devidamente autorizados por seus respectivos Governos, firmam esta Convenção.</w:t>
      </w:r>
    </w:p>
    <w:p w14:paraId="0460EB59"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Feita na cidade de Montevidéu, República Oriental do Uruguai, no dia oito de maio de mil novecentos e setenta e nove.</w:t>
      </w:r>
    </w:p>
    <w:p w14:paraId="1FF859EB" w14:textId="77777777" w:rsidR="00CA1C84" w:rsidRDefault="00CA1C84" w:rsidP="00CA1C84">
      <w:pPr>
        <w:spacing w:before="100" w:beforeAutospacing="1" w:after="100" w:afterAutospacing="1" w:line="240" w:lineRule="auto"/>
        <w:jc w:val="both"/>
        <w:rPr>
          <w:rFonts w:ascii="Book Antiqua" w:hAnsi="Book Antiqua"/>
          <w:sz w:val="19"/>
          <w:szCs w:val="19"/>
        </w:rPr>
      </w:pPr>
    </w:p>
    <w:p w14:paraId="01DA7729" w14:textId="52E1153B"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Este texto não substitui o original publicado no Diário Oficial da União - Seção 1 de 12/08/1996</w:t>
      </w:r>
    </w:p>
    <w:p w14:paraId="74D304AE" w14:textId="77777777" w:rsidR="00CA1C84" w:rsidRDefault="00CA1C84" w:rsidP="00CA1C84">
      <w:pPr>
        <w:spacing w:before="100" w:beforeAutospacing="1" w:after="100" w:afterAutospacing="1" w:line="240" w:lineRule="auto"/>
        <w:jc w:val="both"/>
        <w:rPr>
          <w:rFonts w:ascii="Book Antiqua" w:hAnsi="Book Antiqua"/>
          <w:sz w:val="19"/>
          <w:szCs w:val="19"/>
        </w:rPr>
      </w:pPr>
    </w:p>
    <w:p w14:paraId="5712172D" w14:textId="159E4BEA"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Publicação:</w:t>
      </w:r>
    </w:p>
    <w:p w14:paraId="6C1007F0" w14:textId="77777777" w:rsidR="00CA1C84"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Diário Oficial da União - Seção 1 - 12/8/1996, Página 15177 (Publicação Original)</w:t>
      </w:r>
    </w:p>
    <w:p w14:paraId="2D4155A9" w14:textId="3E0D8649" w:rsidR="00BB7FE6" w:rsidRPr="00CA1C84" w:rsidRDefault="00CA1C84" w:rsidP="00CA1C84">
      <w:pPr>
        <w:spacing w:before="100" w:beforeAutospacing="1" w:after="100" w:afterAutospacing="1" w:line="240" w:lineRule="auto"/>
        <w:jc w:val="both"/>
        <w:rPr>
          <w:rFonts w:ascii="Book Antiqua" w:hAnsi="Book Antiqua"/>
          <w:sz w:val="19"/>
          <w:szCs w:val="19"/>
        </w:rPr>
      </w:pPr>
      <w:r w:rsidRPr="00CA1C84">
        <w:rPr>
          <w:rFonts w:ascii="Book Antiqua" w:hAnsi="Book Antiqua"/>
          <w:sz w:val="19"/>
          <w:szCs w:val="19"/>
        </w:rPr>
        <w:t>Coleção de Leis do Brasil - 1996, Página 3967 Vol. 8 (Publicação Original)</w:t>
      </w:r>
    </w:p>
    <w:sectPr w:rsidR="00BB7FE6" w:rsidRPr="00CA1C84" w:rsidSect="00C82095">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0D1ED6"/>
    <w:multiLevelType w:val="multilevel"/>
    <w:tmpl w:val="61E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364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E10"/>
    <w:rsid w:val="007F4E10"/>
    <w:rsid w:val="00BB6EDE"/>
    <w:rsid w:val="00BB7FE6"/>
    <w:rsid w:val="00C82095"/>
    <w:rsid w:val="00CA1C84"/>
    <w:rsid w:val="00D346F6"/>
    <w:rsid w:val="00F549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CC088"/>
  <w15:chartTrackingRefBased/>
  <w15:docId w15:val="{0F6C17C2-517E-4D2B-82E7-2876B182D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CA1C84"/>
    <w:rPr>
      <w:b/>
      <w:bCs/>
    </w:rPr>
  </w:style>
  <w:style w:type="table" w:styleId="Tabelacomgrade">
    <w:name w:val="Table Grid"/>
    <w:basedOn w:val="Tabelanormal"/>
    <w:uiPriority w:val="39"/>
    <w:rsid w:val="00CA1C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8241476">
      <w:bodyDiv w:val="1"/>
      <w:marLeft w:val="0"/>
      <w:marRight w:val="0"/>
      <w:marTop w:val="0"/>
      <w:marBottom w:val="0"/>
      <w:divBdr>
        <w:top w:val="none" w:sz="0" w:space="0" w:color="auto"/>
        <w:left w:val="none" w:sz="0" w:space="0" w:color="auto"/>
        <w:bottom w:val="none" w:sz="0" w:space="0" w:color="auto"/>
        <w:right w:val="none" w:sz="0" w:space="0" w:color="auto"/>
      </w:divBdr>
      <w:divsChild>
        <w:div w:id="986936866">
          <w:marLeft w:val="0"/>
          <w:marRight w:val="0"/>
          <w:marTop w:val="0"/>
          <w:marBottom w:val="0"/>
          <w:divBdr>
            <w:top w:val="none" w:sz="0" w:space="0" w:color="auto"/>
            <w:left w:val="none" w:sz="0" w:space="0" w:color="auto"/>
            <w:bottom w:val="none" w:sz="0" w:space="0" w:color="auto"/>
            <w:right w:val="none" w:sz="0" w:space="0" w:color="auto"/>
          </w:divBdr>
        </w:div>
        <w:div w:id="423379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D0A8-383C-45AC-AD40-A80E8CED0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1299</Words>
  <Characters>7019</Characters>
  <Application>Microsoft Office Word</Application>
  <DocSecurity>0</DocSecurity>
  <Lines>58</Lines>
  <Paragraphs>16</Paragraphs>
  <ScaleCrop>false</ScaleCrop>
  <Company/>
  <LinksUpToDate>false</LinksUpToDate>
  <CharactersWithSpaces>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2024-02-27T19:15:00Z</dcterms:created>
  <dcterms:modified xsi:type="dcterms:W3CDTF">2024-03-03T17:43:00Z</dcterms:modified>
</cp:coreProperties>
</file>