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51217" w14:textId="045A10BF" w:rsidR="00CA249F" w:rsidRPr="00CA249F" w:rsidRDefault="00CA249F" w:rsidP="00FA7C81">
      <w:pPr>
        <w:pStyle w:val="NormalWeb"/>
        <w:jc w:val="center"/>
        <w:rPr>
          <w:rStyle w:val="Forte"/>
          <w:rFonts w:ascii="Book Antiqua" w:hAnsi="Book Antiqua" w:cs="Arial"/>
          <w:color w:val="FF0000"/>
          <w:sz w:val="19"/>
          <w:szCs w:val="19"/>
        </w:rPr>
      </w:pPr>
      <w:bookmarkStart w:id="0" w:name="_Hlk159943011"/>
      <w:r w:rsidRPr="00CA249F">
        <w:rPr>
          <w:rStyle w:val="Forte"/>
          <w:rFonts w:ascii="Book Antiqua" w:hAnsi="Book Antiqua" w:cs="Arial"/>
          <w:color w:val="FF0000"/>
          <w:sz w:val="19"/>
          <w:szCs w:val="19"/>
        </w:rPr>
        <w:t xml:space="preserve">(Atualização em </w:t>
      </w:r>
      <w:r w:rsidR="00A25FAE">
        <w:rPr>
          <w:rStyle w:val="Forte"/>
          <w:rFonts w:ascii="Book Antiqua" w:hAnsi="Book Antiqua" w:cs="Arial"/>
          <w:color w:val="FF0000"/>
          <w:sz w:val="19"/>
          <w:szCs w:val="19"/>
        </w:rPr>
        <w:t>27/02/2024</w:t>
      </w:r>
      <w:r w:rsidRPr="00CA249F">
        <w:rPr>
          <w:rStyle w:val="Forte"/>
          <w:rFonts w:ascii="Book Antiqua" w:hAnsi="Book Antiqua" w:cs="Arial"/>
          <w:color w:val="FF0000"/>
          <w:sz w:val="19"/>
          <w:szCs w:val="19"/>
        </w:rPr>
        <w:t>: questões de concurso)</w:t>
      </w:r>
      <w:bookmarkEnd w:id="0"/>
    </w:p>
    <w:p w14:paraId="36FC5CE2" w14:textId="58F5C7F6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Style w:val="Forte"/>
          <w:rFonts w:ascii="Book Antiqua" w:hAnsi="Book Antiqua" w:cs="Arial"/>
          <w:color w:val="000000"/>
          <w:sz w:val="19"/>
          <w:szCs w:val="19"/>
        </w:rPr>
        <w:t>CONVENÇÃO INTERAMERICANA SOBRE PERSONALIDADE E CAPACIDADE DE PESSOAS JURÍDICAS NO DIREITO INTERNACIONAL PRIVADO</w:t>
      </w:r>
    </w:p>
    <w:p w14:paraId="0A842D3C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 xml:space="preserve">Os governos dos Estados membros da Organização dos Estados Americanos, desejosos de concluir uma convenção sobre personalidade e capacidade de pessoas jurídicas no direito internacional privado, convieram no </w:t>
      </w:r>
      <w:proofErr w:type="spellStart"/>
      <w:r w:rsidRPr="00604CE7">
        <w:rPr>
          <w:rFonts w:ascii="Book Antiqua" w:hAnsi="Book Antiqua" w:cs="Arial"/>
          <w:color w:val="000000"/>
          <w:sz w:val="19"/>
          <w:szCs w:val="19"/>
        </w:rPr>
        <w:t>siguiente</w:t>
      </w:r>
      <w:proofErr w:type="spellEnd"/>
      <w:r w:rsidRPr="00604CE7">
        <w:rPr>
          <w:rFonts w:ascii="Book Antiqua" w:hAnsi="Book Antiqua" w:cs="Arial"/>
          <w:color w:val="000000"/>
          <w:sz w:val="19"/>
          <w:szCs w:val="19"/>
        </w:rPr>
        <w:t>:</w:t>
      </w:r>
    </w:p>
    <w:p w14:paraId="0BC81631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1</w:t>
      </w:r>
    </w:p>
    <w:p w14:paraId="1607FC8B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Esta Convenção aplicar-se-á às pessoas jurídicas constituídas em qualquer dos Estados Partes, entendendo-se por pessoa jurídica toda entidade que tenha existência e responsabilidade próprias, distintas das dos seus membros ou fundadores e que seja qualificada como pessoa jurídica segundo a lei do lugar de sua constituição.</w:t>
      </w:r>
    </w:p>
    <w:p w14:paraId="4B701073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 xml:space="preserve">Esta Convenção será aplicada sem prejuízo de convenções específicas que tenham por objetivo categorias especiais de pessoas jurídicas. </w:t>
      </w:r>
    </w:p>
    <w:p w14:paraId="2533EF36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b/>
          <w:color w:val="000000"/>
          <w:sz w:val="19"/>
          <w:szCs w:val="19"/>
        </w:rPr>
      </w:pPr>
      <w:r w:rsidRPr="00604CE7">
        <w:rPr>
          <w:rFonts w:ascii="Book Antiqua" w:hAnsi="Book Antiqua" w:cs="Arial"/>
          <w:b/>
          <w:color w:val="000000"/>
          <w:sz w:val="19"/>
          <w:szCs w:val="19"/>
          <w:highlight w:val="magenta"/>
        </w:rPr>
        <w:t>Artigo 2</w:t>
      </w:r>
    </w:p>
    <w:p w14:paraId="546C9F84" w14:textId="706F4DD4" w:rsidR="00FA7C81" w:rsidRPr="00A25FAE" w:rsidRDefault="00FA7C81" w:rsidP="00FA7C81">
      <w:pPr>
        <w:pStyle w:val="NormalWeb"/>
        <w:jc w:val="both"/>
        <w:rPr>
          <w:rFonts w:ascii="Book Antiqua" w:hAnsi="Book Antiqua" w:cs="Arial"/>
          <w:b/>
          <w:bCs/>
          <w:color w:val="000000"/>
          <w:sz w:val="18"/>
          <w:szCs w:val="18"/>
        </w:rPr>
      </w:pPr>
      <w:r w:rsidRPr="00A25FAE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A </w:t>
      </w:r>
      <w:r w:rsidRPr="00A25FAE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existência</w:t>
      </w:r>
      <w:r w:rsidRPr="00A25FAE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, a capacidade de ser titular de direitos e obrigações, o funcionamento, a dissolução e a fusão </w:t>
      </w:r>
      <w:r w:rsidRPr="00A25FAE">
        <w:rPr>
          <w:rFonts w:ascii="Book Antiqua" w:hAnsi="Book Antiqua" w:cs="Arial"/>
          <w:b/>
          <w:bCs/>
          <w:color w:val="000000"/>
          <w:sz w:val="19"/>
          <w:szCs w:val="19"/>
          <w:highlight w:val="yellow"/>
        </w:rPr>
        <w:t>das pessoas jurídicas de caráter privado</w:t>
      </w:r>
      <w:r w:rsidRPr="00A25FAE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</w:t>
      </w:r>
      <w:r w:rsidRPr="00A25FAE">
        <w:rPr>
          <w:rFonts w:ascii="Book Antiqua" w:hAnsi="Book Antiqua" w:cs="Arial"/>
          <w:b/>
          <w:bCs/>
          <w:caps/>
          <w:color w:val="000000"/>
          <w:sz w:val="19"/>
          <w:szCs w:val="19"/>
          <w:highlight w:val="green"/>
        </w:rPr>
        <w:t>serão regidos</w:t>
      </w:r>
      <w:r w:rsidRPr="00A25FAE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</w:t>
      </w:r>
      <w:r w:rsidRPr="00A25FAE">
        <w:rPr>
          <w:rFonts w:ascii="Book Antiqua" w:hAnsi="Book Antiqua" w:cs="Arial"/>
          <w:b/>
          <w:bCs/>
          <w:color w:val="000000"/>
          <w:sz w:val="19"/>
          <w:szCs w:val="19"/>
          <w:highlight w:val="cyan"/>
        </w:rPr>
        <w:t>pela lei do lugar de sua constituição</w:t>
      </w:r>
      <w:r w:rsidRPr="00A25FAE">
        <w:rPr>
          <w:rFonts w:ascii="Book Antiqua" w:hAnsi="Book Antiqua" w:cs="Arial"/>
          <w:b/>
          <w:bCs/>
          <w:color w:val="000000"/>
          <w:sz w:val="18"/>
          <w:szCs w:val="18"/>
        </w:rPr>
        <w:t>.</w:t>
      </w:r>
      <w:r w:rsidR="00CA249F" w:rsidRPr="00A25FAE">
        <w:rPr>
          <w:rFonts w:ascii="Book Antiqua" w:hAnsi="Book Antiqua" w:cs="Arial"/>
          <w:b/>
          <w:bCs/>
          <w:color w:val="000000"/>
          <w:sz w:val="18"/>
          <w:szCs w:val="18"/>
        </w:rPr>
        <w:t xml:space="preserve"> </w:t>
      </w:r>
      <w:r w:rsidR="00CA249F" w:rsidRPr="00A25FA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(MPF-2017)</w:t>
      </w:r>
    </w:p>
    <w:p w14:paraId="66306DEE" w14:textId="2D40AB31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A25FAE">
        <w:rPr>
          <w:rFonts w:ascii="Book Antiqua" w:hAnsi="Book Antiqua" w:cs="Arial"/>
          <w:b/>
          <w:bCs/>
          <w:color w:val="000000"/>
          <w:sz w:val="19"/>
          <w:szCs w:val="19"/>
        </w:rPr>
        <w:t>Entender-se-á por "lei do lugar de sua constituição" a do Estado Parte em que forem cumpridos os requisitos de forma e fundo necessários à criação das referidas pessoas.</w:t>
      </w:r>
      <w:r w:rsidR="00A25FAE">
        <w:rPr>
          <w:rFonts w:ascii="Book Antiqua" w:hAnsi="Book Antiqua" w:cs="Arial"/>
          <w:color w:val="000000"/>
          <w:sz w:val="19"/>
          <w:szCs w:val="19"/>
        </w:rPr>
        <w:t xml:space="preserve"> </w:t>
      </w:r>
      <w:r w:rsidR="00A25FAE" w:rsidRPr="00A25FAE">
        <w:rPr>
          <w:rFonts w:ascii="Book Antiqua" w:hAnsi="Book Antiqua"/>
          <w:b/>
          <w:color w:val="FF0000"/>
          <w:sz w:val="16"/>
          <w:szCs w:val="16"/>
          <w:u w:val="single"/>
        </w:rPr>
        <w:t>(MPF-2017)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FA7C81" w:rsidRPr="00604CE7" w14:paraId="3077489E" w14:textId="77777777" w:rsidTr="00FA7C81">
        <w:tc>
          <w:tcPr>
            <w:tcW w:w="8494" w:type="dxa"/>
            <w:shd w:val="clear" w:color="auto" w:fill="CCFFFF"/>
          </w:tcPr>
          <w:p w14:paraId="1560750E" w14:textId="40DB92B8" w:rsidR="00FA7C81" w:rsidRPr="00604CE7" w:rsidRDefault="00FA7C81" w:rsidP="00FA7C81">
            <w:pPr>
              <w:pStyle w:val="NormalWeb"/>
              <w:jc w:val="both"/>
              <w:rPr>
                <w:rFonts w:ascii="Book Antiqua" w:hAnsi="Book Antiqua" w:cs="Arial"/>
                <w:b/>
                <w:color w:val="000000"/>
                <w:sz w:val="19"/>
                <w:szCs w:val="19"/>
              </w:rPr>
            </w:pPr>
            <w:r w:rsidRPr="00604CE7">
              <w:rPr>
                <w:rFonts w:ascii="Book Antiqua" w:hAnsi="Book Antiqua" w:cs="Arial"/>
                <w:b/>
                <w:color w:val="000000"/>
                <w:sz w:val="19"/>
                <w:szCs w:val="19"/>
              </w:rPr>
              <w:t>(</w:t>
            </w:r>
            <w:r w:rsidRPr="00604CE7">
              <w:rPr>
                <w:rFonts w:ascii="Book Antiqua" w:hAnsi="Book Antiqua" w:cs="Arial"/>
                <w:b/>
                <w:color w:val="000000"/>
                <w:sz w:val="19"/>
                <w:szCs w:val="19"/>
                <w:highlight w:val="yellow"/>
              </w:rPr>
              <w:t>MPF-2017</w:t>
            </w:r>
            <w:r w:rsidRPr="00604CE7">
              <w:rPr>
                <w:rFonts w:ascii="Book Antiqua" w:hAnsi="Book Antiqua" w:cs="Arial"/>
                <w:b/>
                <w:color w:val="000000"/>
                <w:sz w:val="19"/>
                <w:szCs w:val="19"/>
              </w:rPr>
              <w:t>)</w:t>
            </w:r>
            <w:r w:rsidRPr="00604CE7">
              <w:rPr>
                <w:rFonts w:ascii="Book Antiqua" w:hAnsi="Book Antiqua" w:cs="Arial"/>
                <w:color w:val="000000"/>
                <w:sz w:val="19"/>
                <w:szCs w:val="19"/>
              </w:rPr>
              <w:t>:</w:t>
            </w:r>
            <w:r w:rsidR="00CA249F">
              <w:rPr>
                <w:rFonts w:ascii="Book Antiqua" w:hAnsi="Book Antiqua" w:cs="Arial"/>
                <w:color w:val="000000"/>
                <w:sz w:val="19"/>
                <w:szCs w:val="19"/>
              </w:rPr>
              <w:t xml:space="preserve"> Assinale a alternativa correta:</w:t>
            </w:r>
            <w:r w:rsidRPr="00604CE7">
              <w:rPr>
                <w:rFonts w:ascii="Book Antiqua" w:hAnsi="Book Antiqua" w:cs="Arial"/>
                <w:color w:val="000000"/>
                <w:sz w:val="19"/>
                <w:szCs w:val="19"/>
              </w:rPr>
              <w:t xml:space="preserve"> A Convenção Interamericana sobre Personalidade e Capacidade das Pessoas Jurídicas no Direito Internacional Privado dispõe que a lei do lugar de constituição rege a existência da pessoa jurídica. </w:t>
            </w:r>
            <w:r w:rsidRPr="00604CE7">
              <w:rPr>
                <w:rFonts w:ascii="Book Antiqua" w:hAnsi="Book Antiqua" w:cs="Arial"/>
                <w:b/>
                <w:color w:val="000000"/>
                <w:sz w:val="19"/>
                <w:szCs w:val="19"/>
              </w:rPr>
              <w:t>BL: art. 2º da Convenção.</w:t>
            </w:r>
          </w:p>
        </w:tc>
      </w:tr>
    </w:tbl>
    <w:p w14:paraId="6AF641A3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3</w:t>
      </w:r>
    </w:p>
    <w:p w14:paraId="044105ED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As pessoas jurídicas privadas devidamente constituídas num Estado Parte serão reconhecidas de pleno direito nos demais Estados Partes. O reconhecimento de pleno direito não exclui a faculdade do Estado Parte de exigir comprovação de que a pessoa jurídica existe conforme a lei do lugar de sua constituição.</w:t>
      </w:r>
    </w:p>
    <w:p w14:paraId="4D8D0460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Em caso algum a capacidade reconhecida às pessoas jurídicas privadas constituídas num Estado Parte poderá ser maior do que a capacidade que a lei do Estado Parte que as reconheça outorgue às pessoas jurídicas constituídas neste último.</w:t>
      </w:r>
    </w:p>
    <w:p w14:paraId="35EDC851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4</w:t>
      </w:r>
    </w:p>
    <w:p w14:paraId="7E2AA569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 realização de atos compreendidos no objeto social das pessoas jurídicas privadas aplicar-se-á a lei do Estado Parte em que se realizem tais atos.</w:t>
      </w:r>
    </w:p>
    <w:p w14:paraId="4518B31E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5</w:t>
      </w:r>
    </w:p>
    <w:p w14:paraId="5F9C570B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As pessoas jurídicas privadas constituídas num Estado Parte que pretendam estabelecer a sede efetiva de sua administração em outro Estado Parte poderão ser obrigadas a cumprir os requisitos estabelecidos na legislação deste último.</w:t>
      </w:r>
    </w:p>
    <w:p w14:paraId="0BC43656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6.</w:t>
      </w:r>
    </w:p>
    <w:p w14:paraId="016545F5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lastRenderedPageBreak/>
        <w:t>Quando uma pessoa jurídica privada atuar por intermédio de representante em Estado Parte que não seja o de sua constituição entender-se-á que esse representante, ou quem o substituir, poderá responder, de pleno direito, às reclamações e demandas que contra a referida pessoa se intentem por motivo dos atos de que se trate.</w:t>
      </w:r>
    </w:p>
    <w:p w14:paraId="25396AC6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7</w:t>
      </w:r>
      <w:r w:rsidRPr="00604CE7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</w:t>
      </w:r>
    </w:p>
    <w:p w14:paraId="26C1EC33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Cada Estado Parte e demais pessoas jurídicas de direito público organizadas de acordo com sua lei gozarão de personalidade jurídica privada de pleno direito e poderão adquirir direitos e contrair obrigações no território dos demais Estados Partes, com as restrições estabelecidas por essa lei e pelas leis destes últimos, especialmente no que se refere aos atos jurídicos relativos a direitos reais e sem prejuízo de invocar, quando for o caso, imunidade de jurisdição.</w:t>
      </w:r>
    </w:p>
    <w:p w14:paraId="788F1D54" w14:textId="77777777" w:rsidR="00FA7C81" w:rsidRPr="00A25FAE" w:rsidRDefault="00FA7C81" w:rsidP="00FA7C81">
      <w:pPr>
        <w:pStyle w:val="NormalWeb"/>
        <w:jc w:val="center"/>
        <w:rPr>
          <w:rFonts w:ascii="Book Antiqua" w:hAnsi="Book Antiqua" w:cs="Arial"/>
          <w:b/>
          <w:bCs/>
          <w:color w:val="000000"/>
          <w:sz w:val="19"/>
          <w:szCs w:val="19"/>
        </w:rPr>
      </w:pPr>
      <w:r w:rsidRPr="00A25FAE">
        <w:rPr>
          <w:rFonts w:ascii="Book Antiqua" w:hAnsi="Book Antiqua" w:cs="Arial"/>
          <w:b/>
          <w:bCs/>
          <w:color w:val="000000"/>
          <w:sz w:val="19"/>
          <w:szCs w:val="19"/>
          <w:highlight w:val="magenta"/>
        </w:rPr>
        <w:t>Artigo 8</w:t>
      </w:r>
      <w:r w:rsidRPr="00A25FAE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</w:t>
      </w:r>
    </w:p>
    <w:p w14:paraId="25651BF0" w14:textId="160C3C2A" w:rsidR="00FA7C81" w:rsidRPr="00A25FAE" w:rsidRDefault="00FA7C81" w:rsidP="00FA7C81">
      <w:pPr>
        <w:pStyle w:val="NormalWeb"/>
        <w:jc w:val="both"/>
        <w:rPr>
          <w:rFonts w:ascii="Book Antiqua" w:hAnsi="Book Antiqua" w:cs="Arial"/>
          <w:b/>
          <w:bCs/>
          <w:color w:val="000000"/>
          <w:sz w:val="19"/>
          <w:szCs w:val="19"/>
        </w:rPr>
      </w:pPr>
      <w:r w:rsidRPr="00A25FAE">
        <w:rPr>
          <w:rFonts w:ascii="Book Antiqua" w:hAnsi="Book Antiqua" w:cs="Arial"/>
          <w:b/>
          <w:bCs/>
          <w:color w:val="000000"/>
          <w:sz w:val="19"/>
          <w:szCs w:val="19"/>
        </w:rPr>
        <w:t>As pessoas jurídicas internacionais criadas por um acordo internacional entre Estados Partes ou por uma resolução de organização internacional reger-se-ão pelas disposições do acordo ou resolução de sua criação e serão reconhecidas de pleno direito como sujeitos de direito privado em todos os Estados Partes da mesma forma que as pessoas jurídicas privadas e sem prejuízo de invocar, quando for o caso, imunidade de jurisdição.</w:t>
      </w:r>
      <w:r w:rsidR="00A25FAE" w:rsidRPr="00A25FAE">
        <w:rPr>
          <w:rFonts w:ascii="Book Antiqua" w:hAnsi="Book Antiqua" w:cs="Arial"/>
          <w:b/>
          <w:bCs/>
          <w:color w:val="000000"/>
          <w:sz w:val="19"/>
          <w:szCs w:val="19"/>
        </w:rPr>
        <w:t xml:space="preserve"> </w:t>
      </w:r>
      <w:bookmarkStart w:id="1" w:name="_Hlk159943231"/>
      <w:r w:rsidR="00A25FAE" w:rsidRPr="00A25FA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(MPF-2015)</w:t>
      </w:r>
      <w:bookmarkEnd w:id="1"/>
    </w:p>
    <w:p w14:paraId="32ED7E29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9;</w:t>
      </w:r>
    </w:p>
    <w:p w14:paraId="5C0DB8AB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 lei declarada aplicável por esta Convenção poderá não ser aplicada no território do Estado Parte que a considerar manifestamente contrária à sua ordem pública.</w:t>
      </w:r>
    </w:p>
    <w:p w14:paraId="157266CB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10</w:t>
      </w:r>
    </w:p>
    <w:p w14:paraId="60DE3816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Esta Convenção ficará aberta à assinatura dos Estados membros da Organização dos Estados Americanos.</w:t>
      </w:r>
    </w:p>
    <w:p w14:paraId="481A82A0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11</w:t>
      </w:r>
    </w:p>
    <w:p w14:paraId="3C121DC6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 xml:space="preserve">Esta Convenção está sujeita a ratificação. Os instrumentos de ratificação serão depositados na </w:t>
      </w:r>
      <w:proofErr w:type="spellStart"/>
      <w:r w:rsidRPr="00604CE7">
        <w:rPr>
          <w:rFonts w:ascii="Book Antiqua" w:hAnsi="Book Antiqua" w:cs="Arial"/>
          <w:color w:val="000000"/>
          <w:sz w:val="19"/>
          <w:szCs w:val="19"/>
        </w:rPr>
        <w:t>Secretaria-Geral</w:t>
      </w:r>
      <w:proofErr w:type="spellEnd"/>
      <w:r w:rsidRPr="00604CE7">
        <w:rPr>
          <w:rFonts w:ascii="Book Antiqua" w:hAnsi="Book Antiqua" w:cs="Arial"/>
          <w:color w:val="000000"/>
          <w:sz w:val="19"/>
          <w:szCs w:val="19"/>
        </w:rPr>
        <w:t xml:space="preserve"> da Organização dos Estados Americanos.</w:t>
      </w:r>
    </w:p>
    <w:p w14:paraId="1E0D131E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12</w:t>
      </w:r>
    </w:p>
    <w:p w14:paraId="76A325BC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 xml:space="preserve">Esta Convenção ficará aberta à adesão de qualquer outro Estado. Os instrumentos de adesão serão depositados na </w:t>
      </w:r>
      <w:proofErr w:type="spellStart"/>
      <w:r w:rsidRPr="00604CE7">
        <w:rPr>
          <w:rFonts w:ascii="Book Antiqua" w:hAnsi="Book Antiqua" w:cs="Arial"/>
          <w:color w:val="000000"/>
          <w:sz w:val="19"/>
          <w:szCs w:val="19"/>
        </w:rPr>
        <w:t>Secretaria-Geral</w:t>
      </w:r>
      <w:proofErr w:type="spellEnd"/>
      <w:r w:rsidRPr="00604CE7">
        <w:rPr>
          <w:rFonts w:ascii="Book Antiqua" w:hAnsi="Book Antiqua" w:cs="Arial"/>
          <w:color w:val="000000"/>
          <w:sz w:val="19"/>
          <w:szCs w:val="19"/>
        </w:rPr>
        <w:t xml:space="preserve"> da Organização dos Estados Americanos.</w:t>
      </w:r>
    </w:p>
    <w:p w14:paraId="6BEB9435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13</w:t>
      </w:r>
    </w:p>
    <w:p w14:paraId="47A19948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Cada Estado poderá formular reservas a esta Convenção no momento de assiná-la, ratificá-la ou a ela aderir, desde que a reserva se refira a uma ou mais disposições específicas.</w:t>
      </w:r>
    </w:p>
    <w:p w14:paraId="1D824BE1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14</w:t>
      </w:r>
    </w:p>
    <w:p w14:paraId="2AA5BFB8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Esta Convenção entrará em vigor no trigésimo dia a partir da data em que haja sido depositado o segundo instrumento de ratificação.</w:t>
      </w:r>
    </w:p>
    <w:p w14:paraId="33B8CC89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Para cada Estado que ratificar a Convenção ou a ela aderir depois de haver sido depositado o segundo instrumento de ratificação, a Convenção entrará em vigor no trigésimo dia a partir da data em que tal Estado haja depositado seu instrumento de ratificação ou de adesão.</w:t>
      </w:r>
    </w:p>
    <w:p w14:paraId="538B83AD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15</w:t>
      </w:r>
    </w:p>
    <w:p w14:paraId="2A4770DF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lastRenderedPageBreak/>
        <w:t>Os Estados Partes que tenham duas ou mais unidades territoriais em que vigorem sistemas jurídicos diferentes com relação a questões de que trata esta Convenção poderão declarar, no momento da assinatura, ratificação ou adesão, que a Convenção se aplicará a todas as suas unidades territoriais ou somente a uma ou mais delas.</w:t>
      </w:r>
    </w:p>
    <w:p w14:paraId="11C1D981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 xml:space="preserve">Tais declarações poderão ser modificadas mediante declarações ulteriores, que especificarão expressamente a unidade ou as unidades territoriais a que se aplicará esta Convenção. Tais declarações ulteriores serão transmitidas à </w:t>
      </w:r>
      <w:proofErr w:type="spellStart"/>
      <w:r w:rsidRPr="00604CE7">
        <w:rPr>
          <w:rFonts w:ascii="Book Antiqua" w:hAnsi="Book Antiqua" w:cs="Arial"/>
          <w:color w:val="000000"/>
          <w:sz w:val="19"/>
          <w:szCs w:val="19"/>
        </w:rPr>
        <w:t>Secretaria-Geral</w:t>
      </w:r>
      <w:proofErr w:type="spellEnd"/>
      <w:r w:rsidRPr="00604CE7">
        <w:rPr>
          <w:rFonts w:ascii="Book Antiqua" w:hAnsi="Book Antiqua" w:cs="Arial"/>
          <w:color w:val="000000"/>
          <w:sz w:val="19"/>
          <w:szCs w:val="19"/>
        </w:rPr>
        <w:t xml:space="preserve"> da Organização dos Estados Americanos e surtirão efeito trinta dias depois de recebidas.</w:t>
      </w:r>
    </w:p>
    <w:p w14:paraId="54C1F012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16</w:t>
      </w:r>
    </w:p>
    <w:p w14:paraId="2F23C3F2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 xml:space="preserve">Esta Convenção vigorará por prazo indefinido, mas qualquer dos Estados Partes poderá denunciá-la. O instrumento de denúncia será depositado na </w:t>
      </w:r>
      <w:proofErr w:type="spellStart"/>
      <w:r w:rsidRPr="00604CE7">
        <w:rPr>
          <w:rFonts w:ascii="Book Antiqua" w:hAnsi="Book Antiqua" w:cs="Arial"/>
          <w:color w:val="000000"/>
          <w:sz w:val="19"/>
          <w:szCs w:val="19"/>
        </w:rPr>
        <w:t>Secretaria-Geral</w:t>
      </w:r>
      <w:proofErr w:type="spellEnd"/>
      <w:r w:rsidRPr="00604CE7">
        <w:rPr>
          <w:rFonts w:ascii="Book Antiqua" w:hAnsi="Book Antiqua" w:cs="Arial"/>
          <w:color w:val="000000"/>
          <w:sz w:val="19"/>
          <w:szCs w:val="19"/>
        </w:rPr>
        <w:t xml:space="preserve"> da Organização dos Estados Americanos. Transcorrido um ano da data do depósito do instrumento de denúncia, os efeitos da Convenção cessarão para o Estado denunciante, mas subsistirão para os demais Estados Partes.</w:t>
      </w:r>
    </w:p>
    <w:p w14:paraId="0A20F9DA" w14:textId="77777777" w:rsidR="00FA7C81" w:rsidRPr="00604CE7" w:rsidRDefault="00FA7C81" w:rsidP="00FA7C81">
      <w:pPr>
        <w:pStyle w:val="NormalWeb"/>
        <w:jc w:val="center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Artigo 17</w:t>
      </w:r>
    </w:p>
    <w:p w14:paraId="2E1DD8FE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 xml:space="preserve">O instrumento original desta Convenção, cujos textos em português, espanhol, francês e inglês são igualmente autênticos, será depositado na </w:t>
      </w:r>
      <w:proofErr w:type="spellStart"/>
      <w:r w:rsidRPr="00604CE7">
        <w:rPr>
          <w:rFonts w:ascii="Book Antiqua" w:hAnsi="Book Antiqua" w:cs="Arial"/>
          <w:color w:val="000000"/>
          <w:sz w:val="19"/>
          <w:szCs w:val="19"/>
        </w:rPr>
        <w:t>Secretaria-Geral</w:t>
      </w:r>
      <w:proofErr w:type="spellEnd"/>
      <w:r w:rsidRPr="00604CE7">
        <w:rPr>
          <w:rFonts w:ascii="Book Antiqua" w:hAnsi="Book Antiqua" w:cs="Arial"/>
          <w:color w:val="000000"/>
          <w:sz w:val="19"/>
          <w:szCs w:val="19"/>
        </w:rPr>
        <w:t xml:space="preserve"> da Organização dos Estados Americanos, que enviará cópia autenticada do seu texto à Secretaria das Nações Unidas, para seu registro e publicação, de conformidade com o artigo 102 da sua Carta constitutiva. A </w:t>
      </w:r>
      <w:proofErr w:type="spellStart"/>
      <w:r w:rsidRPr="00604CE7">
        <w:rPr>
          <w:rFonts w:ascii="Book Antiqua" w:hAnsi="Book Antiqua" w:cs="Arial"/>
          <w:color w:val="000000"/>
          <w:sz w:val="19"/>
          <w:szCs w:val="19"/>
        </w:rPr>
        <w:t>Secretaria-Geral</w:t>
      </w:r>
      <w:proofErr w:type="spellEnd"/>
      <w:r w:rsidRPr="00604CE7">
        <w:rPr>
          <w:rFonts w:ascii="Book Antiqua" w:hAnsi="Book Antiqua" w:cs="Arial"/>
          <w:color w:val="000000"/>
          <w:sz w:val="19"/>
          <w:szCs w:val="19"/>
        </w:rPr>
        <w:t xml:space="preserve"> da Organização dos Estados Americanos notificará aos Estados membros da referida Organização e aos Estados que houverem aderido à Convenção as assinaturas e os depósitos de instrumentos de ratificação, adesão e denúncia, bem como as reservas que houver.</w:t>
      </w:r>
    </w:p>
    <w:p w14:paraId="4A1A55F9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 xml:space="preserve">Outrossim, transmitir-lhes-á as declarações previstas no artigo 15 desta </w:t>
      </w:r>
      <w:proofErr w:type="gramStart"/>
      <w:r w:rsidRPr="00604CE7">
        <w:rPr>
          <w:rFonts w:ascii="Book Antiqua" w:hAnsi="Book Antiqua" w:cs="Arial"/>
          <w:color w:val="000000"/>
          <w:sz w:val="19"/>
          <w:szCs w:val="19"/>
        </w:rPr>
        <w:t>Convenção .</w:t>
      </w:r>
      <w:proofErr w:type="gramEnd"/>
    </w:p>
    <w:p w14:paraId="6F611928" w14:textId="77777777" w:rsidR="00FA7C81" w:rsidRPr="00604CE7" w:rsidRDefault="00FA7C81" w:rsidP="00FA7C81">
      <w:pPr>
        <w:pStyle w:val="NormalWeb"/>
        <w:jc w:val="both"/>
        <w:rPr>
          <w:rFonts w:ascii="Book Antiqua" w:hAnsi="Book Antiqua" w:cs="Arial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EM FE DO QUE, os plenipotenciários infra-assinados, devidamente autorizados por seus respectivos governos, firmam esta Convenção.</w:t>
      </w:r>
    </w:p>
    <w:p w14:paraId="7B0EFC5A" w14:textId="77777777" w:rsidR="00FA7C81" w:rsidRPr="00604CE7" w:rsidRDefault="00FA7C81" w:rsidP="00FA7C81">
      <w:pPr>
        <w:pStyle w:val="NormalWeb"/>
        <w:jc w:val="both"/>
        <w:rPr>
          <w:rFonts w:ascii="Book Antiqua" w:hAnsi="Book Antiqua"/>
          <w:color w:val="000000"/>
          <w:sz w:val="19"/>
          <w:szCs w:val="19"/>
        </w:rPr>
      </w:pPr>
      <w:r w:rsidRPr="00604CE7">
        <w:rPr>
          <w:rFonts w:ascii="Book Antiqua" w:hAnsi="Book Antiqua" w:cs="Arial"/>
          <w:color w:val="000000"/>
          <w:sz w:val="19"/>
          <w:szCs w:val="19"/>
        </w:rPr>
        <w:t>FEITA NA CIDADE DE LA PAZ, BOLÍVIA, no dia vinte e quatro de maio de mil novecentos e oitenta e quatro.</w:t>
      </w:r>
    </w:p>
    <w:p w14:paraId="008BDD06" w14:textId="77777777" w:rsidR="008B6814" w:rsidRPr="00604CE7" w:rsidRDefault="008B6814" w:rsidP="00FA7C81">
      <w:pPr>
        <w:jc w:val="both"/>
        <w:rPr>
          <w:rFonts w:ascii="Book Antiqua" w:hAnsi="Book Antiqua"/>
          <w:sz w:val="19"/>
          <w:szCs w:val="19"/>
        </w:rPr>
      </w:pPr>
    </w:p>
    <w:sectPr w:rsidR="008B6814" w:rsidRPr="00604CE7" w:rsidSect="009F2D09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8000A" w14:textId="77777777" w:rsidR="009F2D09" w:rsidRDefault="009F2D09" w:rsidP="00FA7C81">
      <w:pPr>
        <w:spacing w:after="0" w:line="240" w:lineRule="auto"/>
      </w:pPr>
      <w:r>
        <w:separator/>
      </w:r>
    </w:p>
  </w:endnote>
  <w:endnote w:type="continuationSeparator" w:id="0">
    <w:p w14:paraId="29F0498D" w14:textId="77777777" w:rsidR="009F2D09" w:rsidRDefault="009F2D09" w:rsidP="00FA7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B784A" w14:textId="77777777" w:rsidR="009F2D09" w:rsidRDefault="009F2D09" w:rsidP="00FA7C81">
      <w:pPr>
        <w:spacing w:after="0" w:line="240" w:lineRule="auto"/>
      </w:pPr>
      <w:r>
        <w:separator/>
      </w:r>
    </w:p>
  </w:footnote>
  <w:footnote w:type="continuationSeparator" w:id="0">
    <w:p w14:paraId="262BDA20" w14:textId="77777777" w:rsidR="009F2D09" w:rsidRDefault="009F2D09" w:rsidP="00FA7C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02"/>
    <w:rsid w:val="00033086"/>
    <w:rsid w:val="00474F1B"/>
    <w:rsid w:val="005D60A0"/>
    <w:rsid w:val="00604CE7"/>
    <w:rsid w:val="008523D9"/>
    <w:rsid w:val="008B6814"/>
    <w:rsid w:val="009F2D09"/>
    <w:rsid w:val="00A25FAE"/>
    <w:rsid w:val="00AA0602"/>
    <w:rsid w:val="00CA249F"/>
    <w:rsid w:val="00FA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BD43FD"/>
  <w15:chartTrackingRefBased/>
  <w15:docId w15:val="{650D9FDF-7031-42EA-80F1-E462F273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A7C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A7C81"/>
  </w:style>
  <w:style w:type="paragraph" w:styleId="Rodap">
    <w:name w:val="footer"/>
    <w:basedOn w:val="Normal"/>
    <w:link w:val="RodapChar"/>
    <w:uiPriority w:val="99"/>
    <w:unhideWhenUsed/>
    <w:rsid w:val="00FA7C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A7C81"/>
  </w:style>
  <w:style w:type="paragraph" w:styleId="NormalWeb">
    <w:name w:val="Normal (Web)"/>
    <w:basedOn w:val="Normal"/>
    <w:uiPriority w:val="99"/>
    <w:semiHidden/>
    <w:unhideWhenUsed/>
    <w:rsid w:val="00FA7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A7C81"/>
    <w:rPr>
      <w:b/>
      <w:bCs/>
    </w:rPr>
  </w:style>
  <w:style w:type="table" w:styleId="Tabelacomgrade">
    <w:name w:val="Table Grid"/>
    <w:basedOn w:val="Tabelanormal"/>
    <w:uiPriority w:val="39"/>
    <w:rsid w:val="00FA7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6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1089</Words>
  <Characters>5884</Characters>
  <Application>Microsoft Office Word</Application>
  <DocSecurity>0</DocSecurity>
  <Lines>49</Lines>
  <Paragraphs>13</Paragraphs>
  <ScaleCrop>false</ScaleCrop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6</cp:revision>
  <dcterms:created xsi:type="dcterms:W3CDTF">2018-10-11T14:09:00Z</dcterms:created>
  <dcterms:modified xsi:type="dcterms:W3CDTF">2024-02-27T19:21:00Z</dcterms:modified>
</cp:coreProperties>
</file>