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08BE0" w14:textId="3862861E" w:rsidR="00A75A8C" w:rsidRPr="00A75A8C" w:rsidRDefault="00A75A8C" w:rsidP="001A77EF">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A75A8C">
        <w:rPr>
          <w:rFonts w:ascii="Book Antiqua" w:eastAsia="Times New Roman" w:hAnsi="Book Antiqua" w:cs="Times New Roman"/>
          <w:b/>
          <w:bCs/>
          <w:color w:val="FF0000"/>
          <w:sz w:val="19"/>
          <w:szCs w:val="19"/>
          <w:lang w:eastAsia="pt-BR"/>
        </w:rPr>
        <w:t>(Atualização em 2</w:t>
      </w:r>
      <w:r w:rsidR="00A912A6">
        <w:rPr>
          <w:rFonts w:ascii="Book Antiqua" w:eastAsia="Times New Roman" w:hAnsi="Book Antiqua" w:cs="Times New Roman"/>
          <w:b/>
          <w:bCs/>
          <w:color w:val="FF0000"/>
          <w:sz w:val="19"/>
          <w:szCs w:val="19"/>
          <w:lang w:eastAsia="pt-BR"/>
        </w:rPr>
        <w:t>5</w:t>
      </w:r>
      <w:r w:rsidRPr="00A75A8C">
        <w:rPr>
          <w:rFonts w:ascii="Book Antiqua" w:eastAsia="Times New Roman" w:hAnsi="Book Antiqua" w:cs="Times New Roman"/>
          <w:b/>
          <w:bCs/>
          <w:color w:val="FF0000"/>
          <w:sz w:val="19"/>
          <w:szCs w:val="19"/>
          <w:lang w:eastAsia="pt-BR"/>
        </w:rPr>
        <w:t>/0</w:t>
      </w:r>
      <w:r w:rsidR="00A912A6">
        <w:rPr>
          <w:rFonts w:ascii="Book Antiqua" w:eastAsia="Times New Roman" w:hAnsi="Book Antiqua" w:cs="Times New Roman"/>
          <w:b/>
          <w:bCs/>
          <w:color w:val="FF0000"/>
          <w:sz w:val="19"/>
          <w:szCs w:val="19"/>
          <w:lang w:eastAsia="pt-BR"/>
        </w:rPr>
        <w:t>9</w:t>
      </w:r>
      <w:r w:rsidRPr="00A75A8C">
        <w:rPr>
          <w:rFonts w:ascii="Book Antiqua" w:eastAsia="Times New Roman" w:hAnsi="Book Antiqua" w:cs="Times New Roman"/>
          <w:b/>
          <w:bCs/>
          <w:color w:val="FF0000"/>
          <w:sz w:val="19"/>
          <w:szCs w:val="19"/>
          <w:lang w:eastAsia="pt-BR"/>
        </w:rPr>
        <w:t>/2021: questões de concurso)</w:t>
      </w:r>
    </w:p>
    <w:p w14:paraId="25F9CF32" w14:textId="0BCBFB33" w:rsidR="001A77EF" w:rsidRPr="001A77EF" w:rsidRDefault="00A912A6" w:rsidP="001A77EF">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001A77EF" w:rsidRPr="001A77EF">
          <w:rPr>
            <w:rFonts w:ascii="Book Antiqua" w:eastAsia="Times New Roman" w:hAnsi="Book Antiqua" w:cs="Arial"/>
            <w:b/>
            <w:bCs/>
            <w:color w:val="000080"/>
            <w:sz w:val="19"/>
            <w:szCs w:val="19"/>
            <w:lang w:eastAsia="pt-BR"/>
          </w:rPr>
          <w:t>DECRETO Nº 4.311, DE 23 DE JULHO DE 2002</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1A77EF" w:rsidRPr="001A77EF" w14:paraId="13561B27" w14:textId="77777777" w:rsidTr="001A77EF">
        <w:trPr>
          <w:tblCellSpacing w:w="0" w:type="dxa"/>
        </w:trPr>
        <w:tc>
          <w:tcPr>
            <w:tcW w:w="1333" w:type="pct"/>
            <w:vAlign w:val="center"/>
            <w:hideMark/>
          </w:tcPr>
          <w:p w14:paraId="7B8E806F"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8"/>
                <w:szCs w:val="18"/>
                <w:lang w:eastAsia="pt-BR"/>
              </w:rPr>
            </w:pPr>
          </w:p>
        </w:tc>
        <w:tc>
          <w:tcPr>
            <w:tcW w:w="3667" w:type="pct"/>
            <w:vAlign w:val="center"/>
            <w:hideMark/>
          </w:tcPr>
          <w:p w14:paraId="24E22946"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sz w:val="18"/>
                <w:szCs w:val="18"/>
                <w:lang w:eastAsia="pt-BR"/>
              </w:rPr>
            </w:pPr>
            <w:r w:rsidRPr="001A77EF">
              <w:rPr>
                <w:rFonts w:ascii="Book Antiqua" w:eastAsia="Times New Roman" w:hAnsi="Book Antiqua" w:cs="Arial"/>
                <w:color w:val="800000"/>
                <w:sz w:val="18"/>
                <w:szCs w:val="18"/>
                <w:lang w:eastAsia="pt-BR"/>
              </w:rPr>
              <w:t>Promulga a Convenção sobre o Reconhecimento e a Execução de Sentenças Arbitrais Estrangeiras.</w:t>
            </w:r>
          </w:p>
        </w:tc>
      </w:tr>
    </w:tbl>
    <w:p w14:paraId="695C6DE6"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b/>
          <w:bCs/>
          <w:color w:val="000000"/>
          <w:sz w:val="19"/>
          <w:szCs w:val="19"/>
          <w:lang w:eastAsia="pt-BR"/>
        </w:rPr>
        <w:t>        O PRESIDENTE DA REPÚBLICA</w:t>
      </w:r>
      <w:r w:rsidRPr="001A77EF">
        <w:rPr>
          <w:rFonts w:ascii="Book Antiqua" w:eastAsia="Times New Roman" w:hAnsi="Book Antiqua" w:cs="Arial"/>
          <w:color w:val="000000"/>
          <w:sz w:val="19"/>
          <w:szCs w:val="19"/>
          <w:lang w:eastAsia="pt-BR"/>
        </w:rPr>
        <w:t>, no uso da atribuição que lhe confere o art. 84, inciso VIII, da Constituição,</w:t>
      </w:r>
    </w:p>
    <w:p w14:paraId="19F0FC61"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Considerando que o Congresso Nacional aprovou o texto da Convenção sobre o Reconhecimento e a Execução de Sentenças Arbitrais Estrangeiras, por meio do Decreto Legislativo n</w:t>
      </w:r>
      <w:r w:rsidRPr="001A77EF">
        <w:rPr>
          <w:rFonts w:ascii="Book Antiqua" w:eastAsia="Times New Roman" w:hAnsi="Book Antiqua" w:cs="Arial"/>
          <w:color w:val="000000"/>
          <w:sz w:val="19"/>
          <w:szCs w:val="19"/>
          <w:u w:val="single"/>
          <w:vertAlign w:val="superscript"/>
          <w:lang w:eastAsia="pt-BR"/>
        </w:rPr>
        <w:t>o</w:t>
      </w:r>
      <w:r w:rsidRPr="001A77EF">
        <w:rPr>
          <w:rFonts w:ascii="Book Antiqua" w:eastAsia="Times New Roman" w:hAnsi="Book Antiqua" w:cs="Arial"/>
          <w:color w:val="000000"/>
          <w:sz w:val="19"/>
          <w:szCs w:val="19"/>
          <w:lang w:eastAsia="pt-BR"/>
        </w:rPr>
        <w:t> 52, de 25 de abril de 2002;</w:t>
      </w:r>
    </w:p>
    <w:p w14:paraId="4D0ED753"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Considerando que a Convenção entrou em vigor internacional em 7 de junho de 1959, nos termos de seu artigo 12;</w:t>
      </w:r>
    </w:p>
    <w:p w14:paraId="4D676CEF"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b/>
          <w:bCs/>
          <w:color w:val="000000"/>
          <w:sz w:val="19"/>
          <w:szCs w:val="19"/>
          <w:lang w:eastAsia="pt-BR"/>
        </w:rPr>
        <w:t>        DECRETA:</w:t>
      </w:r>
    </w:p>
    <w:p w14:paraId="13CAE83D"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Art. 1</w:t>
      </w:r>
      <w:r w:rsidRPr="001A77EF">
        <w:rPr>
          <w:rFonts w:ascii="Book Antiqua" w:eastAsia="Times New Roman" w:hAnsi="Book Antiqua" w:cs="Arial"/>
          <w:color w:val="000000"/>
          <w:sz w:val="19"/>
          <w:szCs w:val="19"/>
          <w:u w:val="single"/>
          <w:vertAlign w:val="superscript"/>
          <w:lang w:eastAsia="pt-BR"/>
        </w:rPr>
        <w:t>o</w:t>
      </w:r>
      <w:r w:rsidRPr="001A77EF">
        <w:rPr>
          <w:rFonts w:ascii="Book Antiqua" w:eastAsia="Times New Roman" w:hAnsi="Book Antiqua" w:cs="Arial"/>
          <w:color w:val="000000"/>
          <w:sz w:val="19"/>
          <w:szCs w:val="19"/>
          <w:lang w:eastAsia="pt-BR"/>
        </w:rPr>
        <w:t>  A Convenção sobre o Reconhecimento e a Execução de Sentenças Arbitrais Estrangeiras, apensa por cópia ao presente Decreto, será executada e cumprida tão inteiramente como nela se contém.</w:t>
      </w:r>
    </w:p>
    <w:p w14:paraId="6A3C36B6"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Art. 2</w:t>
      </w:r>
      <w:r w:rsidRPr="001A77EF">
        <w:rPr>
          <w:rFonts w:ascii="Book Antiqua" w:eastAsia="Times New Roman" w:hAnsi="Book Antiqua" w:cs="Arial"/>
          <w:color w:val="000000"/>
          <w:sz w:val="19"/>
          <w:szCs w:val="19"/>
          <w:u w:val="single"/>
          <w:vertAlign w:val="superscript"/>
          <w:lang w:eastAsia="pt-BR"/>
        </w:rPr>
        <w:t>o</w:t>
      </w:r>
      <w:r w:rsidRPr="001A77EF">
        <w:rPr>
          <w:rFonts w:ascii="Book Antiqua" w:eastAsia="Times New Roman" w:hAnsi="Book Antiqua" w:cs="Arial"/>
          <w:color w:val="000000"/>
          <w:sz w:val="19"/>
          <w:szCs w:val="19"/>
          <w:lang w:eastAsia="pt-BR"/>
        </w:rPr>
        <w:t>  São sujeitos à aprovação do Congresso Nacional quaisquer atos que possam resultar em revisão da referida Convenção, assim como quaisquer ajustes complementares que, nos termos do </w:t>
      </w:r>
      <w:hyperlink r:id="rId5" w:anchor="49i" w:history="1">
        <w:r w:rsidRPr="001A77EF">
          <w:rPr>
            <w:rFonts w:ascii="Book Antiqua" w:eastAsia="Times New Roman" w:hAnsi="Book Antiqua" w:cs="Arial"/>
            <w:color w:val="0000FF"/>
            <w:sz w:val="19"/>
            <w:szCs w:val="19"/>
            <w:u w:val="single"/>
            <w:lang w:eastAsia="pt-BR"/>
          </w:rPr>
          <w:t>art. 49, inciso I, da Constituição</w:t>
        </w:r>
      </w:hyperlink>
      <w:r w:rsidRPr="001A77EF">
        <w:rPr>
          <w:rFonts w:ascii="Book Antiqua" w:eastAsia="Times New Roman" w:hAnsi="Book Antiqua" w:cs="Arial"/>
          <w:color w:val="000000"/>
          <w:sz w:val="19"/>
          <w:szCs w:val="19"/>
          <w:lang w:eastAsia="pt-BR"/>
        </w:rPr>
        <w:t>, acarretem encargos ou compromissos gravosos ao patrimônio nacional.</w:t>
      </w:r>
    </w:p>
    <w:p w14:paraId="230BDA0E"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Art. 3</w:t>
      </w:r>
      <w:r w:rsidRPr="001A77EF">
        <w:rPr>
          <w:rFonts w:ascii="Book Antiqua" w:eastAsia="Times New Roman" w:hAnsi="Book Antiqua" w:cs="Arial"/>
          <w:color w:val="000000"/>
          <w:sz w:val="19"/>
          <w:szCs w:val="19"/>
          <w:u w:val="single"/>
          <w:vertAlign w:val="superscript"/>
          <w:lang w:eastAsia="pt-BR"/>
        </w:rPr>
        <w:t>o</w:t>
      </w:r>
      <w:r w:rsidRPr="001A77EF">
        <w:rPr>
          <w:rFonts w:ascii="Book Antiqua" w:eastAsia="Times New Roman" w:hAnsi="Book Antiqua" w:cs="Arial"/>
          <w:color w:val="000000"/>
          <w:sz w:val="19"/>
          <w:szCs w:val="19"/>
          <w:lang w:eastAsia="pt-BR"/>
        </w:rPr>
        <w:t>  Este Decreto entra em vigor na data de sua publicação.</w:t>
      </w:r>
    </w:p>
    <w:p w14:paraId="18B9212E"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Brasília, 23 de julho de 2002; 181</w:t>
      </w:r>
      <w:r w:rsidRPr="001A77EF">
        <w:rPr>
          <w:rFonts w:ascii="Book Antiqua" w:eastAsia="Times New Roman" w:hAnsi="Book Antiqua" w:cs="Arial"/>
          <w:color w:val="000000"/>
          <w:sz w:val="19"/>
          <w:szCs w:val="19"/>
          <w:u w:val="single"/>
          <w:vertAlign w:val="superscript"/>
          <w:lang w:eastAsia="pt-BR"/>
        </w:rPr>
        <w:t>o</w:t>
      </w:r>
      <w:r w:rsidRPr="001A77EF">
        <w:rPr>
          <w:rFonts w:ascii="Book Antiqua" w:eastAsia="Times New Roman" w:hAnsi="Book Antiqua" w:cs="Arial"/>
          <w:color w:val="000000"/>
          <w:sz w:val="19"/>
          <w:szCs w:val="19"/>
          <w:lang w:eastAsia="pt-BR"/>
        </w:rPr>
        <w:t> da Independência e 114</w:t>
      </w:r>
      <w:r w:rsidRPr="001A77EF">
        <w:rPr>
          <w:rFonts w:ascii="Book Antiqua" w:eastAsia="Times New Roman" w:hAnsi="Book Antiqua" w:cs="Arial"/>
          <w:color w:val="000000"/>
          <w:sz w:val="19"/>
          <w:szCs w:val="19"/>
          <w:u w:val="single"/>
          <w:vertAlign w:val="superscript"/>
          <w:lang w:eastAsia="pt-BR"/>
        </w:rPr>
        <w:t>o</w:t>
      </w:r>
      <w:r w:rsidRPr="001A77EF">
        <w:rPr>
          <w:rFonts w:ascii="Book Antiqua" w:eastAsia="Times New Roman" w:hAnsi="Book Antiqua" w:cs="Arial"/>
          <w:color w:val="000000"/>
          <w:sz w:val="19"/>
          <w:szCs w:val="19"/>
          <w:lang w:eastAsia="pt-BR"/>
        </w:rPr>
        <w:t> da República.</w:t>
      </w:r>
    </w:p>
    <w:p w14:paraId="113AB03D" w14:textId="77777777" w:rsidR="001A77EF" w:rsidRPr="001A77EF" w:rsidRDefault="001A77EF" w:rsidP="001A77EF">
      <w:pPr>
        <w:spacing w:before="100" w:beforeAutospacing="1" w:after="100" w:afterAutospacing="1" w:line="240" w:lineRule="auto"/>
        <w:rPr>
          <w:rFonts w:ascii="Book Antiqua" w:eastAsia="Times New Roman" w:hAnsi="Book Antiqua" w:cs="Arial"/>
          <w:color w:val="000000"/>
          <w:sz w:val="19"/>
          <w:szCs w:val="19"/>
          <w:lang w:eastAsia="pt-BR"/>
        </w:rPr>
      </w:pPr>
      <w:r w:rsidRPr="001A77EF">
        <w:rPr>
          <w:rFonts w:ascii="Book Antiqua" w:eastAsia="Times New Roman" w:hAnsi="Book Antiqua" w:cs="Arial"/>
          <w:color w:val="000000"/>
          <w:sz w:val="19"/>
          <w:szCs w:val="19"/>
          <w:lang w:eastAsia="pt-BR"/>
        </w:rPr>
        <w:t>FERNANDO HENRIQUE CARDOSO</w:t>
      </w:r>
      <w:r w:rsidRPr="001A77EF">
        <w:rPr>
          <w:rFonts w:ascii="Book Antiqua" w:eastAsia="Times New Roman" w:hAnsi="Book Antiqua" w:cs="Arial"/>
          <w:color w:val="000000"/>
          <w:sz w:val="19"/>
          <w:szCs w:val="19"/>
          <w:lang w:eastAsia="pt-BR"/>
        </w:rPr>
        <w:br/>
      </w:r>
      <w:r w:rsidRPr="001A77EF">
        <w:rPr>
          <w:rFonts w:ascii="Book Antiqua" w:eastAsia="Times New Roman" w:hAnsi="Book Antiqua" w:cs="Arial"/>
          <w:i/>
          <w:iCs/>
          <w:color w:val="000000"/>
          <w:sz w:val="19"/>
          <w:szCs w:val="19"/>
          <w:lang w:eastAsia="pt-BR"/>
        </w:rPr>
        <w:t>Celso Lafer</w:t>
      </w:r>
    </w:p>
    <w:p w14:paraId="1387D56D" w14:textId="77777777" w:rsidR="001A77EF" w:rsidRPr="001A77EF" w:rsidRDefault="001A77EF" w:rsidP="001A77EF">
      <w:pPr>
        <w:spacing w:before="100" w:beforeAutospacing="1" w:after="100" w:afterAutospacing="1" w:line="240" w:lineRule="auto"/>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FF0000"/>
          <w:sz w:val="19"/>
          <w:szCs w:val="19"/>
          <w:lang w:eastAsia="pt-BR"/>
        </w:rPr>
        <w:t>Este texto não substitui o publicado no D.O.U. de 24.7.2002</w:t>
      </w:r>
    </w:p>
    <w:p w14:paraId="5D137217" w14:textId="77777777" w:rsidR="001A77EF" w:rsidRPr="001A77EF" w:rsidRDefault="001A77EF" w:rsidP="001A77EF">
      <w:pPr>
        <w:spacing w:before="100" w:beforeAutospacing="1" w:after="100" w:afterAutospacing="1" w:line="240" w:lineRule="auto"/>
        <w:rPr>
          <w:rFonts w:ascii="Book Antiqua" w:eastAsia="Times New Roman" w:hAnsi="Book Antiqua" w:cs="Times New Roman"/>
          <w:color w:val="000000"/>
          <w:sz w:val="19"/>
          <w:szCs w:val="19"/>
          <w:lang w:eastAsia="pt-BR"/>
        </w:rPr>
      </w:pPr>
      <w:r w:rsidRPr="001A77EF">
        <w:rPr>
          <w:rFonts w:ascii="Book Antiqua" w:eastAsia="Times New Roman" w:hAnsi="Book Antiqua" w:cs="Times New Roman"/>
          <w:color w:val="000000"/>
          <w:sz w:val="19"/>
          <w:szCs w:val="19"/>
          <w:lang w:eastAsia="pt-BR"/>
        </w:rPr>
        <w:t> </w:t>
      </w:r>
      <w:r w:rsidRPr="001A77EF">
        <w:rPr>
          <w:rFonts w:ascii="Book Antiqua" w:eastAsia="Times New Roman" w:hAnsi="Book Antiqua" w:cs="Arial"/>
          <w:color w:val="000000"/>
          <w:sz w:val="19"/>
          <w:szCs w:val="19"/>
          <w:lang w:eastAsia="pt-BR"/>
        </w:rPr>
        <w:t>CONVENÇÃO SOBRE O RECONHECIMENTO E A EXECUÇÃO DE</w:t>
      </w:r>
    </w:p>
    <w:p w14:paraId="4E0CBEBC" w14:textId="77777777" w:rsidR="001A77EF" w:rsidRPr="001A77EF" w:rsidRDefault="001A77EF" w:rsidP="001A77EF">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SENTENÇAS ARBITRAIS ESTRANGEIRAS FEITA EM NOVA</w:t>
      </w:r>
    </w:p>
    <w:p w14:paraId="59FE1F17" w14:textId="77777777" w:rsidR="001A77EF" w:rsidRPr="001A77EF" w:rsidRDefault="001A77EF" w:rsidP="001A77EF">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YORK, EM 10 DE JUNHO DE 1958.</w:t>
      </w:r>
    </w:p>
    <w:p w14:paraId="04FBABAC" w14:textId="77777777" w:rsidR="001A77EF" w:rsidRPr="001A77EF" w:rsidRDefault="001A77EF" w:rsidP="001A77EF">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Artigo I</w:t>
      </w:r>
    </w:p>
    <w:p w14:paraId="45F591B1"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1. A presente Convenção aplicar-se-á ao reconhecimento e à execução de sentenças arbitrais estrangeiras proferidas no território de um Estado que não o Estado em que se tencione o reconhecimento e a execução de tais sentenças, oriundas de divergências entre pessoas, sejam elas físicas ou jurídicas. A Convenção aplicar-se-á igualmente a sentenças arbitrais não consideradas como sentenças domésticas no Estado onde se tencione o seu reconhecimento e a sua execução.</w:t>
      </w:r>
    </w:p>
    <w:p w14:paraId="78E31395"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2. Entender-se-á por "sentenças arbitrais" não só as sentenças proferidas por árbitros nomeados para cada caso mas também aquelas emitidas por órgãos arbitrais permanentes aos quais as partes se submetam.</w:t>
      </w:r>
    </w:p>
    <w:p w14:paraId="3A7324A1"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xml:space="preserve">        3. Quando da assinatura, ratificação ou adesão à presente Convenção, ou da notificação de extensão nos termos do Artigo X, qualquer Estado poderá, com base em reciprocidade, declarar que aplicará a Convenção ao reconhecimento e à execução de sentenças proferidas unicamente no território de outro Estado signatário. Poderá igualmente declarar que aplicará a Convenção somente a </w:t>
      </w:r>
      <w:r w:rsidRPr="001A77EF">
        <w:rPr>
          <w:rFonts w:ascii="Book Antiqua" w:eastAsia="Times New Roman" w:hAnsi="Book Antiqua" w:cs="Arial"/>
          <w:color w:val="000000"/>
          <w:sz w:val="19"/>
          <w:szCs w:val="19"/>
          <w:lang w:eastAsia="pt-BR"/>
        </w:rPr>
        <w:lastRenderedPageBreak/>
        <w:t>divergências oriundas de relacionamentos jurídicos, sejam eles contratuais ou não, que sejam considerados como comerciais nos termos da lei nacional do Estado que fizer tal declaração.</w:t>
      </w:r>
    </w:p>
    <w:p w14:paraId="6E5104BC" w14:textId="77777777" w:rsidR="001A77EF" w:rsidRPr="00A75A8C" w:rsidRDefault="001A77EF" w:rsidP="001A77EF">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A75A8C">
        <w:rPr>
          <w:rFonts w:ascii="Book Antiqua" w:eastAsia="Times New Roman" w:hAnsi="Book Antiqua" w:cs="Arial"/>
          <w:b/>
          <w:bCs/>
          <w:color w:val="000000"/>
          <w:sz w:val="19"/>
          <w:szCs w:val="19"/>
          <w:highlight w:val="magenta"/>
          <w:lang w:eastAsia="pt-BR"/>
        </w:rPr>
        <w:t>Artigo II</w:t>
      </w:r>
    </w:p>
    <w:p w14:paraId="352F8EBE" w14:textId="356B620F" w:rsidR="001A77EF" w:rsidRPr="00A75A8C" w:rsidRDefault="001A77EF" w:rsidP="001A77EF">
      <w:pPr>
        <w:spacing w:before="100" w:beforeAutospacing="1" w:after="100" w:afterAutospacing="1" w:line="240" w:lineRule="auto"/>
        <w:jc w:val="both"/>
        <w:rPr>
          <w:rFonts w:ascii="Book Antiqua" w:eastAsia="Times New Roman" w:hAnsi="Book Antiqua" w:cs="Times New Roman"/>
          <w:b/>
          <w:bCs/>
          <w:color w:val="000000"/>
          <w:sz w:val="19"/>
          <w:szCs w:val="19"/>
          <w:u w:val="single"/>
          <w:lang w:eastAsia="pt-BR"/>
        </w:rPr>
      </w:pPr>
      <w:r w:rsidRPr="001A77EF">
        <w:rPr>
          <w:rFonts w:ascii="Book Antiqua" w:eastAsia="Times New Roman" w:hAnsi="Book Antiqua" w:cs="Arial"/>
          <w:color w:val="000000"/>
          <w:sz w:val="19"/>
          <w:szCs w:val="19"/>
          <w:lang w:eastAsia="pt-BR"/>
        </w:rPr>
        <w:t xml:space="preserve">        </w:t>
      </w:r>
      <w:r w:rsidRPr="00A75A8C">
        <w:rPr>
          <w:rFonts w:ascii="Book Antiqua" w:eastAsia="Times New Roman" w:hAnsi="Book Antiqua" w:cs="Arial"/>
          <w:b/>
          <w:bCs/>
          <w:color w:val="000000"/>
          <w:sz w:val="19"/>
          <w:szCs w:val="19"/>
          <w:highlight w:val="magenta"/>
          <w:lang w:eastAsia="pt-BR"/>
        </w:rPr>
        <w:t>1</w:t>
      </w:r>
      <w:r w:rsidRPr="001A77EF">
        <w:rPr>
          <w:rFonts w:ascii="Book Antiqua" w:eastAsia="Times New Roman" w:hAnsi="Book Antiqua" w:cs="Arial"/>
          <w:color w:val="000000"/>
          <w:sz w:val="19"/>
          <w:szCs w:val="19"/>
          <w:lang w:eastAsia="pt-BR"/>
        </w:rPr>
        <w:t>. Cada Estado signatário deverá reconhecer o acordo escrito pelo qual as partes se comprometem a submeter à arbitragem todas as divergências que tenham surgido ou que possam vir a surgir entre si no que diz respeito a um relacionamento jurídico definido, seja ele contratual ou não, com relação a uma matéria passível de solução mediante arbitragem.</w:t>
      </w:r>
      <w:r w:rsidR="00A75A8C">
        <w:rPr>
          <w:rFonts w:ascii="Book Antiqua" w:eastAsia="Times New Roman" w:hAnsi="Book Antiqua" w:cs="Arial"/>
          <w:color w:val="000000"/>
          <w:sz w:val="19"/>
          <w:szCs w:val="19"/>
          <w:lang w:eastAsia="pt-BR"/>
        </w:rPr>
        <w:t xml:space="preserve"> </w:t>
      </w:r>
      <w:r w:rsidR="00A75A8C" w:rsidRPr="00A75A8C">
        <w:rPr>
          <w:rFonts w:ascii="Book Antiqua" w:eastAsia="Times New Roman" w:hAnsi="Book Antiqua" w:cs="Arial"/>
          <w:b/>
          <w:bCs/>
          <w:color w:val="FF0000"/>
          <w:sz w:val="19"/>
          <w:szCs w:val="19"/>
          <w:u w:val="single"/>
          <w:lang w:eastAsia="pt-BR"/>
        </w:rPr>
        <w:t>(TRF5-2015)</w:t>
      </w:r>
    </w:p>
    <w:p w14:paraId="7C83DEF8" w14:textId="094A553E"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xml:space="preserve">        </w:t>
      </w:r>
      <w:r w:rsidRPr="00A7197A">
        <w:rPr>
          <w:rFonts w:ascii="Book Antiqua" w:eastAsia="Times New Roman" w:hAnsi="Book Antiqua" w:cs="Arial"/>
          <w:color w:val="000000"/>
          <w:sz w:val="19"/>
          <w:szCs w:val="19"/>
          <w:lang w:eastAsia="pt-BR"/>
        </w:rPr>
        <w:t>2</w:t>
      </w:r>
      <w:r w:rsidRPr="001A77EF">
        <w:rPr>
          <w:rFonts w:ascii="Book Antiqua" w:eastAsia="Times New Roman" w:hAnsi="Book Antiqua" w:cs="Arial"/>
          <w:color w:val="000000"/>
          <w:sz w:val="19"/>
          <w:szCs w:val="19"/>
          <w:lang w:eastAsia="pt-BR"/>
        </w:rPr>
        <w:t>. Entender-se-á por "acordo escrito" uma cláusula arbitral inserida em contrato ou acordo de arbitragem, firmado pelas partes ou contido em troca de cartas ou telegramas.</w:t>
      </w:r>
      <w:r w:rsidR="00A75A8C">
        <w:rPr>
          <w:rFonts w:ascii="Book Antiqua" w:eastAsia="Times New Roman" w:hAnsi="Book Antiqua" w:cs="Arial"/>
          <w:color w:val="000000"/>
          <w:sz w:val="19"/>
          <w:szCs w:val="19"/>
          <w:lang w:eastAsia="pt-BR"/>
        </w:rPr>
        <w:t xml:space="preserve"> </w:t>
      </w:r>
    </w:p>
    <w:p w14:paraId="6A0DC907" w14:textId="0B5E00AA"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xml:space="preserve">        </w:t>
      </w:r>
      <w:r w:rsidRPr="00A75A8C">
        <w:rPr>
          <w:rFonts w:ascii="Book Antiqua" w:eastAsia="Times New Roman" w:hAnsi="Book Antiqua" w:cs="Arial"/>
          <w:b/>
          <w:bCs/>
          <w:color w:val="000000"/>
          <w:sz w:val="19"/>
          <w:szCs w:val="19"/>
          <w:highlight w:val="magenta"/>
          <w:lang w:eastAsia="pt-BR"/>
        </w:rPr>
        <w:t>3</w:t>
      </w:r>
      <w:r w:rsidRPr="001A77EF">
        <w:rPr>
          <w:rFonts w:ascii="Book Antiqua" w:eastAsia="Times New Roman" w:hAnsi="Book Antiqua" w:cs="Arial"/>
          <w:color w:val="000000"/>
          <w:sz w:val="19"/>
          <w:szCs w:val="19"/>
          <w:lang w:eastAsia="pt-BR"/>
        </w:rPr>
        <w:t xml:space="preserve">. O tribunal de um Estado signatário, quando de posse de ação sobre matéria com relação à qual as partes tenham estabelecido acordo nos termos do presente artigo, a pedido de uma delas, encaminhará as partes à arbitragem, a menos que constate que tal acordo é nulo e sem efeitos, inoperante ou </w:t>
      </w:r>
      <w:proofErr w:type="spellStart"/>
      <w:r w:rsidRPr="001A77EF">
        <w:rPr>
          <w:rFonts w:ascii="Book Antiqua" w:eastAsia="Times New Roman" w:hAnsi="Book Antiqua" w:cs="Arial"/>
          <w:color w:val="000000"/>
          <w:sz w:val="19"/>
          <w:szCs w:val="19"/>
          <w:lang w:eastAsia="pt-BR"/>
        </w:rPr>
        <w:t>inexeqüível</w:t>
      </w:r>
      <w:proofErr w:type="spellEnd"/>
      <w:r w:rsidRPr="001A77EF">
        <w:rPr>
          <w:rFonts w:ascii="Book Antiqua" w:eastAsia="Times New Roman" w:hAnsi="Book Antiqua" w:cs="Arial"/>
          <w:color w:val="000000"/>
          <w:sz w:val="19"/>
          <w:szCs w:val="19"/>
          <w:lang w:eastAsia="pt-BR"/>
        </w:rPr>
        <w:t>.</w:t>
      </w:r>
      <w:r w:rsidR="00A75A8C">
        <w:rPr>
          <w:rFonts w:ascii="Book Antiqua" w:eastAsia="Times New Roman" w:hAnsi="Book Antiqua" w:cs="Arial"/>
          <w:color w:val="000000"/>
          <w:sz w:val="19"/>
          <w:szCs w:val="19"/>
          <w:lang w:eastAsia="pt-BR"/>
        </w:rPr>
        <w:t xml:space="preserve"> </w:t>
      </w:r>
      <w:r w:rsidR="00A75A8C" w:rsidRPr="00A75A8C">
        <w:rPr>
          <w:rFonts w:ascii="Book Antiqua" w:eastAsia="Times New Roman" w:hAnsi="Book Antiqua" w:cs="Arial"/>
          <w:b/>
          <w:bCs/>
          <w:color w:val="FF0000"/>
          <w:sz w:val="19"/>
          <w:szCs w:val="19"/>
          <w:u w:val="single"/>
          <w:lang w:eastAsia="pt-BR"/>
        </w:rPr>
        <w:t>(TRF5-2015)</w:t>
      </w:r>
    </w:p>
    <w:p w14:paraId="2DE5F1FA" w14:textId="77777777" w:rsidR="001A77EF" w:rsidRPr="001A77EF" w:rsidRDefault="001A77EF" w:rsidP="001A77EF">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Artigo III</w:t>
      </w:r>
    </w:p>
    <w:p w14:paraId="6980D4E4"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Cada Estado signatário reconhecerá as sentenças como obrigatórias e as executará em conformidade com as regras de procedimento do território no qual a sentença é invocada, de acordo com as condições estabelecidas nos artigos que se seguem. Para fins de reconhecimento ou de execução das sentenças arbitrais às quais a presente Convenção se aplica, não serão impostas condições substancialmente mais onerosas ou taxas ou cobranças mais altas do que as impostas para o reconhecimento ou a execução de sentenças arbitrais domésticas.</w:t>
      </w:r>
    </w:p>
    <w:p w14:paraId="0E741D33" w14:textId="77777777" w:rsidR="001A77EF" w:rsidRPr="001A77EF" w:rsidRDefault="001A77EF" w:rsidP="001A77EF">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Artigo IV</w:t>
      </w:r>
    </w:p>
    <w:p w14:paraId="1790F65C"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1. A fim de obter o reconhecimento e a execução mencionados no artigo precedente, a parte que solicitar o reconhecimento e a execução fornecerá, quando da solicitação:</w:t>
      </w:r>
    </w:p>
    <w:p w14:paraId="2F47F02E"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a) a sentença original devidamente autenticada ou uma cópia da mesma devidamente certificada;</w:t>
      </w:r>
    </w:p>
    <w:p w14:paraId="75D5D67F"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b) o acordo original a que se refere o Artigo II ou uma cópia do mesmo devidamente autenticada.</w:t>
      </w:r>
    </w:p>
    <w:p w14:paraId="2792B269"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2. Caso tal sentença ou tal acordo não for feito em um idioma oficial do país no qual a sentença é invocada, a parte que solicitar o reconhecimento e a execução da sentença produzirá uma tradução desses documentos para tal idioma. A tradução será certificada por um tradutor oficial ou juramentado ou por um agente diplomático ou consular.</w:t>
      </w:r>
    </w:p>
    <w:p w14:paraId="41D32BC1" w14:textId="77777777" w:rsidR="001A77EF" w:rsidRPr="00A912A6" w:rsidRDefault="001A77EF" w:rsidP="001A77EF">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A912A6">
        <w:rPr>
          <w:rFonts w:ascii="Book Antiqua" w:eastAsia="Times New Roman" w:hAnsi="Book Antiqua" w:cs="Arial"/>
          <w:b/>
          <w:bCs/>
          <w:color w:val="000000"/>
          <w:sz w:val="19"/>
          <w:szCs w:val="19"/>
          <w:highlight w:val="magenta"/>
          <w:lang w:eastAsia="pt-BR"/>
        </w:rPr>
        <w:t>Artigo V</w:t>
      </w:r>
    </w:p>
    <w:p w14:paraId="5D425B23" w14:textId="3AD33020" w:rsidR="001A77EF" w:rsidRPr="00A912A6" w:rsidRDefault="001A77EF" w:rsidP="001A77EF">
      <w:pPr>
        <w:spacing w:before="100" w:beforeAutospacing="1" w:after="100" w:afterAutospacing="1" w:line="240" w:lineRule="auto"/>
        <w:jc w:val="both"/>
        <w:rPr>
          <w:rFonts w:ascii="Book Antiqua" w:eastAsia="Times New Roman" w:hAnsi="Book Antiqua" w:cs="Times New Roman"/>
          <w:b/>
          <w:bCs/>
          <w:color w:val="000000"/>
          <w:sz w:val="19"/>
          <w:szCs w:val="19"/>
          <w:u w:val="single"/>
          <w:lang w:eastAsia="pt-BR"/>
        </w:rPr>
      </w:pPr>
      <w:r w:rsidRPr="001A77EF">
        <w:rPr>
          <w:rFonts w:ascii="Book Antiqua" w:eastAsia="Times New Roman" w:hAnsi="Book Antiqua" w:cs="Arial"/>
          <w:color w:val="000000"/>
          <w:sz w:val="19"/>
          <w:szCs w:val="19"/>
          <w:lang w:eastAsia="pt-BR"/>
        </w:rPr>
        <w:t xml:space="preserve">        </w:t>
      </w:r>
      <w:r w:rsidRPr="00A912A6">
        <w:rPr>
          <w:rFonts w:ascii="Book Antiqua" w:eastAsia="Times New Roman" w:hAnsi="Book Antiqua" w:cs="Arial"/>
          <w:b/>
          <w:bCs/>
          <w:color w:val="000000"/>
          <w:sz w:val="19"/>
          <w:szCs w:val="19"/>
          <w:highlight w:val="magenta"/>
          <w:lang w:eastAsia="pt-BR"/>
        </w:rPr>
        <w:t>1</w:t>
      </w:r>
      <w:r w:rsidRPr="001A77EF">
        <w:rPr>
          <w:rFonts w:ascii="Book Antiqua" w:eastAsia="Times New Roman" w:hAnsi="Book Antiqua" w:cs="Arial"/>
          <w:color w:val="000000"/>
          <w:sz w:val="19"/>
          <w:szCs w:val="19"/>
          <w:lang w:eastAsia="pt-BR"/>
        </w:rPr>
        <w:t xml:space="preserve">. </w:t>
      </w:r>
      <w:r w:rsidRPr="00A912A6">
        <w:rPr>
          <w:rFonts w:ascii="Book Antiqua" w:eastAsia="Times New Roman" w:hAnsi="Book Antiqua" w:cs="Arial"/>
          <w:b/>
          <w:bCs/>
          <w:color w:val="000000"/>
          <w:sz w:val="19"/>
          <w:szCs w:val="19"/>
          <w:lang w:eastAsia="pt-BR"/>
        </w:rPr>
        <w:t>O reconhecimento e a execução de uma sentença poderão ser indeferidos, a pedido da parte contra a qual ela é invocada, unicamente se esta parte fornecer, à autoridade competente onde se tenciona o reconhecimento e a execução, prova de que</w:t>
      </w:r>
      <w:r w:rsidRPr="001A77EF">
        <w:rPr>
          <w:rFonts w:ascii="Book Antiqua" w:eastAsia="Times New Roman" w:hAnsi="Book Antiqua" w:cs="Arial"/>
          <w:color w:val="000000"/>
          <w:sz w:val="19"/>
          <w:szCs w:val="19"/>
          <w:lang w:eastAsia="pt-BR"/>
        </w:rPr>
        <w:t>:</w:t>
      </w:r>
      <w:r w:rsidR="00A912A6">
        <w:rPr>
          <w:rFonts w:ascii="Book Antiqua" w:eastAsia="Times New Roman" w:hAnsi="Book Antiqua" w:cs="Arial"/>
          <w:color w:val="000000"/>
          <w:sz w:val="19"/>
          <w:szCs w:val="19"/>
          <w:lang w:eastAsia="pt-BR"/>
        </w:rPr>
        <w:t xml:space="preserve"> </w:t>
      </w:r>
      <w:r w:rsidR="00A912A6" w:rsidRPr="00A912A6">
        <w:rPr>
          <w:rFonts w:ascii="Book Antiqua" w:eastAsia="Times New Roman" w:hAnsi="Book Antiqua" w:cs="Arial"/>
          <w:b/>
          <w:bCs/>
          <w:color w:val="FF0000"/>
          <w:sz w:val="19"/>
          <w:szCs w:val="19"/>
          <w:u w:val="single"/>
          <w:lang w:eastAsia="pt-BR"/>
        </w:rPr>
        <w:t>(TRF3-2018)</w:t>
      </w:r>
    </w:p>
    <w:p w14:paraId="55AF2741"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a) as partes do acordo a que se refere o Artigo II estavam, em conformidade com a lei a elas aplicável, de algum modo incapacitadas, ou que tal acordo não é válido nos termos da lei à qual as partes o submeteram, ou, na ausência de indicação sobre a matéria, nos termos da lei do país onde a sentença foi proferida; ou</w:t>
      </w:r>
    </w:p>
    <w:p w14:paraId="3B81C4C7" w14:textId="086E9044"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912A6">
        <w:rPr>
          <w:rFonts w:ascii="Book Antiqua" w:eastAsia="Times New Roman" w:hAnsi="Book Antiqua" w:cs="Arial"/>
          <w:b/>
          <w:bCs/>
          <w:color w:val="000000"/>
          <w:sz w:val="19"/>
          <w:szCs w:val="19"/>
          <w:lang w:eastAsia="pt-BR"/>
        </w:rPr>
        <w:t>        b) a parte contra a qual a sentença é invocada não recebeu notificação apropriada acerca da designação do árbitro ou do processo de arbitragem, ou lhe foi impossível, por outras razões, apresentar seus argumentos; ou</w:t>
      </w:r>
      <w:r w:rsidR="00A912A6">
        <w:rPr>
          <w:rFonts w:ascii="Book Antiqua" w:eastAsia="Times New Roman" w:hAnsi="Book Antiqua" w:cs="Arial"/>
          <w:color w:val="000000"/>
          <w:sz w:val="19"/>
          <w:szCs w:val="19"/>
          <w:lang w:eastAsia="pt-BR"/>
        </w:rPr>
        <w:t xml:space="preserve"> </w:t>
      </w:r>
      <w:r w:rsidR="00A912A6" w:rsidRPr="00A912A6">
        <w:rPr>
          <w:rFonts w:ascii="Book Antiqua" w:eastAsia="Times New Roman" w:hAnsi="Book Antiqua" w:cs="Arial"/>
          <w:b/>
          <w:bCs/>
          <w:color w:val="FF0000"/>
          <w:sz w:val="19"/>
          <w:szCs w:val="19"/>
          <w:u w:val="single"/>
          <w:lang w:eastAsia="pt-BR"/>
        </w:rPr>
        <w:t>(TRF3-2018)</w:t>
      </w:r>
    </w:p>
    <w:p w14:paraId="7C66C9CD"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xml:space="preserve">        c) a sentença se refere a uma divergência que não está prevista ou que não se enquadra nos termos da cláusula de submissão à arbitragem, ou contém decisões acerca de matérias que transcendem o alcance da cláusula de submissão, contanto que, se as decisões sobre as matérias suscetíveis de </w:t>
      </w:r>
      <w:r w:rsidRPr="001A77EF">
        <w:rPr>
          <w:rFonts w:ascii="Book Antiqua" w:eastAsia="Times New Roman" w:hAnsi="Book Antiqua" w:cs="Arial"/>
          <w:color w:val="000000"/>
          <w:sz w:val="19"/>
          <w:szCs w:val="19"/>
          <w:lang w:eastAsia="pt-BR"/>
        </w:rPr>
        <w:lastRenderedPageBreak/>
        <w:t>arbitragem puderem ser separadas daquelas não suscetíveis, a parte da sentença que contém decisões sobre matérias suscetíveis de arbitragem possa ser reconhecida e executada; ou</w:t>
      </w:r>
    </w:p>
    <w:p w14:paraId="0E58B091"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d) a composição da autoridade arbitral ou o procedimento arbitral não se deu em conformidade com o acordado pelas partes, ou, na ausência de tal acordo, não se deu em conformidade com a lei do país em que a arbitragem ocorreu; ou</w:t>
      </w:r>
    </w:p>
    <w:p w14:paraId="7B7A5E26" w14:textId="213944B9"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912A6">
        <w:rPr>
          <w:rFonts w:ascii="Book Antiqua" w:eastAsia="Times New Roman" w:hAnsi="Book Antiqua" w:cs="Arial"/>
          <w:b/>
          <w:bCs/>
          <w:color w:val="000000"/>
          <w:sz w:val="19"/>
          <w:szCs w:val="19"/>
          <w:lang w:eastAsia="pt-BR"/>
        </w:rPr>
        <w:t>        e) a sentença ainda não se tornou obrigatória para as partes ou foi anulada ou suspensa por autoridade competente do país em que, ou conforme a lei do qual, a sentença tenha sido proferida</w:t>
      </w:r>
      <w:r w:rsidRPr="001A77EF">
        <w:rPr>
          <w:rFonts w:ascii="Book Antiqua" w:eastAsia="Times New Roman" w:hAnsi="Book Antiqua" w:cs="Arial"/>
          <w:color w:val="000000"/>
          <w:sz w:val="19"/>
          <w:szCs w:val="19"/>
          <w:lang w:eastAsia="pt-BR"/>
        </w:rPr>
        <w:t>.</w:t>
      </w:r>
      <w:r w:rsidR="00A912A6">
        <w:rPr>
          <w:rFonts w:ascii="Book Antiqua" w:eastAsia="Times New Roman" w:hAnsi="Book Antiqua" w:cs="Arial"/>
          <w:color w:val="000000"/>
          <w:sz w:val="19"/>
          <w:szCs w:val="19"/>
          <w:lang w:eastAsia="pt-BR"/>
        </w:rPr>
        <w:t xml:space="preserve"> </w:t>
      </w:r>
      <w:r w:rsidR="00A912A6" w:rsidRPr="00A912A6">
        <w:rPr>
          <w:rFonts w:ascii="Book Antiqua" w:eastAsia="Times New Roman" w:hAnsi="Book Antiqua" w:cs="Arial"/>
          <w:b/>
          <w:bCs/>
          <w:color w:val="FF0000"/>
          <w:sz w:val="19"/>
          <w:szCs w:val="19"/>
          <w:u w:val="single"/>
          <w:lang w:eastAsia="pt-BR"/>
        </w:rPr>
        <w:t>(TRF3-2018)</w:t>
      </w:r>
    </w:p>
    <w:p w14:paraId="207ACFD8"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2. O reconhecimento e a execução de uma sentença arbitral também poderão ser recusados caso a autoridade competente do país em que se tenciona o reconhecimento e a execução constatar que:</w:t>
      </w:r>
    </w:p>
    <w:p w14:paraId="228444A6"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a) segundo a lei daquele país, o objeto da divergência não é passível de solução mediante arbitragem; ou</w:t>
      </w:r>
    </w:p>
    <w:p w14:paraId="474A4A1A"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b) o reconhecimento ou a execução da sentença seria contrário à ordem pública daquele país.</w:t>
      </w:r>
    </w:p>
    <w:p w14:paraId="0809B153" w14:textId="77777777" w:rsidR="001A77EF" w:rsidRPr="001A77EF" w:rsidRDefault="001A77EF" w:rsidP="001A77EF">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Artigo VI</w:t>
      </w:r>
    </w:p>
    <w:p w14:paraId="76E46383"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Caso a anulação ou a suspensão da sentença tenha sido solicitada à autoridade competente mencionada no Artigo V, 1. (e), a autoridade perante a qual a sentença está sendo invocada poderá, se assim julgar cabível, adiar a decisão quanto a execução da sentença e poderá, igualmente, a pedido da parte que reivindica a execução da sentença, ordenar que a outra parte forneça garantias apropriadas.</w:t>
      </w:r>
    </w:p>
    <w:p w14:paraId="32CA98CB" w14:textId="77777777" w:rsidR="001A77EF" w:rsidRPr="001A77EF" w:rsidRDefault="001A77EF" w:rsidP="001A77EF">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Artigo VII</w:t>
      </w:r>
    </w:p>
    <w:p w14:paraId="2154757F"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1. As disposições da presente Convenção não afetarão a validade de acordos multilaterais ou bilaterais relativos ao reconhecimento e à execução de sentenças arbitrais celebrados pelos Estados signatários nem privarão qualquer parte interessada de qualquer direito que ela possa ter de valer-se de uma sentença arbitral da maneira e na medida permitidas pela lei ou pelos tratados do país em que a sentença é invocada.</w:t>
      </w:r>
    </w:p>
    <w:p w14:paraId="402C4322"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2. O Protocolo de Genebra sobre Cláusulas de Arbitragem de 1923 e a Convenção de Genebra sobre a Execução de Sentenças Arbitrais Estrangeiras de 1927 deixarão de ter efeito entre os Estados signatários quando, e na medida em que, eles se tornem obrigados pela presente Convenção.</w:t>
      </w:r>
    </w:p>
    <w:p w14:paraId="7D183974" w14:textId="77777777" w:rsidR="001A77EF" w:rsidRPr="001A77EF" w:rsidRDefault="001A77EF" w:rsidP="001A77EF">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Artigo VIII</w:t>
      </w:r>
    </w:p>
    <w:p w14:paraId="256109A2"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xml:space="preserve">        1. A presente Convenção estará aberta, até 31 de dezembro de 1958, à assinatura de qualquer Membro das Nações Unidas e também de qualquer outro Estado que seja ou que doravante se torne membro de qualquer órgão especializado das Nações Unidas, ou que seja ou que doravante se torne parte do Estatuto da Corte Internacional de Justiça, ou qualquer outro Estado convidado pela </w:t>
      </w:r>
      <w:proofErr w:type="spellStart"/>
      <w:r w:rsidRPr="001A77EF">
        <w:rPr>
          <w:rFonts w:ascii="Book Antiqua" w:eastAsia="Times New Roman" w:hAnsi="Book Antiqua" w:cs="Arial"/>
          <w:color w:val="000000"/>
          <w:sz w:val="19"/>
          <w:szCs w:val="19"/>
          <w:lang w:eastAsia="pt-BR"/>
        </w:rPr>
        <w:t>Assembléia</w:t>
      </w:r>
      <w:proofErr w:type="spellEnd"/>
      <w:r w:rsidRPr="001A77EF">
        <w:rPr>
          <w:rFonts w:ascii="Book Antiqua" w:eastAsia="Times New Roman" w:hAnsi="Book Antiqua" w:cs="Arial"/>
          <w:color w:val="000000"/>
          <w:sz w:val="19"/>
          <w:szCs w:val="19"/>
          <w:lang w:eastAsia="pt-BR"/>
        </w:rPr>
        <w:t xml:space="preserve"> Geral das Nações Unidas.</w:t>
      </w:r>
    </w:p>
    <w:p w14:paraId="16BB544F"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2. A presente Convenção deverá ser ratificada e o instrumento de ratificação será depositado junto ao Secretário-Geral das Nações Unidas.</w:t>
      </w:r>
    </w:p>
    <w:p w14:paraId="2B9E26FA" w14:textId="77777777" w:rsidR="001A77EF" w:rsidRPr="001A77EF" w:rsidRDefault="001A77EF" w:rsidP="001A77EF">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Artigo IX</w:t>
      </w:r>
    </w:p>
    <w:p w14:paraId="6D4A1B36"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1. A presente Convenção estará aberta para adesão a todos os Estados mencionados no Artigo VIII.</w:t>
      </w:r>
    </w:p>
    <w:p w14:paraId="4F02D104"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2. A adesão será efetuada mediante o depósito de instrumento de adesão junto ao Secretário-Geral das Nações Unidas.</w:t>
      </w:r>
    </w:p>
    <w:p w14:paraId="3A195D98" w14:textId="77777777" w:rsidR="001A77EF" w:rsidRPr="001A77EF" w:rsidRDefault="001A77EF" w:rsidP="001A77EF">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Artigo X</w:t>
      </w:r>
    </w:p>
    <w:p w14:paraId="7A287392"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lastRenderedPageBreak/>
        <w:t>        1. Qualquer Estado poderá, quando da assinatura, ratificação ou adesão, declarar que a presente Convenção se estenderá a todos ou a qualquer dos territórios por cujas relações internacionais ele é responsável. Tal declaração passará a ter efeito quando a Convenção entrar em vigor para tal Estado.</w:t>
      </w:r>
    </w:p>
    <w:p w14:paraId="7CE6A2B1"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2. A qualquer tempo a partir dessa data, qualquer extensão será feita mediante notificação dirigida ao Secretário-Geral das Nações Unidas e terá efeito a partir do nonagésimo dia a contar do recebimento pelo Secretário-Geral das Nações Unidas de tal notificação, ou a partir da data de entrada em vigor da Convenção para tal Estado, considerada sempre a última data.</w:t>
      </w:r>
    </w:p>
    <w:p w14:paraId="36FC6DD7"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3. Com respeito àqueles territórios aos quais a presente Convenção não for estendida quando da assinatura, ratificação ou adesão, cada Estado interessado examinará a possibilidade de tomar as medidas necessárias a fim de estender a aplicação da presente Convenção a tais territórios, respeitando-se a necessidade, quando assim exigido por razões constitucionais, do consentimento dos Governos de tais territórios.</w:t>
      </w:r>
    </w:p>
    <w:p w14:paraId="0D0EAF98" w14:textId="77777777" w:rsidR="001A77EF" w:rsidRPr="001A77EF" w:rsidRDefault="001A77EF" w:rsidP="001A77EF">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Artigo XI</w:t>
      </w:r>
    </w:p>
    <w:p w14:paraId="07730F92"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No caso de um Estado federativo ou não-unitário, aplicar-se-ão as seguintes disposições:</w:t>
      </w:r>
    </w:p>
    <w:p w14:paraId="6429141A"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a) com relação aos artigos da presente Convenção que se enquadrem na jurisdição legislativa da autoridade federal, as obrigações do Governo federal serão as mesmas que aquelas dos Estados signatários que não são Estados federativos;</w:t>
      </w:r>
    </w:p>
    <w:p w14:paraId="16F50EE7"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b) com relação àqueles artigos da presente Convenção que se enquadrem na jurisdição legislativa dos estados e das províncias constituintes que, em virtude do sistema constitucional da confederação, não são obrigados a adotar medidas legislativas, o Governo federal, o mais cedo possível, levará tais artigos, com recomendação favorável, ao conhecimento das autoridades competentes dos estados e das províncias constituintes;</w:t>
      </w:r>
    </w:p>
    <w:p w14:paraId="52496525"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c) um Estado federativo Parte da presente Convenção fornecerá, atendendo a pedido de qualquer outro Estado signatário que lhe tenha sido transmitido por meio do Secretário-Geral das Nações Unidas, uma declaração da lei e da prática na confederação e em suas unidades constituintes com relação a qualquer disposição em particular da presente Convenção, indicando até que ponto se tornou efetiva aquela disposição mediante ação legislativa ou outra.</w:t>
      </w:r>
    </w:p>
    <w:p w14:paraId="64BA233E" w14:textId="77777777" w:rsidR="001A77EF" w:rsidRPr="001A77EF" w:rsidRDefault="001A77EF" w:rsidP="001A77EF">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Artigo XII</w:t>
      </w:r>
    </w:p>
    <w:p w14:paraId="53E6E374"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1. A presente Convenção entrará em vigor no nonagésimo dia após a data de depósito do terceiro instrumento de ratificação ou adesão.</w:t>
      </w:r>
    </w:p>
    <w:p w14:paraId="5BB0C27D"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2. Para cada Estado que ratificar ou aderir à presente Convenção após o depósito do terceiro instrumento de ratificação ou adesão, a presente Convenção entrará em vigor no nonagésimo dia após o depósito por tal Estado de seu instrumento de ratificação ou adesão.</w:t>
      </w:r>
    </w:p>
    <w:p w14:paraId="27221E16" w14:textId="77777777" w:rsidR="001A77EF" w:rsidRPr="001A77EF" w:rsidRDefault="001A77EF" w:rsidP="001A77EF">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Artigo XIII</w:t>
      </w:r>
    </w:p>
    <w:p w14:paraId="62E90250"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1. Qualquer Estado signatário poderá denunciar a presente Convenção mediante notificação por escrito dirigida ao Secretário-Geral das Nações Unidas. A denúncia terá efeito um ano após a data de recebimento da notificação pelo Secretário-Geral.</w:t>
      </w:r>
    </w:p>
    <w:p w14:paraId="200AAC7A"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2. Qualquer Estado que tenha feito uma declaração ou notificação nos termos do Artigo X poderá, a qualquer tempo a partir dessa data, mediante notificação ao Secretário-Geral das Nações Unidas, declarar que a presente Convenção deixará de aplicar-se ao território em questão um ano após a data de recebimento da notificação pelo Secretário-Geral.</w:t>
      </w:r>
    </w:p>
    <w:p w14:paraId="54878FFF"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3. A presente Convenção continuará sendo aplicável a sentenças arbitrais com relação às quais tenham sido instituídos processos de reconhecimento ou de execução antes de a denúncia surtir efeito.</w:t>
      </w:r>
    </w:p>
    <w:p w14:paraId="6FAC1502" w14:textId="77777777" w:rsidR="001A77EF" w:rsidRPr="001A77EF" w:rsidRDefault="001A77EF" w:rsidP="001A77EF">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Artigo XIV</w:t>
      </w:r>
    </w:p>
    <w:p w14:paraId="37AED2BB"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lastRenderedPageBreak/>
        <w:t>        Um Estado signatário não poderá valer-se da presente Convenção contra outros Estados signatários, salvo na medida em que ele mesmo esteja obrigado a aplicar a Convenção.</w:t>
      </w:r>
    </w:p>
    <w:p w14:paraId="48D72414" w14:textId="77777777" w:rsidR="001A77EF" w:rsidRPr="001A77EF" w:rsidRDefault="001A77EF" w:rsidP="001A77EF">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Artigo XV</w:t>
      </w:r>
    </w:p>
    <w:p w14:paraId="008FEC6F"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O Secretário-Geral das Nações Unidas notificará os Estados previstos no Artigo VIII acerca de:</w:t>
      </w:r>
    </w:p>
    <w:p w14:paraId="2C6E17A5"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a) assinaturas e ratificações em conformidade com o Artigo VIII;</w:t>
      </w:r>
    </w:p>
    <w:p w14:paraId="168DED10"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b) adesões em conformidade com o Artigo IX;</w:t>
      </w:r>
    </w:p>
    <w:p w14:paraId="5DCC2ECD"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c) declarações e notificações nos termos dos Artigos I, X e XI;</w:t>
      </w:r>
    </w:p>
    <w:p w14:paraId="7D2C6891"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d) data em que a presente Convenção entrar em vigor em conformidade com o Artigo XII;</w:t>
      </w:r>
    </w:p>
    <w:p w14:paraId="2BB46F06"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e) denúncias e notificações em conformidade com o Artigo XIII.</w:t>
      </w:r>
    </w:p>
    <w:p w14:paraId="441405D5" w14:textId="77777777" w:rsidR="001A77EF" w:rsidRPr="001A77EF" w:rsidRDefault="001A77EF" w:rsidP="001A77EF">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Artigo XVI</w:t>
      </w:r>
    </w:p>
    <w:p w14:paraId="4F308F40"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1. A presente Convenção, da qual os textos em chinês, inglês, francês, russo e espanhol são igualmente autênticos, será depositada nos arquivos das Nações Unidas.</w:t>
      </w:r>
    </w:p>
    <w:p w14:paraId="14F4600C" w14:textId="77777777" w:rsidR="001A77EF" w:rsidRPr="001A77EF" w:rsidRDefault="001A77EF" w:rsidP="001A77E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A77EF">
        <w:rPr>
          <w:rFonts w:ascii="Book Antiqua" w:eastAsia="Times New Roman" w:hAnsi="Book Antiqua" w:cs="Arial"/>
          <w:color w:val="000000"/>
          <w:sz w:val="19"/>
          <w:szCs w:val="19"/>
          <w:lang w:eastAsia="pt-BR"/>
        </w:rPr>
        <w:t>        2. O Secretário-Geral das Nações Unidas transmitirá uma cópia autenticada da presente Convenção aos Estados contemplados no Artigo VIII.</w:t>
      </w:r>
    </w:p>
    <w:p w14:paraId="13A7F5D5" w14:textId="77777777" w:rsidR="008E55CA" w:rsidRPr="001A77EF" w:rsidRDefault="008E55CA" w:rsidP="001A77EF">
      <w:pPr>
        <w:spacing w:before="100" w:beforeAutospacing="1" w:after="100" w:afterAutospacing="1" w:line="240" w:lineRule="auto"/>
        <w:rPr>
          <w:rFonts w:ascii="Book Antiqua" w:hAnsi="Book Antiqua"/>
          <w:sz w:val="19"/>
          <w:szCs w:val="19"/>
        </w:rPr>
      </w:pPr>
    </w:p>
    <w:sectPr w:rsidR="008E55CA" w:rsidRPr="001A77EF" w:rsidSect="001A77EF">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5CA"/>
    <w:rsid w:val="001A77EF"/>
    <w:rsid w:val="008E55CA"/>
    <w:rsid w:val="00A7197A"/>
    <w:rsid w:val="00A75A8C"/>
    <w:rsid w:val="00A912A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E4C77"/>
  <w15:chartTrackingRefBased/>
  <w15:docId w15:val="{F4794702-D0BE-4B24-BCB8-286400342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1A77E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A77EF"/>
    <w:rPr>
      <w:b/>
      <w:bCs/>
    </w:rPr>
  </w:style>
  <w:style w:type="character" w:styleId="Hyperlink">
    <w:name w:val="Hyperlink"/>
    <w:basedOn w:val="Fontepargpadro"/>
    <w:uiPriority w:val="99"/>
    <w:semiHidden/>
    <w:unhideWhenUsed/>
    <w:rsid w:val="001A77E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095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planalto.gov.br/ccivil_03/Constituicao/Constitui%C3%A7ao.htm" TargetMode="External"/><Relationship Id="rId4" Type="http://schemas.openxmlformats.org/officeDocument/2006/relationships/hyperlink" Target="http://legislacao.planalto.gov.br/legisla/legislacao.nsf/Viw_Identificacao/DEC%204.311-2002?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2171</Words>
  <Characters>11727</Characters>
  <Application>Microsoft Office Word</Application>
  <DocSecurity>0</DocSecurity>
  <Lines>97</Lines>
  <Paragraphs>27</Paragraphs>
  <ScaleCrop>false</ScaleCrop>
  <Company/>
  <LinksUpToDate>false</LinksUpToDate>
  <CharactersWithSpaces>13871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9</cp:revision>
  <dcterms:created xsi:type="dcterms:W3CDTF">2021-02-04T15:18:00Z</dcterms:created>
  <dcterms:modified xsi:type="dcterms:W3CDTF">2021-09-25T18:36:00Z</dcterms:modified>
</cp:coreProperties>
</file>