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4551BC" w14:textId="65A1945D" w:rsidR="00287D69" w:rsidRPr="00287D69" w:rsidRDefault="00287D69" w:rsidP="00287D69">
      <w:pPr>
        <w:spacing w:before="100" w:beforeAutospacing="1" w:after="100" w:afterAutospacing="1" w:line="240" w:lineRule="auto"/>
        <w:jc w:val="center"/>
        <w:rPr>
          <w:rFonts w:ascii="Book Antiqua" w:hAnsi="Book Antiqua"/>
          <w:b/>
          <w:bCs/>
          <w:color w:val="FF0000"/>
          <w:sz w:val="19"/>
          <w:szCs w:val="19"/>
        </w:rPr>
      </w:pPr>
      <w:r w:rsidRPr="00287D69">
        <w:rPr>
          <w:rFonts w:ascii="Book Antiqua" w:hAnsi="Book Antiqua"/>
          <w:b/>
          <w:bCs/>
          <w:color w:val="FF0000"/>
          <w:sz w:val="19"/>
          <w:szCs w:val="19"/>
        </w:rPr>
        <w:t>(Atualização em 16/01/2021: questões de concurso)</w:t>
      </w:r>
    </w:p>
    <w:p w14:paraId="4AC07BBC" w14:textId="1FF9F554" w:rsidR="00287D69" w:rsidRPr="00287D69" w:rsidRDefault="00287D69" w:rsidP="00287D69">
      <w:pPr>
        <w:spacing w:before="100" w:beforeAutospacing="1" w:after="100" w:afterAutospacing="1" w:line="240" w:lineRule="auto"/>
        <w:jc w:val="center"/>
        <w:rPr>
          <w:rFonts w:ascii="Book Antiqua" w:hAnsi="Book Antiqua"/>
          <w:b/>
          <w:bCs/>
          <w:sz w:val="19"/>
          <w:szCs w:val="19"/>
        </w:rPr>
      </w:pPr>
      <w:r w:rsidRPr="00287D69">
        <w:rPr>
          <w:rFonts w:ascii="Book Antiqua" w:hAnsi="Book Antiqua"/>
          <w:b/>
          <w:bCs/>
          <w:sz w:val="19"/>
          <w:szCs w:val="19"/>
        </w:rPr>
        <w:t>STJ Resolução Nº 9/2005</w:t>
      </w:r>
    </w:p>
    <w:p w14:paraId="5557C997" w14:textId="77777777" w:rsidR="00287D69" w:rsidRPr="00287D69" w:rsidRDefault="00287D69" w:rsidP="00E974C8">
      <w:pPr>
        <w:spacing w:before="100" w:beforeAutospacing="1" w:after="100" w:afterAutospacing="1" w:line="240" w:lineRule="auto"/>
        <w:ind w:left="3119"/>
        <w:jc w:val="both"/>
        <w:rPr>
          <w:rFonts w:ascii="Book Antiqua" w:hAnsi="Book Antiqua"/>
          <w:sz w:val="19"/>
          <w:szCs w:val="19"/>
        </w:rPr>
      </w:pPr>
      <w:r w:rsidRPr="00287D69">
        <w:rPr>
          <w:rFonts w:ascii="Book Antiqua" w:hAnsi="Book Antiqua"/>
          <w:sz w:val="19"/>
          <w:szCs w:val="19"/>
        </w:rPr>
        <w:t>Superior Tribunal de Justiça, 4 de maio de 2005</w:t>
      </w:r>
    </w:p>
    <w:p w14:paraId="23DD8E15" w14:textId="77777777" w:rsidR="00287D69" w:rsidRPr="00287D69" w:rsidRDefault="00287D69" w:rsidP="00287D69">
      <w:pPr>
        <w:spacing w:before="100" w:beforeAutospacing="1" w:after="100" w:afterAutospacing="1" w:line="240" w:lineRule="auto"/>
        <w:ind w:left="3119"/>
        <w:jc w:val="both"/>
        <w:rPr>
          <w:rFonts w:ascii="Book Antiqua" w:hAnsi="Book Antiqua"/>
          <w:sz w:val="18"/>
          <w:szCs w:val="18"/>
        </w:rPr>
      </w:pPr>
      <w:r w:rsidRPr="00287D69">
        <w:rPr>
          <w:rFonts w:ascii="Book Antiqua" w:hAnsi="Book Antiqua"/>
          <w:sz w:val="18"/>
          <w:szCs w:val="18"/>
        </w:rPr>
        <w:t>Dispõe, em caráter transitório, sobre com</w:t>
      </w:r>
      <w:r w:rsidRPr="00287D69">
        <w:rPr>
          <w:rFonts w:ascii="Book Antiqua" w:hAnsi="Book Antiqua"/>
          <w:sz w:val="18"/>
          <w:szCs w:val="18"/>
        </w:rPr>
        <w:softHyphen/>
        <w:t>petência acrescida ao Superior Tribunal de Justiça pela Emenda Constitucional nº 45/2004.</w:t>
      </w:r>
    </w:p>
    <w:p w14:paraId="05A08882" w14:textId="77777777" w:rsidR="00287D69" w:rsidRPr="00287D69" w:rsidRDefault="00287D69" w:rsidP="00287D69">
      <w:pPr>
        <w:spacing w:before="100" w:beforeAutospacing="1" w:after="100" w:afterAutospacing="1" w:line="240" w:lineRule="auto"/>
        <w:ind w:firstLine="567"/>
        <w:jc w:val="both"/>
        <w:rPr>
          <w:rFonts w:ascii="Book Antiqua" w:hAnsi="Book Antiqua"/>
          <w:sz w:val="19"/>
          <w:szCs w:val="19"/>
        </w:rPr>
      </w:pPr>
      <w:r w:rsidRPr="00287D69">
        <w:rPr>
          <w:rFonts w:ascii="Book Antiqua" w:hAnsi="Book Antiqua"/>
          <w:sz w:val="19"/>
          <w:szCs w:val="19"/>
        </w:rPr>
        <w:t>O PRESIDENTE DO SUPERIOR TRIBUNAL DE JUSTIÇA, no uso das atribuições regimentais previstas no art. 21, inciso XX, combinado com o art. 10, inciso V, e com base na alteração promovida pela Emenda Constitucional nº 45/2004 que atribuiu competência ao Superior Tribunal de Justiça para processar e julgar, originariamente, a homologação de sentenças estrangeiras e a concessão de </w:t>
      </w:r>
      <w:r w:rsidRPr="00287D69">
        <w:rPr>
          <w:rFonts w:ascii="Book Antiqua" w:hAnsi="Book Antiqua"/>
          <w:i/>
          <w:iCs/>
          <w:sz w:val="19"/>
          <w:szCs w:val="19"/>
        </w:rPr>
        <w:t>exequatur</w:t>
      </w:r>
      <w:r w:rsidRPr="00287D69">
        <w:rPr>
          <w:rFonts w:ascii="Book Antiqua" w:hAnsi="Book Antiqua"/>
          <w:sz w:val="19"/>
          <w:szCs w:val="19"/>
        </w:rPr>
        <w:t> às cartas rogatórias (Constituição Federal, Art. 105, inciso I, alínea “i”), ad referendum do Plenário, resolve:</w:t>
      </w:r>
    </w:p>
    <w:p w14:paraId="7AA1A4A3"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1º Ficam criadas as classes processuais de Homologação de Sentença Estrangeira e de Cartas Rogatórias no rol dos feitos submetidos ao Superior Tribunal de Justiça, as quais observarão o disposto nesta Resolução, em caráter excepcional, até que o Plenário da Corte aprove disposições regimentais próprias.</w:t>
      </w:r>
    </w:p>
    <w:p w14:paraId="2635F102"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Parágrafo único. Fica sobrestado o pagamento de custas dos processos tratados nesta Resolução que entrarem neste Tribunal após a publicação da mencionada Emenda Constitucional, até a deliberação referida no caput deste artigo.</w:t>
      </w:r>
    </w:p>
    <w:p w14:paraId="7E6BB3DD"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2º É atribuição do Presidente homologar sentenças estrangeiras e conceder exequatur a cartas rogatórias, ressalvado o disposto no artigo 9º desta Resolução.</w:t>
      </w:r>
    </w:p>
    <w:p w14:paraId="04E012D6"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3º A homologação de sentença estrangeira será requerida pela parte interessada, devendo a petição inicial conter as indicações constantes da lei processual, e ser instruída com a certidão ou cópia autêntica do texto integral da sentença estrangeira e com outros documentos indispensáveis, devidamente traduzidos e autenticados.</w:t>
      </w:r>
    </w:p>
    <w:p w14:paraId="233F3E70"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b/>
          <w:bCs/>
          <w:sz w:val="19"/>
          <w:szCs w:val="19"/>
          <w:highlight w:val="magenta"/>
        </w:rPr>
        <w:t>Art. 4º</w:t>
      </w:r>
      <w:r w:rsidRPr="00287D69">
        <w:rPr>
          <w:rFonts w:ascii="Book Antiqua" w:hAnsi="Book Antiqua"/>
          <w:sz w:val="19"/>
          <w:szCs w:val="19"/>
        </w:rPr>
        <w:t xml:space="preserve"> A sentença estrangeira não terá eficácia no Brasil sem a prévia homologação pelo Superior Tribunal de Justiça ou por seu Presidente.</w:t>
      </w:r>
    </w:p>
    <w:p w14:paraId="0602D1BD" w14:textId="77777777" w:rsid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 xml:space="preserve">§1º Serão homologados os provimentos não-judiciais que, pela lei brasileira, teriam natureza de sentença. </w:t>
      </w:r>
    </w:p>
    <w:p w14:paraId="4C4B05FC" w14:textId="562FAD49" w:rsidR="00287D69" w:rsidRDefault="00287D69" w:rsidP="00287D69">
      <w:pPr>
        <w:spacing w:before="100" w:beforeAutospacing="1" w:after="100" w:afterAutospacing="1" w:line="240" w:lineRule="auto"/>
        <w:jc w:val="both"/>
        <w:rPr>
          <w:rFonts w:ascii="Book Antiqua" w:hAnsi="Book Antiqua"/>
          <w:b/>
          <w:bCs/>
          <w:color w:val="FF0000"/>
          <w:sz w:val="19"/>
          <w:szCs w:val="19"/>
        </w:rPr>
      </w:pPr>
      <w:r w:rsidRPr="00287D69">
        <w:rPr>
          <w:rFonts w:ascii="Book Antiqua" w:hAnsi="Book Antiqua"/>
          <w:b/>
          <w:bCs/>
          <w:sz w:val="19"/>
          <w:szCs w:val="19"/>
          <w:highlight w:val="magenta"/>
        </w:rPr>
        <w:t>§2º</w:t>
      </w:r>
      <w:r w:rsidRPr="00287D69">
        <w:rPr>
          <w:rFonts w:ascii="Book Antiqua" w:hAnsi="Book Antiqua"/>
          <w:sz w:val="19"/>
          <w:szCs w:val="19"/>
        </w:rPr>
        <w:t xml:space="preserve"> As decisões estrangeiras podem ser homologadas parcialmente.</w:t>
      </w:r>
      <w:r>
        <w:rPr>
          <w:rFonts w:ascii="Book Antiqua" w:hAnsi="Book Antiqua"/>
          <w:sz w:val="19"/>
          <w:szCs w:val="19"/>
        </w:rPr>
        <w:t xml:space="preserve"> </w:t>
      </w:r>
      <w:r w:rsidRPr="00287D69">
        <w:rPr>
          <w:rFonts w:ascii="Book Antiqua" w:hAnsi="Book Antiqua"/>
          <w:b/>
          <w:bCs/>
          <w:color w:val="FF0000"/>
          <w:sz w:val="19"/>
          <w:szCs w:val="19"/>
          <w:u w:val="single"/>
        </w:rPr>
        <w:t>(TRF4-2010)</w:t>
      </w:r>
    </w:p>
    <w:tbl>
      <w:tblPr>
        <w:tblStyle w:val="Tabelacomgrade"/>
        <w:tblW w:w="0" w:type="auto"/>
        <w:tblLook w:val="04A0" w:firstRow="1" w:lastRow="0" w:firstColumn="1" w:lastColumn="0" w:noHBand="0" w:noVBand="1"/>
      </w:tblPr>
      <w:tblGrid>
        <w:gridCol w:w="8494"/>
      </w:tblGrid>
      <w:tr w:rsidR="00287D69" w14:paraId="43102441" w14:textId="77777777" w:rsidTr="00287D69">
        <w:tc>
          <w:tcPr>
            <w:tcW w:w="8494" w:type="dxa"/>
            <w:shd w:val="clear" w:color="auto" w:fill="CCFFFF"/>
          </w:tcPr>
          <w:p w14:paraId="1F98C6D2" w14:textId="1BC0C5C5" w:rsidR="00287D69" w:rsidRPr="00287D69" w:rsidRDefault="00287D69" w:rsidP="00287D69">
            <w:pPr>
              <w:spacing w:before="100" w:beforeAutospacing="1" w:after="100" w:afterAutospacing="1"/>
              <w:jc w:val="both"/>
              <w:rPr>
                <w:rFonts w:ascii="Book Antiqua" w:hAnsi="Book Antiqua"/>
                <w:sz w:val="19"/>
                <w:szCs w:val="19"/>
              </w:rPr>
            </w:pPr>
            <w:r w:rsidRPr="00287D69">
              <w:rPr>
                <w:rFonts w:ascii="Book Antiqua" w:hAnsi="Book Antiqua"/>
                <w:b/>
                <w:bCs/>
                <w:i/>
                <w:iCs/>
                <w:color w:val="FF0000"/>
                <w:sz w:val="19"/>
                <w:szCs w:val="19"/>
              </w:rPr>
              <w:t>##</w:t>
            </w:r>
            <w:r w:rsidRPr="00287D69">
              <w:rPr>
                <w:rFonts w:ascii="Book Antiqua" w:hAnsi="Book Antiqua"/>
                <w:b/>
                <w:bCs/>
                <w:i/>
                <w:iCs/>
                <w:color w:val="FF0000"/>
                <w:sz w:val="19"/>
                <w:szCs w:val="19"/>
                <w:highlight w:val="green"/>
              </w:rPr>
              <w:t>Atenção</w:t>
            </w:r>
            <w:r>
              <w:rPr>
                <w:rFonts w:ascii="Book Antiqua" w:hAnsi="Book Antiqua"/>
                <w:sz w:val="19"/>
                <w:szCs w:val="19"/>
              </w:rPr>
              <w:t xml:space="preserve">: No mesmo sentido, vejamos o teor do §2º do art. 961 do NCPC: </w:t>
            </w:r>
            <w:r w:rsidRPr="00287D69">
              <w:rPr>
                <w:rFonts w:ascii="Book Antiqua" w:hAnsi="Book Antiqua"/>
                <w:i/>
                <w:iCs/>
                <w:sz w:val="19"/>
                <w:szCs w:val="19"/>
              </w:rPr>
              <w:t xml:space="preserve">“Art. 961.  A decisão estrangeira somente terá eficácia no Brasil após a homologação de sentença estrangeira ou a concessão do exequatur às cartas rogatórias, salvo disposição em sentido contrário de lei ou tratado. (...) </w:t>
            </w:r>
            <w:r w:rsidRPr="00287D69">
              <w:rPr>
                <w:rFonts w:ascii="Book Antiqua" w:hAnsi="Book Antiqua"/>
                <w:b/>
                <w:bCs/>
                <w:i/>
                <w:iCs/>
                <w:sz w:val="19"/>
                <w:szCs w:val="19"/>
                <w:highlight w:val="yellow"/>
              </w:rPr>
              <w:t>§ 2o A decisão estrangeira poderá ser homologada parcialmente</w:t>
            </w:r>
            <w:r w:rsidRPr="00287D69">
              <w:rPr>
                <w:rFonts w:ascii="Book Antiqua" w:hAnsi="Book Antiqua"/>
                <w:i/>
                <w:iCs/>
                <w:sz w:val="19"/>
                <w:szCs w:val="19"/>
              </w:rPr>
              <w:t>.”</w:t>
            </w:r>
          </w:p>
        </w:tc>
      </w:tr>
    </w:tbl>
    <w:p w14:paraId="75317055" w14:textId="0507598B"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§3º Admite-se tutela de urgência nos procedimentos de homologação de sentenças estrangeiras.</w:t>
      </w:r>
    </w:p>
    <w:p w14:paraId="04AF5A47"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5º Constituem requisitos indispensáveis à homologação de sentença estrangeira:</w:t>
      </w:r>
    </w:p>
    <w:p w14:paraId="562710C3"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I - haver sido proferida por autoridade competente;</w:t>
      </w:r>
    </w:p>
    <w:p w14:paraId="33BAE0CF"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 xml:space="preserve">II - terem sido as partes citadas ou haver-se legalmente verificado </w:t>
      </w:r>
      <w:proofErr w:type="spellStart"/>
      <w:r w:rsidRPr="00287D69">
        <w:rPr>
          <w:rFonts w:ascii="Book Antiqua" w:hAnsi="Book Antiqua"/>
          <w:sz w:val="19"/>
          <w:szCs w:val="19"/>
        </w:rPr>
        <w:t>a</w:t>
      </w:r>
      <w:proofErr w:type="spellEnd"/>
      <w:r w:rsidRPr="00287D69">
        <w:rPr>
          <w:rFonts w:ascii="Book Antiqua" w:hAnsi="Book Antiqua"/>
          <w:sz w:val="19"/>
          <w:szCs w:val="19"/>
        </w:rPr>
        <w:t xml:space="preserve"> revelia.;</w:t>
      </w:r>
    </w:p>
    <w:p w14:paraId="30EB1CA6" w14:textId="77777777" w:rsidR="00B152BA"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 xml:space="preserve">III - ter transitado em julgado; e </w:t>
      </w:r>
    </w:p>
    <w:p w14:paraId="234F221E" w14:textId="6054D13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IV - estar autenticada pelo cônsul brasileiro e acompanhada de tradução por tradutor oficial ou juramentado no Brasil.</w:t>
      </w:r>
    </w:p>
    <w:p w14:paraId="20C27D7C" w14:textId="77777777" w:rsidR="00B152BA"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lastRenderedPageBreak/>
        <w:t>Art. 6º Não será homologada sentença estrangeira ou concedido </w:t>
      </w:r>
      <w:r w:rsidRPr="00287D69">
        <w:rPr>
          <w:rFonts w:ascii="Book Antiqua" w:hAnsi="Book Antiqua"/>
          <w:i/>
          <w:iCs/>
          <w:sz w:val="19"/>
          <w:szCs w:val="19"/>
        </w:rPr>
        <w:t>exequatur</w:t>
      </w:r>
      <w:r w:rsidRPr="00287D69">
        <w:rPr>
          <w:rFonts w:ascii="Book Antiqua" w:hAnsi="Book Antiqua"/>
          <w:sz w:val="19"/>
          <w:szCs w:val="19"/>
        </w:rPr>
        <w:t xml:space="preserve"> a carta rogatória que ofendam a soberania ou a ordem pública. </w:t>
      </w:r>
    </w:p>
    <w:p w14:paraId="2DDCA63A" w14:textId="2C1AF1FF"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7º As cartas rogatórias podem ter por objeto atos decisórios ou não decisórios.</w:t>
      </w:r>
    </w:p>
    <w:p w14:paraId="04E1C3EF"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Parágrafo único. Os pedidos de cooperação jurídica internacional que tiverem por objeto atos que não ensejem juízo de delibação pelo Superior Tribunal de Justiça, ainda que denominados como carta rogatória, serão encaminhados ou devolvidos ao Ministério da Justiça para as providências necessárias ao cumprimento por auxílio direto.</w:t>
      </w:r>
    </w:p>
    <w:p w14:paraId="7DB42117" w14:textId="02665D6E" w:rsidR="00B152BA" w:rsidRDefault="00287D69" w:rsidP="00287D69">
      <w:pPr>
        <w:spacing w:before="100" w:beforeAutospacing="1" w:after="100" w:afterAutospacing="1" w:line="240" w:lineRule="auto"/>
        <w:jc w:val="both"/>
        <w:rPr>
          <w:rFonts w:ascii="Book Antiqua" w:hAnsi="Book Antiqua"/>
          <w:sz w:val="19"/>
          <w:szCs w:val="19"/>
        </w:rPr>
      </w:pPr>
      <w:r w:rsidRPr="00B152BA">
        <w:rPr>
          <w:rFonts w:ascii="Book Antiqua" w:hAnsi="Book Antiqua"/>
          <w:b/>
          <w:bCs/>
          <w:sz w:val="19"/>
          <w:szCs w:val="19"/>
          <w:highlight w:val="magenta"/>
        </w:rPr>
        <w:t>Art. 8º</w:t>
      </w:r>
      <w:r w:rsidRPr="00287D69">
        <w:rPr>
          <w:rFonts w:ascii="Book Antiqua" w:hAnsi="Book Antiqua"/>
          <w:sz w:val="19"/>
          <w:szCs w:val="19"/>
        </w:rPr>
        <w:t xml:space="preserve"> A parte interessada será citada para, no prazo de 15 (quinze) dias, contestar o pedido de homologação de sentença estrangeira ou intimada para impugnar a carta rogatória. </w:t>
      </w:r>
      <w:r w:rsidR="00B152BA">
        <w:rPr>
          <w:rFonts w:ascii="Book Antiqua" w:hAnsi="Book Antiqua"/>
          <w:b/>
          <w:color w:val="FF0000"/>
          <w:sz w:val="19"/>
          <w:szCs w:val="19"/>
          <w:u w:val="single"/>
        </w:rPr>
        <w:t>(TRF4-2010)</w:t>
      </w:r>
    </w:p>
    <w:p w14:paraId="64265887" w14:textId="15A533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B152BA">
        <w:rPr>
          <w:rFonts w:ascii="Book Antiqua" w:hAnsi="Book Antiqua"/>
          <w:b/>
          <w:bCs/>
          <w:sz w:val="19"/>
          <w:szCs w:val="19"/>
          <w:highlight w:val="magenta"/>
        </w:rPr>
        <w:t>Parágrafo único</w:t>
      </w:r>
      <w:r w:rsidRPr="00287D69">
        <w:rPr>
          <w:rFonts w:ascii="Book Antiqua" w:hAnsi="Book Antiqua"/>
          <w:sz w:val="19"/>
          <w:szCs w:val="19"/>
        </w:rPr>
        <w:t>. A medida solicitada por carta rogatória poderá ser realizada sem ouvir a parte interessada quando sua intimação prévia puder resultar na ineficácia da cooperação internacional.</w:t>
      </w:r>
      <w:r w:rsidR="00B152BA">
        <w:rPr>
          <w:rFonts w:ascii="Book Antiqua" w:hAnsi="Book Antiqua"/>
          <w:sz w:val="19"/>
          <w:szCs w:val="19"/>
        </w:rPr>
        <w:t xml:space="preserve"> </w:t>
      </w:r>
      <w:r w:rsidR="00B152BA">
        <w:rPr>
          <w:rFonts w:ascii="Book Antiqua" w:hAnsi="Book Antiqua"/>
          <w:b/>
          <w:color w:val="FF0000"/>
          <w:sz w:val="19"/>
          <w:szCs w:val="19"/>
          <w:u w:val="single"/>
        </w:rPr>
        <w:t>(TRF4-2010)</w:t>
      </w:r>
    </w:p>
    <w:p w14:paraId="2E1F0F6E"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9º Na homologação de sentença estrangeira e na carta rogatória, a defesa somente poderá versar sobre autenticidade dos documentos, inteligência da decisão e observância dos requisitos desta Resolução.</w:t>
      </w:r>
    </w:p>
    <w:p w14:paraId="789FC760"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 1º Havendo contestação à homologação de sentença estrangeira, o processo será distribuído para julgamento pela Corte Especial, cabendo ao Relator os demais atos relativos ao andamento e à instrução do processo.</w:t>
      </w:r>
    </w:p>
    <w:p w14:paraId="24B0949B"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 2º Havendo impugnação às cartas rogatórias decisórias, o processo poderá, por determinação do Presidente, ser distribuído para julgamento pela Corte Especial.</w:t>
      </w:r>
    </w:p>
    <w:p w14:paraId="2541B2FC"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 xml:space="preserve">§ 3º Revel ou incapaz o requerido, </w:t>
      </w:r>
      <w:proofErr w:type="spellStart"/>
      <w:r w:rsidRPr="00287D69">
        <w:rPr>
          <w:rFonts w:ascii="Book Antiqua" w:hAnsi="Book Antiqua"/>
          <w:sz w:val="19"/>
          <w:szCs w:val="19"/>
        </w:rPr>
        <w:t>dar-se-lhe-á</w:t>
      </w:r>
      <w:proofErr w:type="spellEnd"/>
      <w:r w:rsidRPr="00287D69">
        <w:rPr>
          <w:rFonts w:ascii="Book Antiqua" w:hAnsi="Book Antiqua"/>
          <w:sz w:val="19"/>
          <w:szCs w:val="19"/>
        </w:rPr>
        <w:t xml:space="preserve"> curador especial que será pessoalmente notificado.</w:t>
      </w:r>
    </w:p>
    <w:p w14:paraId="647C3B9F"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10 O Ministério Público terá vista dos autos nas cartas rogatórias e homologações de sentenças estrangeiras, pelo prazo de dez dias, podendo impugná-las.</w:t>
      </w:r>
    </w:p>
    <w:p w14:paraId="0D0826F2"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11 Das decisões do Presidente na homologação de sentença estrangeira e nas cartas rogatórias cabe agravo regimental.</w:t>
      </w:r>
    </w:p>
    <w:p w14:paraId="0CCABFC6"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12 A sentença estrangeira homologada será executada por carta de sentença, no Juízo Federal competente.</w:t>
      </w:r>
    </w:p>
    <w:p w14:paraId="592BC8B3"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13 A carta rogatória, depois de concedido o exequatur, será remetida para cumprimento pelo Juízo Federal competente. §1º No cumprimento da carta rogatória pelo Juízo Federal competente cabem embargos relativos a quaisquer atos que lhe sejam referentes, opostos no prazo de 10 (dez) dias, por qualquer interessado ou pelo Ministério Público, julgando-os o Presidente.</w:t>
      </w:r>
    </w:p>
    <w:p w14:paraId="7FBF5696"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§2º Da decisão que julgar os embargos, cabe agravo regimental.</w:t>
      </w:r>
    </w:p>
    <w:p w14:paraId="6A69B758"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§3º Quando cabível, o Presidente ou o Relator do Agravo Regimental poderá ordenar diretamente o atendimento à medida solicitada.</w:t>
      </w:r>
    </w:p>
    <w:p w14:paraId="74AB98BC"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14 Cumprida a carta rogatória, será devolvida ao Presidente do STJ, no prazo de 10 (dez) dias, e por este remetida, em igual prazo, por meio do Ministério da Justiça ou do Ministério das Relações Exteriores, à autoridade judiciária de origem.</w:t>
      </w:r>
    </w:p>
    <w:p w14:paraId="760F6878"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Art. 15 Esta Resolução entra em vigor na data de sua publicação, revogados a Resolução nº 22, de 31/12/2004 e o Ato nº 15, de 16/02/2005.</w:t>
      </w:r>
    </w:p>
    <w:p w14:paraId="4827AD51" w14:textId="77777777" w:rsidR="00287D69" w:rsidRPr="00287D69" w:rsidRDefault="00287D69" w:rsidP="00287D69">
      <w:pPr>
        <w:spacing w:before="100" w:beforeAutospacing="1" w:after="100" w:afterAutospacing="1" w:line="240" w:lineRule="auto"/>
        <w:jc w:val="both"/>
        <w:rPr>
          <w:rFonts w:ascii="Book Antiqua" w:hAnsi="Book Antiqua"/>
          <w:sz w:val="19"/>
          <w:szCs w:val="19"/>
        </w:rPr>
      </w:pPr>
      <w:r w:rsidRPr="00287D69">
        <w:rPr>
          <w:rFonts w:ascii="Book Antiqua" w:hAnsi="Book Antiqua"/>
          <w:sz w:val="19"/>
          <w:szCs w:val="19"/>
        </w:rPr>
        <w:t>Ministro Edson Vidigal</w:t>
      </w:r>
    </w:p>
    <w:p w14:paraId="68044639" w14:textId="77777777" w:rsidR="000630A4" w:rsidRPr="00287D69" w:rsidRDefault="000630A4" w:rsidP="00287D69">
      <w:pPr>
        <w:spacing w:before="100" w:beforeAutospacing="1" w:after="100" w:afterAutospacing="1" w:line="240" w:lineRule="auto"/>
        <w:jc w:val="both"/>
        <w:rPr>
          <w:rFonts w:ascii="Book Antiqua" w:hAnsi="Book Antiqua"/>
          <w:sz w:val="19"/>
          <w:szCs w:val="19"/>
        </w:rPr>
      </w:pPr>
    </w:p>
    <w:sectPr w:rsidR="000630A4" w:rsidRPr="00287D69" w:rsidSect="00287D69">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630A4"/>
    <w:rsid w:val="00287D69"/>
    <w:rsid w:val="009608B6"/>
    <w:rsid w:val="00A0015F"/>
    <w:rsid w:val="00B152BA"/>
    <w:rsid w:val="00E974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A371"/>
  <w15:chartTrackingRefBased/>
  <w15:docId w15:val="{BD7E420A-6584-4D27-9735-25FC4504F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87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395920">
      <w:bodyDiv w:val="1"/>
      <w:marLeft w:val="0"/>
      <w:marRight w:val="0"/>
      <w:marTop w:val="0"/>
      <w:marBottom w:val="0"/>
      <w:divBdr>
        <w:top w:val="none" w:sz="0" w:space="0" w:color="auto"/>
        <w:left w:val="none" w:sz="0" w:space="0" w:color="auto"/>
        <w:bottom w:val="none" w:sz="0" w:space="0" w:color="auto"/>
        <w:right w:val="none" w:sz="0" w:space="0" w:color="auto"/>
      </w:divBdr>
      <w:divsChild>
        <w:div w:id="1784573086">
          <w:marLeft w:val="0"/>
          <w:marRight w:val="0"/>
          <w:marTop w:val="600"/>
          <w:marBottom w:val="0"/>
          <w:divBdr>
            <w:top w:val="none" w:sz="0" w:space="0" w:color="auto"/>
            <w:left w:val="none" w:sz="0" w:space="0" w:color="auto"/>
            <w:bottom w:val="none" w:sz="0" w:space="0" w:color="auto"/>
            <w:right w:val="none" w:sz="0" w:space="0" w:color="auto"/>
          </w:divBdr>
          <w:divsChild>
            <w:div w:id="8291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926</Words>
  <Characters>5001</Characters>
  <Application>Microsoft Office Word</Application>
  <DocSecurity>0</DocSecurity>
  <Lines>41</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9</cp:revision>
  <dcterms:created xsi:type="dcterms:W3CDTF">2021-01-16T14:57:00Z</dcterms:created>
  <dcterms:modified xsi:type="dcterms:W3CDTF">2021-01-16T15:13:00Z</dcterms:modified>
</cp:coreProperties>
</file>