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AF45D" w14:textId="0C60C2A7" w:rsidR="00FB1A95" w:rsidRPr="00FB1A95" w:rsidRDefault="00FB1A95" w:rsidP="00902C4B">
      <w:pPr>
        <w:spacing w:before="100" w:beforeAutospacing="1" w:after="100" w:afterAutospacing="1" w:line="240" w:lineRule="auto"/>
        <w:jc w:val="center"/>
        <w:rPr>
          <w:rFonts w:ascii="Book Antiqua" w:eastAsia="Times New Roman" w:hAnsi="Book Antiqua" w:cs="Arial"/>
          <w:b/>
          <w:bCs/>
          <w:color w:val="EE0000"/>
          <w:sz w:val="19"/>
          <w:szCs w:val="19"/>
          <w:lang w:eastAsia="pt-BR"/>
        </w:rPr>
      </w:pPr>
      <w:r w:rsidRPr="00FB1A95">
        <w:rPr>
          <w:rFonts w:ascii="Book Antiqua" w:eastAsia="Times New Roman" w:hAnsi="Book Antiqua" w:cs="Arial"/>
          <w:b/>
          <w:bCs/>
          <w:color w:val="EE0000"/>
          <w:sz w:val="19"/>
          <w:szCs w:val="19"/>
          <w:lang w:eastAsia="pt-BR"/>
        </w:rPr>
        <w:t>(Atualização em 11/09/2025: EC 136)</w:t>
      </w:r>
    </w:p>
    <w:p w14:paraId="40277FD8" w14:textId="33BB2017" w:rsidR="00902C4B" w:rsidRPr="00902C4B" w:rsidRDefault="00902C4B" w:rsidP="00902C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902C4B">
          <w:rPr>
            <w:rFonts w:ascii="Book Antiqua" w:eastAsia="Times New Roman" w:hAnsi="Book Antiqua" w:cs="Arial"/>
            <w:b/>
            <w:bCs/>
            <w:color w:val="000080"/>
            <w:sz w:val="19"/>
            <w:szCs w:val="19"/>
            <w:u w:val="single"/>
            <w:lang w:eastAsia="pt-BR"/>
          </w:rPr>
          <w:t>EMENDA CONSTITUCIONAL Nº 113, DE 8 DE DEZEMBRO DE 2021</w:t>
        </w:r>
      </w:hyperlink>
    </w:p>
    <w:tbl>
      <w:tblPr>
        <w:tblW w:w="5000" w:type="pct"/>
        <w:tblCellSpacing w:w="0" w:type="dxa"/>
        <w:tblCellMar>
          <w:left w:w="0" w:type="dxa"/>
          <w:right w:w="0" w:type="dxa"/>
        </w:tblCellMar>
        <w:tblLook w:val="04A0" w:firstRow="1" w:lastRow="0" w:firstColumn="1" w:lastColumn="0" w:noHBand="0" w:noVBand="1"/>
      </w:tblPr>
      <w:tblGrid>
        <w:gridCol w:w="1134"/>
        <w:gridCol w:w="7370"/>
      </w:tblGrid>
      <w:tr w:rsidR="00902C4B" w:rsidRPr="00902C4B" w14:paraId="3E38453C" w14:textId="77777777" w:rsidTr="00902C4B">
        <w:trPr>
          <w:tblCellSpacing w:w="0" w:type="dxa"/>
        </w:trPr>
        <w:tc>
          <w:tcPr>
            <w:tcW w:w="667" w:type="pct"/>
            <w:vAlign w:val="center"/>
            <w:hideMark/>
          </w:tcPr>
          <w:p w14:paraId="466064AC" w14:textId="77777777" w:rsidR="00902C4B" w:rsidRPr="00902C4B" w:rsidRDefault="00902C4B" w:rsidP="00902C4B">
            <w:pPr>
              <w:spacing w:before="100" w:beforeAutospacing="1" w:after="100" w:afterAutospacing="1" w:line="240" w:lineRule="auto"/>
              <w:jc w:val="both"/>
              <w:rPr>
                <w:rFonts w:ascii="Book Antiqua" w:eastAsia="Times New Roman" w:hAnsi="Book Antiqua" w:cs="Times New Roman"/>
                <w:sz w:val="18"/>
                <w:szCs w:val="18"/>
                <w:lang w:eastAsia="pt-BR"/>
              </w:rPr>
            </w:pPr>
            <w:r w:rsidRPr="00902C4B">
              <w:rPr>
                <w:rFonts w:ascii="Book Antiqua" w:eastAsia="Times New Roman" w:hAnsi="Book Antiqua" w:cs="Times New Roman"/>
                <w:sz w:val="18"/>
                <w:szCs w:val="18"/>
                <w:lang w:eastAsia="pt-BR"/>
              </w:rPr>
              <w:t> </w:t>
            </w:r>
          </w:p>
        </w:tc>
        <w:tc>
          <w:tcPr>
            <w:tcW w:w="4333" w:type="pct"/>
            <w:vAlign w:val="center"/>
            <w:hideMark/>
          </w:tcPr>
          <w:p w14:paraId="7B030734" w14:textId="77777777" w:rsidR="00902C4B" w:rsidRPr="00902C4B" w:rsidRDefault="00902C4B" w:rsidP="00902C4B">
            <w:pPr>
              <w:spacing w:before="100" w:beforeAutospacing="1" w:after="100" w:afterAutospacing="1" w:line="240" w:lineRule="auto"/>
              <w:jc w:val="both"/>
              <w:rPr>
                <w:rFonts w:ascii="Book Antiqua" w:eastAsia="Times New Roman" w:hAnsi="Book Antiqua" w:cs="Times New Roman"/>
                <w:sz w:val="18"/>
                <w:szCs w:val="18"/>
                <w:lang w:eastAsia="pt-BR"/>
              </w:rPr>
            </w:pPr>
            <w:r w:rsidRPr="00902C4B">
              <w:rPr>
                <w:rFonts w:ascii="Book Antiqua" w:eastAsia="Times New Roman" w:hAnsi="Book Antiqua" w:cs="Arial"/>
                <w:color w:val="800000"/>
                <w:sz w:val="18"/>
                <w:szCs w:val="18"/>
                <w:lang w:eastAsia="pt-BR"/>
              </w:rPr>
              <w:t>Altera a Constituição Federal e o Ato das Disposições Constitucionais Transitórias para estabelecer o novo regime de pagamentos de precatórios, modificar normas relativas ao Novo Regime Fiscal e autorizar o parcelamento de débitos previdenciários dos Municípios; e dá outras providências.</w:t>
            </w:r>
          </w:p>
        </w:tc>
      </w:tr>
    </w:tbl>
    <w:p w14:paraId="0FC4E5A4"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As Mesas da Câmara dos Deputados e do Senado Federal, nos termos do § 3º do art. 60 da Constituição Federal, promulgam a seguinte Emenda ao texto constitucional:</w:t>
      </w:r>
    </w:p>
    <w:p w14:paraId="0FAA8C10"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0" w:name="art1"/>
      <w:bookmarkEnd w:id="0"/>
      <w:r w:rsidRPr="00902C4B">
        <w:rPr>
          <w:rFonts w:ascii="Book Antiqua" w:eastAsia="Times New Roman" w:hAnsi="Book Antiqua" w:cs="Arial"/>
          <w:color w:val="000000"/>
          <w:sz w:val="19"/>
          <w:szCs w:val="19"/>
          <w:lang w:eastAsia="pt-BR"/>
        </w:rPr>
        <w:t>Art. 1º Os arts. 100 e 160 da </w:t>
      </w:r>
      <w:hyperlink r:id="rId5" w:history="1">
        <w:r w:rsidRPr="00902C4B">
          <w:rPr>
            <w:rFonts w:ascii="Book Antiqua" w:eastAsia="Times New Roman" w:hAnsi="Book Antiqua" w:cs="Arial"/>
            <w:color w:val="0000FF"/>
            <w:sz w:val="19"/>
            <w:szCs w:val="19"/>
            <w:u w:val="single"/>
            <w:lang w:eastAsia="pt-BR"/>
          </w:rPr>
          <w:t>Constituição Federal</w:t>
        </w:r>
      </w:hyperlink>
      <w:r w:rsidRPr="00902C4B">
        <w:rPr>
          <w:rFonts w:ascii="Book Antiqua" w:eastAsia="Times New Roman" w:hAnsi="Book Antiqua" w:cs="Arial"/>
          <w:color w:val="000000"/>
          <w:sz w:val="19"/>
          <w:szCs w:val="19"/>
          <w:lang w:eastAsia="pt-BR"/>
        </w:rPr>
        <w:t> passam a vigorar com as seguintes alterações:</w:t>
      </w:r>
    </w:p>
    <w:p w14:paraId="1CCC003B"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"Art. 100. ...................................................................................................</w:t>
      </w:r>
    </w:p>
    <w:p w14:paraId="593196AC"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w:t>
      </w:r>
    </w:p>
    <w:p w14:paraId="5E6E2A03"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6" w:anchor="art100%C2%A79.0" w:history="1">
        <w:r w:rsidRPr="00902C4B">
          <w:rPr>
            <w:rFonts w:ascii="Book Antiqua" w:eastAsia="Times New Roman" w:hAnsi="Book Antiqua" w:cs="Arial"/>
            <w:color w:val="0000FF"/>
            <w:sz w:val="19"/>
            <w:szCs w:val="19"/>
            <w:u w:val="single"/>
            <w:lang w:eastAsia="pt-BR"/>
          </w:rPr>
          <w:t>§ 9º</w:t>
        </w:r>
      </w:hyperlink>
      <w:r w:rsidRPr="00902C4B">
        <w:rPr>
          <w:rFonts w:ascii="Book Antiqua" w:eastAsia="Times New Roman" w:hAnsi="Book Antiqua" w:cs="Arial"/>
          <w:color w:val="000000"/>
          <w:sz w:val="19"/>
          <w:szCs w:val="19"/>
          <w:lang w:eastAsia="pt-BR"/>
        </w:rPr>
        <w:t> Sem que haja interrupção no pagamento do precatório e mediante comunicação da Fazenda Pública ao Tribunal, o valor correspondente aos eventuais débitos inscritos em dívida ativa contra o credor do requisitório e seus substituídos deverá ser depositado à conta do juízo responsável pela ação de cobrança, que decidirá pelo seu destino definitivo.</w:t>
      </w:r>
    </w:p>
    <w:p w14:paraId="434E93A6"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w:t>
      </w:r>
    </w:p>
    <w:p w14:paraId="388329FC"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7" w:anchor="art100%C2%A711.0" w:history="1">
        <w:r w:rsidRPr="00902C4B">
          <w:rPr>
            <w:rFonts w:ascii="Book Antiqua" w:eastAsia="Times New Roman" w:hAnsi="Book Antiqua" w:cs="Arial"/>
            <w:color w:val="0000FF"/>
            <w:sz w:val="19"/>
            <w:szCs w:val="19"/>
            <w:u w:val="single"/>
            <w:lang w:eastAsia="pt-BR"/>
          </w:rPr>
          <w:t>§ 11.</w:t>
        </w:r>
      </w:hyperlink>
      <w:r w:rsidRPr="00902C4B">
        <w:rPr>
          <w:rFonts w:ascii="Book Antiqua" w:eastAsia="Times New Roman" w:hAnsi="Book Antiqua" w:cs="Arial"/>
          <w:color w:val="000000"/>
          <w:sz w:val="19"/>
          <w:szCs w:val="19"/>
          <w:lang w:eastAsia="pt-BR"/>
        </w:rPr>
        <w:t> É facultada ao credor, conforme estabelecido em lei do ente federativo devedor, com auto aplicabilidade para a União, a oferta de créditos líquidos e certos que originalmente lhe são próprios ou adquiridos de terceiros reconhecidos pelo ente federativo ou por decisão judicial transitada em julgado para:</w:t>
      </w:r>
    </w:p>
    <w:p w14:paraId="1AEE8ADB"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 - quitação de débitos parcelados ou débitos inscritos em dívida ativa do ente federativo devedor, inclusive em transação resolutiva de litígio, e, subsidiariamente, débitos com a administração autárquica e fundacional do mesmo ente;</w:t>
      </w:r>
    </w:p>
    <w:p w14:paraId="4C51B306"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II - compra de imóveis públicos de propriedade do mesmo ente disponibilizados para venda;</w:t>
      </w:r>
    </w:p>
    <w:p w14:paraId="754DC13F"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III - pagamento de outorga de delegações de serviços públicos e demais espécies de concessão negocial promovidas pelo mesmo ente;</w:t>
      </w:r>
    </w:p>
    <w:p w14:paraId="42FB8672"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IV - aquisição, inclusive minoritária, de participação societária, disponibilizada para venda, do respectivo ente federativo; ou</w:t>
      </w:r>
    </w:p>
    <w:p w14:paraId="4661A74B"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V - compra de direitos, disponibilizados para cessão, do respectivo ente federativo, inclusive, no caso da União, da antecipação de valores a serem recebidos a título do excedente em óleo em contratos de partilha de petróleo.</w:t>
      </w:r>
    </w:p>
    <w:p w14:paraId="2B5BC6F5"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w:t>
      </w:r>
    </w:p>
    <w:p w14:paraId="7AEC6F41"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8" w:anchor="art100%C2%A714.0" w:history="1">
        <w:r w:rsidRPr="00902C4B">
          <w:rPr>
            <w:rFonts w:ascii="Book Antiqua" w:eastAsia="Times New Roman" w:hAnsi="Book Antiqua" w:cs="Arial"/>
            <w:color w:val="0000FF"/>
            <w:sz w:val="19"/>
            <w:szCs w:val="19"/>
            <w:u w:val="single"/>
            <w:lang w:eastAsia="pt-BR"/>
          </w:rPr>
          <w:t>§ 14.</w:t>
        </w:r>
      </w:hyperlink>
      <w:r w:rsidRPr="00902C4B">
        <w:rPr>
          <w:rFonts w:ascii="Book Antiqua" w:eastAsia="Times New Roman" w:hAnsi="Book Antiqua" w:cs="Arial"/>
          <w:color w:val="000000"/>
          <w:sz w:val="19"/>
          <w:szCs w:val="19"/>
          <w:lang w:eastAsia="pt-BR"/>
        </w:rPr>
        <w:t> A cessão de precatórios, observado o disposto no § 9º deste artigo, somente produzirá efeitos após comunicação, por meio de petição protocolizada, ao Tribunal de origem e ao ente federativo devedor.</w:t>
      </w:r>
    </w:p>
    <w:p w14:paraId="5B75110A"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w:t>
      </w:r>
    </w:p>
    <w:p w14:paraId="351B935C"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9" w:anchor="art100%C2%A721" w:history="1">
        <w:r w:rsidRPr="00902C4B">
          <w:rPr>
            <w:rFonts w:ascii="Book Antiqua" w:eastAsia="Times New Roman" w:hAnsi="Book Antiqua" w:cs="Arial"/>
            <w:color w:val="0000FF"/>
            <w:sz w:val="19"/>
            <w:szCs w:val="19"/>
            <w:u w:val="single"/>
            <w:lang w:eastAsia="pt-BR"/>
          </w:rPr>
          <w:t>§ 21.</w:t>
        </w:r>
      </w:hyperlink>
      <w:r w:rsidRPr="00902C4B">
        <w:rPr>
          <w:rFonts w:ascii="Book Antiqua" w:eastAsia="Times New Roman" w:hAnsi="Book Antiqua" w:cs="Arial"/>
          <w:color w:val="000000"/>
          <w:sz w:val="19"/>
          <w:szCs w:val="19"/>
          <w:lang w:eastAsia="pt-BR"/>
        </w:rPr>
        <w:t> Ficam a União e os demais entes federativos, nos montantes que lhes são próprios, desde que aceito por ambas as partes, autorizados a utilizar valores objeto de sentenças transitadas em julgado devidos a pessoa jurídica de direito público para amortizar dívidas, vencidas ou vincendas:</w:t>
      </w:r>
    </w:p>
    <w:p w14:paraId="7DF10B62"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lastRenderedPageBreak/>
        <w:t>I - nos contratos de refinanciamento cujos créditos sejam detidos pelo ente federativo que figure como devedor na sentença de que trata o</w:t>
      </w:r>
      <w:r w:rsidRPr="00902C4B">
        <w:rPr>
          <w:rFonts w:ascii="Book Antiqua" w:eastAsia="Times New Roman" w:hAnsi="Book Antiqua" w:cs="Arial"/>
          <w:b/>
          <w:bCs/>
          <w:color w:val="000000"/>
          <w:sz w:val="19"/>
          <w:szCs w:val="19"/>
          <w:lang w:eastAsia="pt-BR"/>
        </w:rPr>
        <w:t> caput </w:t>
      </w:r>
      <w:r w:rsidRPr="00902C4B">
        <w:rPr>
          <w:rFonts w:ascii="Book Antiqua" w:eastAsia="Times New Roman" w:hAnsi="Book Antiqua" w:cs="Arial"/>
          <w:color w:val="000000"/>
          <w:sz w:val="19"/>
          <w:szCs w:val="19"/>
          <w:lang w:eastAsia="pt-BR"/>
        </w:rPr>
        <w:t>deste artigo;</w:t>
      </w:r>
    </w:p>
    <w:p w14:paraId="234E9C13"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II - nos contratos em que houve prestação de garantia a outro ente federativo;</w:t>
      </w:r>
    </w:p>
    <w:p w14:paraId="19C646EB"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III - nos parcelamentos de tributos ou de contribuições sociais; e</w:t>
      </w:r>
    </w:p>
    <w:p w14:paraId="669B59D2"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IV - nas obrigações decorrentes do descumprimento de prestação de contas ou de desvio de recursos.</w:t>
      </w:r>
    </w:p>
    <w:p w14:paraId="70D1ACD2"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0" w:anchor="art100%C2%A722" w:history="1">
        <w:r w:rsidRPr="00902C4B">
          <w:rPr>
            <w:rFonts w:ascii="Book Antiqua" w:eastAsia="Times New Roman" w:hAnsi="Book Antiqua" w:cs="Arial"/>
            <w:color w:val="0000FF"/>
            <w:sz w:val="19"/>
            <w:szCs w:val="19"/>
            <w:u w:val="single"/>
            <w:lang w:eastAsia="pt-BR"/>
          </w:rPr>
          <w:t>§ 22.</w:t>
        </w:r>
      </w:hyperlink>
      <w:r w:rsidRPr="00902C4B">
        <w:rPr>
          <w:rFonts w:ascii="Book Antiqua" w:eastAsia="Times New Roman" w:hAnsi="Book Antiqua" w:cs="Arial"/>
          <w:color w:val="000000"/>
          <w:sz w:val="19"/>
          <w:szCs w:val="19"/>
          <w:lang w:eastAsia="pt-BR"/>
        </w:rPr>
        <w:t> A amortização de que trata o § 21 deste artigo:</w:t>
      </w:r>
    </w:p>
    <w:p w14:paraId="36DFE4D5"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 - nas obrigações vencidas, será imputada primeiramente às parcelas mais antigas;</w:t>
      </w:r>
    </w:p>
    <w:p w14:paraId="465A92A0"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II - nas obrigações vincendas, reduzirá uniformemente o valor de cada parcela devida, mantida a duração original do respectivo contrato ou parcelamento." (NR)</w:t>
      </w:r>
    </w:p>
    <w:p w14:paraId="1BB7D666"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"Art. 160. ..................................................................................................</w:t>
      </w:r>
    </w:p>
    <w:p w14:paraId="76A8CB76"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1º ..........................................................................................................</w:t>
      </w:r>
    </w:p>
    <w:p w14:paraId="449267DA"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w:t>
      </w:r>
    </w:p>
    <w:p w14:paraId="3FA6E4F2"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1" w:anchor="art160%C2%A72" w:history="1">
        <w:r w:rsidRPr="00902C4B">
          <w:rPr>
            <w:rFonts w:ascii="Book Antiqua" w:eastAsia="Times New Roman" w:hAnsi="Book Antiqua" w:cs="Arial"/>
            <w:color w:val="0000FF"/>
            <w:sz w:val="19"/>
            <w:szCs w:val="19"/>
            <w:u w:val="single"/>
            <w:lang w:eastAsia="pt-BR"/>
          </w:rPr>
          <w:t>§ 2º</w:t>
        </w:r>
      </w:hyperlink>
      <w:r w:rsidRPr="00902C4B">
        <w:rPr>
          <w:rFonts w:ascii="Book Antiqua" w:eastAsia="Times New Roman" w:hAnsi="Book Antiqua" w:cs="Arial"/>
          <w:color w:val="000000"/>
          <w:sz w:val="19"/>
          <w:szCs w:val="19"/>
          <w:lang w:eastAsia="pt-BR"/>
        </w:rPr>
        <w:t> Os contratos, os acordos, os ajustes, os convênios, os parcelamentos ou as renegociações de débitos de qualquer espécie, inclusive tributários, firmados pela União com os entes federativos conterão cláusulas para autorizar a dedução dos valores devidos dos montantes a serem repassados relacionados às respectivas cotas nos Fundos de Participação ou aos precatórios federais." (NR)</w:t>
      </w:r>
    </w:p>
    <w:p w14:paraId="00A9EE16"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 w:name="art2"/>
      <w:bookmarkEnd w:id="1"/>
      <w:r w:rsidRPr="00902C4B">
        <w:rPr>
          <w:rFonts w:ascii="Book Antiqua" w:eastAsia="Times New Roman" w:hAnsi="Book Antiqua" w:cs="Arial"/>
          <w:color w:val="000000"/>
          <w:sz w:val="19"/>
          <w:szCs w:val="19"/>
          <w:lang w:eastAsia="pt-BR"/>
        </w:rPr>
        <w:t>Art. 2º O </w:t>
      </w:r>
      <w:hyperlink r:id="rId12" w:anchor="adct" w:history="1">
        <w:r w:rsidRPr="00902C4B">
          <w:rPr>
            <w:rFonts w:ascii="Book Antiqua" w:eastAsia="Times New Roman" w:hAnsi="Book Antiqua" w:cs="Arial"/>
            <w:color w:val="0000FF"/>
            <w:sz w:val="19"/>
            <w:szCs w:val="19"/>
            <w:u w:val="single"/>
            <w:lang w:eastAsia="pt-BR"/>
          </w:rPr>
          <w:t>Ato das Disposições Constitucionais Transitórias</w:t>
        </w:r>
      </w:hyperlink>
      <w:r w:rsidRPr="00902C4B">
        <w:rPr>
          <w:rFonts w:ascii="Book Antiqua" w:eastAsia="Times New Roman" w:hAnsi="Book Antiqua" w:cs="Arial"/>
          <w:color w:val="000000"/>
          <w:sz w:val="19"/>
          <w:szCs w:val="19"/>
          <w:lang w:eastAsia="pt-BR"/>
        </w:rPr>
        <w:t> passa a vigorar com as seguintes alterações:</w:t>
      </w:r>
    </w:p>
    <w:p w14:paraId="121F7120"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"Art. 101. ..................................................................................................</w:t>
      </w:r>
    </w:p>
    <w:p w14:paraId="5B4395C4"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w:t>
      </w:r>
    </w:p>
    <w:p w14:paraId="4AD56DEF"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3" w:anchor="adctart101%C2%A75" w:history="1">
        <w:r w:rsidRPr="00902C4B">
          <w:rPr>
            <w:rFonts w:ascii="Book Antiqua" w:eastAsia="Times New Roman" w:hAnsi="Book Antiqua" w:cs="Arial"/>
            <w:color w:val="0000FF"/>
            <w:sz w:val="19"/>
            <w:szCs w:val="19"/>
            <w:u w:val="single"/>
            <w:lang w:eastAsia="pt-BR"/>
          </w:rPr>
          <w:t>§ 5º</w:t>
        </w:r>
      </w:hyperlink>
      <w:r w:rsidRPr="00902C4B">
        <w:rPr>
          <w:rFonts w:ascii="Book Antiqua" w:eastAsia="Times New Roman" w:hAnsi="Book Antiqua" w:cs="Arial"/>
          <w:color w:val="000000"/>
          <w:sz w:val="19"/>
          <w:szCs w:val="19"/>
          <w:lang w:eastAsia="pt-BR"/>
        </w:rPr>
        <w:t> Os empréstimos de que trata o inciso III do § 2º deste artigo poderão ser destinados, por meio de ato do Poder Executivo, exclusivamente ao pagamento de precatórios por acordo direto com os credores, na forma do disposto no </w:t>
      </w:r>
      <w:hyperlink r:id="rId14" w:anchor="adctart97%C2%A76iii" w:history="1">
        <w:r w:rsidRPr="00902C4B">
          <w:rPr>
            <w:rFonts w:ascii="Book Antiqua" w:eastAsia="Times New Roman" w:hAnsi="Book Antiqua" w:cs="Arial"/>
            <w:color w:val="0000FF"/>
            <w:sz w:val="19"/>
            <w:szCs w:val="19"/>
            <w:u w:val="single"/>
            <w:lang w:eastAsia="pt-BR"/>
          </w:rPr>
          <w:t>inciso III do § 8º do art. 97 deste Ato das Disposições Constitucionais Transitórias</w:t>
        </w:r>
      </w:hyperlink>
      <w:r w:rsidRPr="00902C4B">
        <w:rPr>
          <w:rFonts w:ascii="Book Antiqua" w:eastAsia="Times New Roman" w:hAnsi="Book Antiqua" w:cs="Arial"/>
          <w:color w:val="000000"/>
          <w:sz w:val="19"/>
          <w:szCs w:val="19"/>
          <w:lang w:eastAsia="pt-BR"/>
        </w:rPr>
        <w:t>." (NR)</w:t>
      </w:r>
    </w:p>
    <w:p w14:paraId="78E7575E"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"Art. 107. ...................................................................................................</w:t>
      </w:r>
    </w:p>
    <w:p w14:paraId="5E0FA06A"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w:t>
      </w:r>
    </w:p>
    <w:p w14:paraId="1889F8AC"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1º ...........................................................................................................</w:t>
      </w:r>
    </w:p>
    <w:p w14:paraId="0015A31F"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w:t>
      </w:r>
    </w:p>
    <w:p w14:paraId="591F9E6C"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5" w:anchor="adctart107%C2%A71ii.0" w:history="1">
        <w:r w:rsidRPr="00902C4B">
          <w:rPr>
            <w:rFonts w:ascii="Book Antiqua" w:eastAsia="Times New Roman" w:hAnsi="Book Antiqua" w:cs="Arial"/>
            <w:color w:val="0000FF"/>
            <w:sz w:val="19"/>
            <w:szCs w:val="19"/>
            <w:u w:val="single"/>
            <w:lang w:eastAsia="pt-BR"/>
          </w:rPr>
          <w:t>II -</w:t>
        </w:r>
      </w:hyperlink>
      <w:r w:rsidRPr="00902C4B">
        <w:rPr>
          <w:rFonts w:ascii="Book Antiqua" w:eastAsia="Times New Roman" w:hAnsi="Book Antiqua" w:cs="Arial"/>
          <w:color w:val="000000"/>
          <w:sz w:val="19"/>
          <w:szCs w:val="19"/>
          <w:lang w:eastAsia="pt-BR"/>
        </w:rPr>
        <w:t> para os exercícios posteriores, ao valor do limite referente ao exercício imediatamente anterior, corrigido pela variação do Índice Nacional de Preços ao Consumidor Amplo (IPCA), publicado pela Fundação Instituto Brasileiro de Geografia e Estatística, ou de outro índice que vier a substituí-lo, apurado no exercício anterior a que se refere a lei orçamentária.</w:t>
      </w:r>
    </w:p>
    <w:p w14:paraId="2D0D7DFD"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w:t>
      </w:r>
    </w:p>
    <w:p w14:paraId="79A71179"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6" w:anchor="adctart107%C2%A712" w:history="1">
        <w:r w:rsidRPr="00902C4B">
          <w:rPr>
            <w:rFonts w:ascii="Book Antiqua" w:eastAsia="Times New Roman" w:hAnsi="Book Antiqua" w:cs="Arial"/>
            <w:color w:val="0000FF"/>
            <w:sz w:val="19"/>
            <w:szCs w:val="19"/>
            <w:u w:val="single"/>
            <w:lang w:eastAsia="pt-BR"/>
          </w:rPr>
          <w:t>§ 12.</w:t>
        </w:r>
      </w:hyperlink>
      <w:r w:rsidRPr="00902C4B">
        <w:rPr>
          <w:rFonts w:ascii="Book Antiqua" w:eastAsia="Times New Roman" w:hAnsi="Book Antiqua" w:cs="Arial"/>
          <w:color w:val="000000"/>
          <w:sz w:val="19"/>
          <w:szCs w:val="19"/>
          <w:lang w:eastAsia="pt-BR"/>
        </w:rPr>
        <w:t> Para fins da elaboração do projeto de lei orçamentária anual, o Poder Executivo considerará o valor realizado até junho do índice previsto no inciso II do § 1º deste artigo, relativo ao ano de encaminhamento do projeto, e o valor estimado até dezembro desse mesmo ano.</w:t>
      </w:r>
    </w:p>
    <w:p w14:paraId="19564280"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lastRenderedPageBreak/>
        <w:t>§ 13. A estimativa do índice a que se refere o § 12 deste artigo, juntamente com os demais parâmetros macroeconômicos, serão elaborados mensalmente pelo Poder Executivo e enviados à comissão mista de que trata o</w:t>
      </w:r>
      <w:hyperlink r:id="rId17" w:anchor="art166%C2%A71" w:history="1">
        <w:r w:rsidRPr="00902C4B">
          <w:rPr>
            <w:rFonts w:ascii="Book Antiqua" w:eastAsia="Times New Roman" w:hAnsi="Book Antiqua" w:cs="Arial"/>
            <w:color w:val="0000FF"/>
            <w:sz w:val="19"/>
            <w:szCs w:val="19"/>
            <w:u w:val="single"/>
            <w:lang w:eastAsia="pt-BR"/>
          </w:rPr>
          <w:t> § 1º do art. 166 da Constituição Federal</w:t>
        </w:r>
      </w:hyperlink>
      <w:r w:rsidRPr="00902C4B">
        <w:rPr>
          <w:rFonts w:ascii="Book Antiqua" w:eastAsia="Times New Roman" w:hAnsi="Book Antiqua" w:cs="Arial"/>
          <w:color w:val="000000"/>
          <w:sz w:val="19"/>
          <w:szCs w:val="19"/>
          <w:lang w:eastAsia="pt-BR"/>
        </w:rPr>
        <w:t>.</w:t>
      </w:r>
    </w:p>
    <w:p w14:paraId="1D41DF93"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14. O resultado da diferença aferida entre as projeções referidas nos §§ 12 e 13 deste artigo e a efetiva apuração do índice previsto no inciso II do § 1º deste artigo será calculado pelo Poder Executivo, para fins de definição da base de cálculo dos respectivos limites do exercício seguinte, a qual será comunicada aos demais Poderes por ocasião da elaboração do projeto de lei orçamentária." (NR)</w:t>
      </w:r>
    </w:p>
    <w:p w14:paraId="032AD14A"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8" w:anchor="adctart115" w:history="1">
        <w:r w:rsidRPr="00902C4B">
          <w:rPr>
            <w:rFonts w:ascii="Book Antiqua" w:eastAsia="Times New Roman" w:hAnsi="Book Antiqua" w:cs="Arial"/>
            <w:color w:val="0000FF"/>
            <w:sz w:val="19"/>
            <w:szCs w:val="19"/>
            <w:u w:val="single"/>
            <w:lang w:eastAsia="pt-BR"/>
          </w:rPr>
          <w:t>"Art. 115.</w:t>
        </w:r>
      </w:hyperlink>
      <w:r w:rsidRPr="00902C4B">
        <w:rPr>
          <w:rFonts w:ascii="Book Antiqua" w:eastAsia="Times New Roman" w:hAnsi="Book Antiqua" w:cs="Arial"/>
          <w:color w:val="000000"/>
          <w:sz w:val="19"/>
          <w:szCs w:val="19"/>
          <w:lang w:eastAsia="pt-BR"/>
        </w:rPr>
        <w:t> Fica excepcionalmente autorizado o parcelamento das contribuições previdenciárias e dos demais débitos dos Municípios, incluídas suas autarquias e fundações, com os respectivos regimes próprios de previdência social, com vencimento até 31 de outubro de 2021, inclusive os parcelados anteriormente, no prazo máximo de 240 (duzentos e quarenta) prestações mensais, mediante autorização em lei municipal específica, desde que comprovem ter alterado a legislação do regime próprio de previdência social para atendimento das seguintes condições, cumulativamente:</w:t>
      </w:r>
    </w:p>
    <w:p w14:paraId="1CABB0EB"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 - adoção de regras de elegibilidade, de cálculo e de reajustamento dos benefícios que contemplem, nos termos previstos nos </w:t>
      </w:r>
      <w:hyperlink r:id="rId19" w:anchor="art40%C2%A71i" w:history="1">
        <w:r w:rsidRPr="00902C4B">
          <w:rPr>
            <w:rFonts w:ascii="Book Antiqua" w:eastAsia="Times New Roman" w:hAnsi="Book Antiqua" w:cs="Arial"/>
            <w:color w:val="0000FF"/>
            <w:sz w:val="19"/>
            <w:szCs w:val="19"/>
            <w:u w:val="single"/>
            <w:lang w:eastAsia="pt-BR"/>
          </w:rPr>
          <w:t>incisos I </w:t>
        </w:r>
      </w:hyperlink>
      <w:r w:rsidRPr="00902C4B">
        <w:rPr>
          <w:rFonts w:ascii="Book Antiqua" w:eastAsia="Times New Roman" w:hAnsi="Book Antiqua" w:cs="Arial"/>
          <w:color w:val="000000"/>
          <w:sz w:val="19"/>
          <w:szCs w:val="19"/>
          <w:lang w:eastAsia="pt-BR"/>
        </w:rPr>
        <w:t>e </w:t>
      </w:r>
      <w:hyperlink r:id="rId20" w:anchor="art40%C2%A71iii" w:history="1">
        <w:r w:rsidRPr="00902C4B">
          <w:rPr>
            <w:rFonts w:ascii="Book Antiqua" w:eastAsia="Times New Roman" w:hAnsi="Book Antiqua" w:cs="Arial"/>
            <w:color w:val="0000FF"/>
            <w:sz w:val="19"/>
            <w:szCs w:val="19"/>
            <w:u w:val="single"/>
            <w:lang w:eastAsia="pt-BR"/>
          </w:rPr>
          <w:t>III do § 1º</w:t>
        </w:r>
      </w:hyperlink>
      <w:r w:rsidRPr="00902C4B">
        <w:rPr>
          <w:rFonts w:ascii="Book Antiqua" w:eastAsia="Times New Roman" w:hAnsi="Book Antiqua" w:cs="Arial"/>
          <w:color w:val="000000"/>
          <w:sz w:val="19"/>
          <w:szCs w:val="19"/>
          <w:lang w:eastAsia="pt-BR"/>
        </w:rPr>
        <w:t> e nos </w:t>
      </w:r>
      <w:hyperlink r:id="rId21" w:anchor="art40%C2%A73" w:history="1">
        <w:r w:rsidRPr="00902C4B">
          <w:rPr>
            <w:rFonts w:ascii="Book Antiqua" w:eastAsia="Times New Roman" w:hAnsi="Book Antiqua" w:cs="Arial"/>
            <w:color w:val="0000FF"/>
            <w:sz w:val="19"/>
            <w:szCs w:val="19"/>
            <w:u w:val="single"/>
            <w:lang w:eastAsia="pt-BR"/>
          </w:rPr>
          <w:t>§§ 3º</w:t>
        </w:r>
      </w:hyperlink>
      <w:r w:rsidRPr="00902C4B">
        <w:rPr>
          <w:rFonts w:ascii="Book Antiqua" w:eastAsia="Times New Roman" w:hAnsi="Book Antiqua" w:cs="Arial"/>
          <w:color w:val="000000"/>
          <w:sz w:val="19"/>
          <w:szCs w:val="19"/>
          <w:lang w:eastAsia="pt-BR"/>
        </w:rPr>
        <w:t> a </w:t>
      </w:r>
      <w:hyperlink r:id="rId22" w:anchor="art40%C2%A75" w:history="1">
        <w:r w:rsidRPr="00902C4B">
          <w:rPr>
            <w:rFonts w:ascii="Book Antiqua" w:eastAsia="Times New Roman" w:hAnsi="Book Antiqua" w:cs="Arial"/>
            <w:color w:val="0000FF"/>
            <w:sz w:val="19"/>
            <w:szCs w:val="19"/>
            <w:u w:val="single"/>
            <w:lang w:eastAsia="pt-BR"/>
          </w:rPr>
          <w:t>5º</w:t>
        </w:r>
      </w:hyperlink>
      <w:r w:rsidRPr="00902C4B">
        <w:rPr>
          <w:rFonts w:ascii="Book Antiqua" w:eastAsia="Times New Roman" w:hAnsi="Book Antiqua" w:cs="Arial"/>
          <w:color w:val="000000"/>
          <w:sz w:val="19"/>
          <w:szCs w:val="19"/>
          <w:lang w:eastAsia="pt-BR"/>
        </w:rPr>
        <w:t>, </w:t>
      </w:r>
      <w:hyperlink r:id="rId23" w:anchor="art40%C2%A77" w:history="1">
        <w:r w:rsidRPr="00902C4B">
          <w:rPr>
            <w:rFonts w:ascii="Book Antiqua" w:eastAsia="Times New Roman" w:hAnsi="Book Antiqua" w:cs="Arial"/>
            <w:color w:val="0000FF"/>
            <w:sz w:val="19"/>
            <w:szCs w:val="19"/>
            <w:u w:val="single"/>
            <w:lang w:eastAsia="pt-BR"/>
          </w:rPr>
          <w:t>7º</w:t>
        </w:r>
      </w:hyperlink>
      <w:r w:rsidRPr="00902C4B">
        <w:rPr>
          <w:rFonts w:ascii="Book Antiqua" w:eastAsia="Times New Roman" w:hAnsi="Book Antiqua" w:cs="Arial"/>
          <w:color w:val="000000"/>
          <w:sz w:val="19"/>
          <w:szCs w:val="19"/>
          <w:lang w:eastAsia="pt-BR"/>
        </w:rPr>
        <w:t> e </w:t>
      </w:r>
      <w:hyperlink r:id="rId24" w:anchor="art40%C2%A78" w:history="1">
        <w:r w:rsidRPr="00902C4B">
          <w:rPr>
            <w:rFonts w:ascii="Book Antiqua" w:eastAsia="Times New Roman" w:hAnsi="Book Antiqua" w:cs="Arial"/>
            <w:color w:val="0000FF"/>
            <w:sz w:val="19"/>
            <w:szCs w:val="19"/>
            <w:u w:val="single"/>
            <w:lang w:eastAsia="pt-BR"/>
          </w:rPr>
          <w:t>8º do art. 40 da Constituição Federal</w:t>
        </w:r>
      </w:hyperlink>
      <w:r w:rsidRPr="00902C4B">
        <w:rPr>
          <w:rFonts w:ascii="Book Antiqua" w:eastAsia="Times New Roman" w:hAnsi="Book Antiqua" w:cs="Arial"/>
          <w:color w:val="000000"/>
          <w:sz w:val="19"/>
          <w:szCs w:val="19"/>
          <w:lang w:eastAsia="pt-BR"/>
        </w:rPr>
        <w:t>, regras assemelhadas às aplicáveis aos servidores públicos do regime próprio de previdência social da União e que contribuam efetivamente para o atingimento e a manutenção do equilíbrio financeiro e atuarial;</w:t>
      </w:r>
    </w:p>
    <w:p w14:paraId="01AEE139"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II - adequação do rol de benefícios ao disposto nos </w:t>
      </w:r>
      <w:hyperlink r:id="rId25" w:anchor="art9%C2%A72" w:history="1">
        <w:r w:rsidRPr="00902C4B">
          <w:rPr>
            <w:rFonts w:ascii="Book Antiqua" w:eastAsia="Times New Roman" w:hAnsi="Book Antiqua" w:cs="Arial"/>
            <w:color w:val="0000FF"/>
            <w:sz w:val="19"/>
            <w:szCs w:val="19"/>
            <w:u w:val="single"/>
            <w:lang w:eastAsia="pt-BR"/>
          </w:rPr>
          <w:t>§§ 2º</w:t>
        </w:r>
      </w:hyperlink>
      <w:r w:rsidRPr="00902C4B">
        <w:rPr>
          <w:rFonts w:ascii="Book Antiqua" w:eastAsia="Times New Roman" w:hAnsi="Book Antiqua" w:cs="Arial"/>
          <w:color w:val="000000"/>
          <w:sz w:val="19"/>
          <w:szCs w:val="19"/>
          <w:lang w:eastAsia="pt-BR"/>
        </w:rPr>
        <w:t> e </w:t>
      </w:r>
      <w:hyperlink r:id="rId26" w:anchor="art9%C2%A73" w:history="1">
        <w:r w:rsidRPr="00902C4B">
          <w:rPr>
            <w:rFonts w:ascii="Book Antiqua" w:eastAsia="Times New Roman" w:hAnsi="Book Antiqua" w:cs="Arial"/>
            <w:color w:val="0000FF"/>
            <w:sz w:val="19"/>
            <w:szCs w:val="19"/>
            <w:u w:val="single"/>
            <w:lang w:eastAsia="pt-BR"/>
          </w:rPr>
          <w:t>3º do art. 9º da Emenda Constitucional nº 103, de 12 de novembro de 2019;</w:t>
        </w:r>
      </w:hyperlink>
    </w:p>
    <w:p w14:paraId="2D02F484"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III - adequação da alíquota de contribuição devida pelos servidores, nos termos do </w:t>
      </w:r>
      <w:hyperlink r:id="rId27" w:anchor="art9%C2%A74" w:history="1">
        <w:r w:rsidRPr="00902C4B">
          <w:rPr>
            <w:rFonts w:ascii="Book Antiqua" w:eastAsia="Times New Roman" w:hAnsi="Book Antiqua" w:cs="Arial"/>
            <w:color w:val="0000FF"/>
            <w:sz w:val="19"/>
            <w:szCs w:val="19"/>
            <w:u w:val="single"/>
            <w:lang w:eastAsia="pt-BR"/>
          </w:rPr>
          <w:t>§ 4º do art. 9º da Emenda Constitucional nº 103, de 12 de novembro de 2019</w:t>
        </w:r>
      </w:hyperlink>
      <w:r w:rsidRPr="00902C4B">
        <w:rPr>
          <w:rFonts w:ascii="Book Antiqua" w:eastAsia="Times New Roman" w:hAnsi="Book Antiqua" w:cs="Arial"/>
          <w:color w:val="000000"/>
          <w:sz w:val="19"/>
          <w:szCs w:val="19"/>
          <w:lang w:eastAsia="pt-BR"/>
        </w:rPr>
        <w:t>; e</w:t>
      </w:r>
    </w:p>
    <w:p w14:paraId="656B3742"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IV - instituição do regime de previdência complementar e adequação do órgão ou entidade gestora do regime próprio de previdência social, nos termos do </w:t>
      </w:r>
      <w:hyperlink r:id="rId28" w:anchor="art9%C2%A76" w:history="1">
        <w:r w:rsidRPr="00902C4B">
          <w:rPr>
            <w:rFonts w:ascii="Book Antiqua" w:eastAsia="Times New Roman" w:hAnsi="Book Antiqua" w:cs="Arial"/>
            <w:color w:val="0000FF"/>
            <w:sz w:val="19"/>
            <w:szCs w:val="19"/>
            <w:u w:val="single"/>
            <w:lang w:eastAsia="pt-BR"/>
          </w:rPr>
          <w:t>§ 6º do art. 9º da Emenda Constitucional nº 103, de 12 de novembro de 2019.</w:t>
        </w:r>
      </w:hyperlink>
    </w:p>
    <w:p w14:paraId="5D33BE82"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Parágrafo único. Ato do Ministério do Trabalho e Previdência, no âmbito de suas competências, definirá os critérios para o parcelamento previsto neste artigo, inclusive quanto ao cumprimento do disposto nos incisos I, II, III e IV do</w:t>
      </w:r>
      <w:r w:rsidRPr="00902C4B">
        <w:rPr>
          <w:rFonts w:ascii="Book Antiqua" w:eastAsia="Times New Roman" w:hAnsi="Book Antiqua" w:cs="Arial"/>
          <w:b/>
          <w:bCs/>
          <w:color w:val="000000"/>
          <w:sz w:val="19"/>
          <w:szCs w:val="19"/>
          <w:lang w:eastAsia="pt-BR"/>
        </w:rPr>
        <w:t> caput </w:t>
      </w:r>
      <w:r w:rsidRPr="00902C4B">
        <w:rPr>
          <w:rFonts w:ascii="Book Antiqua" w:eastAsia="Times New Roman" w:hAnsi="Book Antiqua" w:cs="Arial"/>
          <w:color w:val="000000"/>
          <w:sz w:val="19"/>
          <w:szCs w:val="19"/>
          <w:lang w:eastAsia="pt-BR"/>
        </w:rPr>
        <w:t>deste artigo, bem como disponibilizará as informações aos Municípios sobre o montante das dívidas, as formas de parcelamento, os juros e os encargos incidentes, de modo a possibilitar o acompanhamento da evolução desses débitos."</w:t>
      </w:r>
    </w:p>
    <w:p w14:paraId="252071C5"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9" w:anchor="adctart116" w:history="1">
        <w:r w:rsidRPr="00902C4B">
          <w:rPr>
            <w:rFonts w:ascii="Book Antiqua" w:eastAsia="Times New Roman" w:hAnsi="Book Antiqua" w:cs="Arial"/>
            <w:color w:val="0000FF"/>
            <w:sz w:val="19"/>
            <w:szCs w:val="19"/>
            <w:u w:val="single"/>
            <w:lang w:eastAsia="pt-BR"/>
          </w:rPr>
          <w:t>"Art. 116.</w:t>
        </w:r>
      </w:hyperlink>
      <w:r w:rsidRPr="00902C4B">
        <w:rPr>
          <w:rFonts w:ascii="Book Antiqua" w:eastAsia="Times New Roman" w:hAnsi="Book Antiqua" w:cs="Arial"/>
          <w:color w:val="000000"/>
          <w:sz w:val="19"/>
          <w:szCs w:val="19"/>
          <w:lang w:eastAsia="pt-BR"/>
        </w:rPr>
        <w:t> Fica excepcionalmente autorizado o parcelamento dos débitos decorrentes de contribuições previdenciárias dos Municípios, incluídas suas autarquias e fundações, com o Regime Geral de Previdência Social, com vencimento até 31 de outubro de 2021, ainda que em fase de execução fiscal ajuizada, inclusive os decorrentes do descumprimento de obrigações acessórias e os parcelados anteriormente, no prazo máximo de 240 (duzentos e quarenta) prestações mensais.</w:t>
      </w:r>
    </w:p>
    <w:p w14:paraId="68B965A9"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1º Os Municípios que possuam regime próprio de previdência social deverão comprovar, para fins de formalização do parcelamento com o Regime Geral de Previdência Social, de que trata este artigo, terem atendido as condições estabelecidas nos </w:t>
      </w:r>
      <w:hyperlink r:id="rId30" w:anchor="adctart115i" w:history="1">
        <w:r w:rsidRPr="00902C4B">
          <w:rPr>
            <w:rFonts w:ascii="Book Antiqua" w:eastAsia="Times New Roman" w:hAnsi="Book Antiqua" w:cs="Arial"/>
            <w:color w:val="0000FF"/>
            <w:sz w:val="19"/>
            <w:szCs w:val="19"/>
            <w:u w:val="single"/>
            <w:lang w:eastAsia="pt-BR"/>
          </w:rPr>
          <w:t>incisos I, II, III e IV do</w:t>
        </w:r>
        <w:r w:rsidRPr="00902C4B">
          <w:rPr>
            <w:rFonts w:ascii="Book Antiqua" w:eastAsia="Times New Roman" w:hAnsi="Book Antiqua" w:cs="Arial"/>
            <w:b/>
            <w:bCs/>
            <w:color w:val="0000FF"/>
            <w:sz w:val="19"/>
            <w:szCs w:val="19"/>
            <w:u w:val="single"/>
            <w:lang w:eastAsia="pt-BR"/>
          </w:rPr>
          <w:t>caput</w:t>
        </w:r>
        <w:r w:rsidRPr="00902C4B">
          <w:rPr>
            <w:rFonts w:ascii="Book Antiqua" w:eastAsia="Times New Roman" w:hAnsi="Book Antiqua" w:cs="Arial"/>
            <w:color w:val="0000FF"/>
            <w:sz w:val="19"/>
            <w:szCs w:val="19"/>
            <w:u w:val="single"/>
            <w:lang w:eastAsia="pt-BR"/>
          </w:rPr>
          <w:t>do art. 115 deste Ato das Disposições Constitucionais Transitórias</w:t>
        </w:r>
      </w:hyperlink>
      <w:r w:rsidRPr="00902C4B">
        <w:rPr>
          <w:rFonts w:ascii="Book Antiqua" w:eastAsia="Times New Roman" w:hAnsi="Book Antiqua" w:cs="Arial"/>
          <w:color w:val="000000"/>
          <w:sz w:val="19"/>
          <w:szCs w:val="19"/>
          <w:lang w:eastAsia="pt-BR"/>
        </w:rPr>
        <w:t>.</w:t>
      </w:r>
    </w:p>
    <w:p w14:paraId="2B7DEF18"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2º Os débitos parcelados terão redução de 40% (quarenta por cento) das multas de mora, de ofício e isoladas, de 80% (oitenta por cento) dos juros de mora, de 40% (quarenta por cento) dos encargos legais e de 25% (vinte e cinco por cento) dos honorários advocatícios.</w:t>
      </w:r>
    </w:p>
    <w:p w14:paraId="194A3860"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3º O valor de cada parcela será acrescido de juros equivalentes à taxa referencial do Sistema Especial de Liquidação e de Custódia (Selic), acumulada mensalmente, calculados a partir do mês subsequente ao da consolidação até o mês anterior ao do pagamento.</w:t>
      </w:r>
    </w:p>
    <w:p w14:paraId="4F616762"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4º Não constituem débitos dos Municípios aqueles considerados prescritos ou atingidos pela decadência.</w:t>
      </w:r>
    </w:p>
    <w:p w14:paraId="66C7F064"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lastRenderedPageBreak/>
        <w:t>§ 5º A Secretaria Especial da Receita Federal do Brasil e a Procuradoria-Geral da Fazenda Nacional, no âmbito de suas competências, deverão fixar os critérios para o parcelamento previsto neste artigo, bem como disponibilizar as informações aos Municípios sobre o montante das dívidas, as formas de parcelamento, os juros e os encargos incidentes, de modo a possibilitar o acompanhamento da evolução desses débitos."</w:t>
      </w:r>
    </w:p>
    <w:p w14:paraId="1F5E2BB5"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1" w:anchor="adctart117" w:history="1">
        <w:r w:rsidRPr="00902C4B">
          <w:rPr>
            <w:rFonts w:ascii="Book Antiqua" w:eastAsia="Times New Roman" w:hAnsi="Book Antiqua" w:cs="Arial"/>
            <w:color w:val="0000FF"/>
            <w:sz w:val="19"/>
            <w:szCs w:val="19"/>
            <w:u w:val="single"/>
            <w:lang w:eastAsia="pt-BR"/>
          </w:rPr>
          <w:t>"Art. 117.</w:t>
        </w:r>
      </w:hyperlink>
      <w:r w:rsidRPr="00902C4B">
        <w:rPr>
          <w:rFonts w:ascii="Book Antiqua" w:eastAsia="Times New Roman" w:hAnsi="Book Antiqua" w:cs="Arial"/>
          <w:color w:val="000000"/>
          <w:sz w:val="19"/>
          <w:szCs w:val="19"/>
          <w:lang w:eastAsia="pt-BR"/>
        </w:rPr>
        <w:t> A formalização dos parcelamentos de que tratam os </w:t>
      </w:r>
      <w:hyperlink r:id="rId32" w:anchor="adctart115" w:history="1">
        <w:r w:rsidRPr="00902C4B">
          <w:rPr>
            <w:rFonts w:ascii="Book Antiqua" w:eastAsia="Times New Roman" w:hAnsi="Book Antiqua" w:cs="Arial"/>
            <w:color w:val="0000FF"/>
            <w:sz w:val="19"/>
            <w:szCs w:val="19"/>
            <w:u w:val="single"/>
            <w:lang w:eastAsia="pt-BR"/>
          </w:rPr>
          <w:t>arts. 115 e 116 deste Ato das Disposições Constitucionais Transitórias</w:t>
        </w:r>
      </w:hyperlink>
      <w:r w:rsidRPr="00902C4B">
        <w:rPr>
          <w:rFonts w:ascii="Book Antiqua" w:eastAsia="Times New Roman" w:hAnsi="Book Antiqua" w:cs="Arial"/>
          <w:color w:val="000000"/>
          <w:sz w:val="19"/>
          <w:szCs w:val="19"/>
          <w:lang w:eastAsia="pt-BR"/>
        </w:rPr>
        <w:t> deverá ocorrer até 30 de junho de 2022 e ficará condicionada à autorização de vinculação do Fundo de Participação dos Municípios para fins de pagamento das prestações acordadas nos termos de parcelamento, observada a seguinte ordem de preferência:</w:t>
      </w:r>
    </w:p>
    <w:p w14:paraId="7ABF907F"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 - a prestação de garantia ou de contra garantia à União ou os pagamentos de débitos em favor da União, na forma do </w:t>
      </w:r>
      <w:hyperlink r:id="rId33" w:anchor="art167%C2%A74" w:history="1">
        <w:r w:rsidRPr="00902C4B">
          <w:rPr>
            <w:rFonts w:ascii="Book Antiqua" w:eastAsia="Times New Roman" w:hAnsi="Book Antiqua" w:cs="Arial"/>
            <w:color w:val="0000FF"/>
            <w:sz w:val="19"/>
            <w:szCs w:val="19"/>
            <w:u w:val="single"/>
            <w:lang w:eastAsia="pt-BR"/>
          </w:rPr>
          <w:t>§ 4º do art. 167 da Constituição Federal;</w:t>
        </w:r>
      </w:hyperlink>
    </w:p>
    <w:p w14:paraId="22175EDC"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II - as contribuições parceladas devidas ao Regime Geral de Previdência Social;</w:t>
      </w:r>
    </w:p>
    <w:p w14:paraId="759EE82C" w14:textId="77777777" w:rsid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III - as contribuições parceladas devidas ao respectivo regime próprio de previdência social."</w:t>
      </w:r>
    </w:p>
    <w:p w14:paraId="2E2CDF08" w14:textId="77777777" w:rsidR="00684B3E" w:rsidRPr="00684B3E" w:rsidRDefault="00684B3E" w:rsidP="00684B3E">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684B3E">
        <w:rPr>
          <w:rFonts w:ascii="Book Antiqua" w:eastAsia="Times New Roman" w:hAnsi="Book Antiqua" w:cs="Arial"/>
          <w:color w:val="000000"/>
          <w:sz w:val="19"/>
          <w:szCs w:val="19"/>
          <w:lang w:eastAsia="pt-BR"/>
        </w:rPr>
        <w:t>Art. 3º Nos requisitórios que envolvam a Fazenda Pública federal, a partir da sua expedição até o efetivo pagamento, a atualização monetária será feita pela variação do Índice Nacional de Preços ao Consumidor Amplo (IPCA), e, para fins de compensação da mora, incidirão juros simples de 2% a.a. (dois por cento ao ano), vedada a incidência de juros compensatórios</w:t>
      </w:r>
      <w:r w:rsidRPr="00684B3E">
        <w:rPr>
          <w:rFonts w:ascii="Book Antiqua" w:eastAsia="Times New Roman" w:hAnsi="Book Antiqua" w:cs="Arial"/>
          <w:color w:val="000000"/>
          <w:sz w:val="16"/>
          <w:szCs w:val="16"/>
          <w:lang w:eastAsia="pt-BR"/>
        </w:rPr>
        <w:t>.      </w:t>
      </w:r>
      <w:hyperlink r:id="rId34" w:anchor="art3" w:history="1">
        <w:r w:rsidRPr="00684B3E">
          <w:rPr>
            <w:rStyle w:val="Hyperlink"/>
            <w:rFonts w:ascii="Book Antiqua" w:eastAsia="Times New Roman" w:hAnsi="Book Antiqua" w:cs="Arial"/>
            <w:color w:val="3333FF"/>
            <w:sz w:val="16"/>
            <w:szCs w:val="16"/>
            <w:lang w:eastAsia="pt-BR"/>
          </w:rPr>
          <w:t>(Redação dada pela Emenda Constitucional nº 136, de 2025)</w:t>
        </w:r>
      </w:hyperlink>
    </w:p>
    <w:p w14:paraId="0A75130C" w14:textId="77777777" w:rsidR="00684B3E" w:rsidRPr="00684B3E" w:rsidRDefault="00684B3E" w:rsidP="00684B3E">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84B3E">
        <w:rPr>
          <w:rFonts w:ascii="Book Antiqua" w:eastAsia="Times New Roman" w:hAnsi="Book Antiqua" w:cs="Arial"/>
          <w:color w:val="000000"/>
          <w:sz w:val="19"/>
          <w:szCs w:val="19"/>
          <w:lang w:eastAsia="pt-BR"/>
        </w:rPr>
        <w:t>§ 1º Caso o percentual a ser aplicado a título de atualização monetária e juros de mora, apurado na forma do caput deste artigo, seja superior à variação da taxa referencial do Sistema Especial de Liquidação e de Custódia (Selic) para o mesmo período, esta deve ser aplicada em substituição àquele</w:t>
      </w:r>
      <w:r w:rsidRPr="00684B3E">
        <w:rPr>
          <w:rFonts w:ascii="Book Antiqua" w:eastAsia="Times New Roman" w:hAnsi="Book Antiqua" w:cs="Arial"/>
          <w:color w:val="000000"/>
          <w:sz w:val="18"/>
          <w:szCs w:val="18"/>
          <w:lang w:eastAsia="pt-BR"/>
        </w:rPr>
        <w:t>.   </w:t>
      </w:r>
      <w:r w:rsidRPr="00684B3E">
        <w:rPr>
          <w:rFonts w:ascii="Book Antiqua" w:eastAsia="Times New Roman" w:hAnsi="Book Antiqua" w:cs="Arial"/>
          <w:color w:val="3333FF"/>
          <w:sz w:val="18"/>
          <w:szCs w:val="18"/>
          <w:lang w:eastAsia="pt-BR"/>
        </w:rPr>
        <w:t> </w:t>
      </w:r>
      <w:hyperlink r:id="rId35" w:anchor="art3" w:history="1">
        <w:r w:rsidRPr="00684B3E">
          <w:rPr>
            <w:rStyle w:val="Hyperlink"/>
            <w:rFonts w:ascii="Book Antiqua" w:eastAsia="Times New Roman" w:hAnsi="Book Antiqua" w:cs="Arial"/>
            <w:color w:val="3333FF"/>
            <w:sz w:val="18"/>
            <w:szCs w:val="18"/>
            <w:lang w:eastAsia="pt-BR"/>
          </w:rPr>
          <w:t>(Incluído pela Emenda Constitucional nº 136, de 2025)</w:t>
        </w:r>
      </w:hyperlink>
    </w:p>
    <w:p w14:paraId="48685E5E" w14:textId="77777777" w:rsidR="00684B3E" w:rsidRPr="00684B3E" w:rsidRDefault="00684B3E" w:rsidP="00684B3E">
      <w:pPr>
        <w:spacing w:before="100" w:beforeAutospacing="1" w:after="100" w:afterAutospacing="1" w:line="240" w:lineRule="auto"/>
        <w:ind w:firstLine="570"/>
        <w:jc w:val="both"/>
        <w:rPr>
          <w:rFonts w:ascii="Book Antiqua" w:eastAsia="Times New Roman" w:hAnsi="Book Antiqua" w:cs="Arial"/>
          <w:color w:val="3333FF"/>
          <w:sz w:val="16"/>
          <w:szCs w:val="16"/>
          <w:lang w:eastAsia="pt-BR"/>
        </w:rPr>
      </w:pPr>
      <w:r w:rsidRPr="00684B3E">
        <w:rPr>
          <w:rFonts w:ascii="Book Antiqua" w:eastAsia="Times New Roman" w:hAnsi="Book Antiqua" w:cs="Arial"/>
          <w:color w:val="000000"/>
          <w:sz w:val="19"/>
          <w:szCs w:val="19"/>
          <w:lang w:eastAsia="pt-BR"/>
        </w:rPr>
        <w:t>§ 2º Nos processos de natureza tributária serão aplicados os mesmos critérios de atualização e remuneração da mora pelos quais a Fazenda Pública remunera seu crédito tributário.     </w:t>
      </w:r>
      <w:hyperlink r:id="rId36" w:anchor="art3" w:history="1">
        <w:r w:rsidRPr="00684B3E">
          <w:rPr>
            <w:rStyle w:val="Hyperlink"/>
            <w:rFonts w:ascii="Book Antiqua" w:eastAsia="Times New Roman" w:hAnsi="Book Antiqua" w:cs="Arial"/>
            <w:color w:val="3333FF"/>
            <w:sz w:val="16"/>
            <w:szCs w:val="16"/>
            <w:lang w:eastAsia="pt-BR"/>
          </w:rPr>
          <w:t>(Incluído pela Emenda Constitucional nº 136, de 2025)</w:t>
        </w:r>
      </w:hyperlink>
    </w:p>
    <w:p w14:paraId="66F92007" w14:textId="77777777" w:rsidR="00684B3E" w:rsidRPr="00684B3E" w:rsidRDefault="00684B3E" w:rsidP="00684B3E">
      <w:pPr>
        <w:spacing w:before="100" w:beforeAutospacing="1" w:after="100" w:afterAutospacing="1" w:line="240" w:lineRule="auto"/>
        <w:ind w:firstLine="570"/>
        <w:jc w:val="both"/>
        <w:rPr>
          <w:rFonts w:ascii="Book Antiqua" w:eastAsia="Times New Roman" w:hAnsi="Book Antiqua" w:cs="Arial"/>
          <w:color w:val="3333FF"/>
          <w:sz w:val="16"/>
          <w:szCs w:val="16"/>
          <w:lang w:eastAsia="pt-BR"/>
        </w:rPr>
      </w:pPr>
      <w:r w:rsidRPr="00684B3E">
        <w:rPr>
          <w:rFonts w:ascii="Book Antiqua" w:eastAsia="Times New Roman" w:hAnsi="Book Antiqua" w:cs="Arial"/>
          <w:color w:val="000000"/>
          <w:sz w:val="19"/>
          <w:szCs w:val="19"/>
          <w:lang w:eastAsia="pt-BR"/>
        </w:rPr>
        <w:t>§ 3º Durante o período previsto no</w:t>
      </w:r>
      <w:r w:rsidRPr="00684B3E">
        <w:rPr>
          <w:rFonts w:ascii="Book Antiqua" w:eastAsia="Times New Roman" w:hAnsi="Book Antiqua" w:cs="Arial"/>
          <w:color w:val="3333FF"/>
          <w:sz w:val="19"/>
          <w:szCs w:val="19"/>
          <w:lang w:eastAsia="pt-BR"/>
        </w:rPr>
        <w:t> </w:t>
      </w:r>
      <w:hyperlink r:id="rId37" w:anchor="art100%C2%A75" w:history="1">
        <w:r w:rsidRPr="00684B3E">
          <w:rPr>
            <w:rStyle w:val="Hyperlink"/>
            <w:rFonts w:ascii="Book Antiqua" w:eastAsia="Times New Roman" w:hAnsi="Book Antiqua" w:cs="Arial"/>
            <w:color w:val="3333FF"/>
            <w:sz w:val="19"/>
            <w:szCs w:val="19"/>
            <w:lang w:eastAsia="pt-BR"/>
          </w:rPr>
          <w:t>§ 5º do art. 100 da Constituição Federal,</w:t>
        </w:r>
      </w:hyperlink>
      <w:r w:rsidRPr="00684B3E">
        <w:rPr>
          <w:rFonts w:ascii="Book Antiqua" w:eastAsia="Times New Roman" w:hAnsi="Book Antiqua" w:cs="Arial"/>
          <w:color w:val="000000"/>
          <w:sz w:val="19"/>
          <w:szCs w:val="19"/>
          <w:lang w:eastAsia="pt-BR"/>
        </w:rPr>
        <w:t> não incidem juros de mora sobre os precatórios que nele sejam pagos.     </w:t>
      </w:r>
      <w:hyperlink r:id="rId38" w:anchor="art3" w:history="1">
        <w:r w:rsidRPr="00684B3E">
          <w:rPr>
            <w:rStyle w:val="Hyperlink"/>
            <w:rFonts w:ascii="Book Antiqua" w:eastAsia="Times New Roman" w:hAnsi="Book Antiqua" w:cs="Arial"/>
            <w:color w:val="3333FF"/>
            <w:sz w:val="16"/>
            <w:szCs w:val="16"/>
            <w:lang w:eastAsia="pt-BR"/>
          </w:rPr>
          <w:t>(Incluído pela Emenda Constitucional nº 136, de 2025)</w:t>
        </w:r>
      </w:hyperlink>
    </w:p>
    <w:p w14:paraId="1CD702E0"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 w:name="art3"/>
      <w:bookmarkStart w:id="3" w:name="art4"/>
      <w:bookmarkEnd w:id="2"/>
      <w:bookmarkEnd w:id="3"/>
      <w:r w:rsidRPr="00902C4B">
        <w:rPr>
          <w:rFonts w:ascii="Book Antiqua" w:eastAsia="Times New Roman" w:hAnsi="Book Antiqua" w:cs="Arial"/>
          <w:color w:val="000000"/>
          <w:sz w:val="19"/>
          <w:szCs w:val="19"/>
          <w:lang w:eastAsia="pt-BR"/>
        </w:rPr>
        <w:t>Art. 4º Os limites resultantes da aplicação do disposto no </w:t>
      </w:r>
      <w:hyperlink r:id="rId39" w:anchor="adctart107%C2%A71ii" w:history="1">
        <w:r w:rsidRPr="00902C4B">
          <w:rPr>
            <w:rFonts w:ascii="Book Antiqua" w:eastAsia="Times New Roman" w:hAnsi="Book Antiqua" w:cs="Arial"/>
            <w:color w:val="0000FF"/>
            <w:sz w:val="19"/>
            <w:szCs w:val="19"/>
            <w:u w:val="single"/>
            <w:lang w:eastAsia="pt-BR"/>
          </w:rPr>
          <w:t>inciso II do § 1º do art. 107 do Ato das Disposições Constitucionais Transitórias</w:t>
        </w:r>
      </w:hyperlink>
      <w:r w:rsidRPr="00902C4B">
        <w:rPr>
          <w:rFonts w:ascii="Book Antiqua" w:eastAsia="Times New Roman" w:hAnsi="Book Antiqua" w:cs="Arial"/>
          <w:color w:val="000000"/>
          <w:sz w:val="19"/>
          <w:szCs w:val="19"/>
          <w:lang w:eastAsia="pt-BR"/>
        </w:rPr>
        <w:t> serão aplicáveis a partir do exercício de 2021, observado o disposto neste artigo.</w:t>
      </w:r>
    </w:p>
    <w:p w14:paraId="7F96000C"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1º No exercício de 2021, o eventual aumento dos limites de que trata o</w:t>
      </w:r>
      <w:r w:rsidRPr="00902C4B">
        <w:rPr>
          <w:rFonts w:ascii="Book Antiqua" w:eastAsia="Times New Roman" w:hAnsi="Book Antiqua" w:cs="Arial"/>
          <w:b/>
          <w:bCs/>
          <w:color w:val="000000"/>
          <w:sz w:val="19"/>
          <w:szCs w:val="19"/>
          <w:lang w:eastAsia="pt-BR"/>
        </w:rPr>
        <w:t> caput </w:t>
      </w:r>
      <w:r w:rsidRPr="00902C4B">
        <w:rPr>
          <w:rFonts w:ascii="Book Antiqua" w:eastAsia="Times New Roman" w:hAnsi="Book Antiqua" w:cs="Arial"/>
          <w:color w:val="000000"/>
          <w:sz w:val="19"/>
          <w:szCs w:val="19"/>
          <w:lang w:eastAsia="pt-BR"/>
        </w:rPr>
        <w:t>deste artigo fica restrito ao montante de até R$ 15.000.000.000,00 (quinze bilhões de reais), a ser destinado exclusivamente ao atendimento de despesas de vacinação contra a covid-19 ou relacionadas a ações emergenciais e temporárias de caráter socioeconômico.</w:t>
      </w:r>
    </w:p>
    <w:p w14:paraId="388CC0CC"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2º As operações de crédito realizadas para custear o aumento de limite referido no § 1º deste artigo ficam ressalvadas do estabelecido no </w:t>
      </w:r>
      <w:hyperlink r:id="rId40" w:anchor="art167iii" w:history="1">
        <w:r w:rsidRPr="00902C4B">
          <w:rPr>
            <w:rFonts w:ascii="Book Antiqua" w:eastAsia="Times New Roman" w:hAnsi="Book Antiqua" w:cs="Arial"/>
            <w:color w:val="0000FF"/>
            <w:sz w:val="19"/>
            <w:szCs w:val="19"/>
            <w:u w:val="single"/>
            <w:lang w:eastAsia="pt-BR"/>
          </w:rPr>
          <w:t>inciso III do</w:t>
        </w:r>
        <w:r w:rsidRPr="00902C4B">
          <w:rPr>
            <w:rFonts w:ascii="Book Antiqua" w:eastAsia="Times New Roman" w:hAnsi="Book Antiqua" w:cs="Arial"/>
            <w:b/>
            <w:bCs/>
            <w:color w:val="0000FF"/>
            <w:sz w:val="19"/>
            <w:szCs w:val="19"/>
            <w:u w:val="single"/>
            <w:lang w:eastAsia="pt-BR"/>
          </w:rPr>
          <w:t> caput </w:t>
        </w:r>
        <w:r w:rsidRPr="00902C4B">
          <w:rPr>
            <w:rFonts w:ascii="Book Antiqua" w:eastAsia="Times New Roman" w:hAnsi="Book Antiqua" w:cs="Arial"/>
            <w:color w:val="0000FF"/>
            <w:sz w:val="19"/>
            <w:szCs w:val="19"/>
            <w:u w:val="single"/>
            <w:lang w:eastAsia="pt-BR"/>
          </w:rPr>
          <w:t>do art. 167 da Constituição Federal.</w:t>
        </w:r>
      </w:hyperlink>
    </w:p>
    <w:p w14:paraId="0ACD3671"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3º As despesas de que trata o § 1º deste artigo deverão ser atendidas por meio de créditos extraordinários e ter como fonte de recurso o produto de operações de crédito.</w:t>
      </w:r>
    </w:p>
    <w:p w14:paraId="7DAE48D7" w14:textId="1D6C9162"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4º A abertura dos créditos extraordinários referidos no § 3º deste artigo dar-se-á independentemente da observância dos requisitos exigidos no </w:t>
      </w:r>
      <w:hyperlink r:id="rId41" w:anchor="art167%C2%A73" w:history="1">
        <w:r w:rsidRPr="00902C4B">
          <w:rPr>
            <w:rFonts w:ascii="Book Antiqua" w:eastAsia="Times New Roman" w:hAnsi="Book Antiqua" w:cs="Arial"/>
            <w:color w:val="0000FF"/>
            <w:sz w:val="19"/>
            <w:szCs w:val="19"/>
            <w:u w:val="single"/>
            <w:lang w:eastAsia="pt-BR"/>
          </w:rPr>
          <w:t>§ 3º do art. 167 da Constituição Federal.</w:t>
        </w:r>
      </w:hyperlink>
    </w:p>
    <w:p w14:paraId="34CE67AB" w14:textId="77777777" w:rsidR="00EC12A1" w:rsidRDefault="00EC12A1" w:rsidP="00EC12A1">
      <w:pPr>
        <w:spacing w:before="300" w:after="300" w:line="240" w:lineRule="auto"/>
        <w:ind w:firstLine="570"/>
        <w:jc w:val="both"/>
        <w:rPr>
          <w:rFonts w:ascii="Book Antiqua" w:eastAsia="Times New Roman" w:hAnsi="Book Antiqua" w:cs="Arial"/>
          <w:color w:val="000000"/>
          <w:sz w:val="19"/>
          <w:szCs w:val="19"/>
          <w:lang w:eastAsia="pt-BR"/>
        </w:rPr>
      </w:pPr>
      <w:r w:rsidRPr="00EC12A1">
        <w:rPr>
          <w:rFonts w:ascii="Book Antiqua" w:eastAsia="Times New Roman" w:hAnsi="Book Antiqua" w:cs="Arial"/>
          <w:color w:val="000000"/>
          <w:sz w:val="19"/>
          <w:szCs w:val="19"/>
          <w:lang w:eastAsia="pt-BR"/>
        </w:rPr>
        <w:t>§ 5º O aumento do limite previsto no § 1º deste artigo será destinado, ainda, ao atendimento de despesas de programa de transferência de renda.       </w:t>
      </w:r>
      <w:hyperlink r:id="rId42" w:anchor="art3" w:history="1">
        <w:r w:rsidRPr="00EC12A1">
          <w:rPr>
            <w:rFonts w:ascii="Book Antiqua" w:eastAsia="Times New Roman" w:hAnsi="Book Antiqua" w:cs="Arial"/>
            <w:color w:val="0000FF"/>
            <w:sz w:val="19"/>
            <w:szCs w:val="19"/>
            <w:u w:val="single"/>
            <w:lang w:eastAsia="pt-BR"/>
          </w:rPr>
          <w:t>(Incluído pela Emenda Constitucional nº 114, de 2021)</w:t>
        </w:r>
      </w:hyperlink>
      <w:bookmarkStart w:id="4" w:name="art4§6"/>
      <w:bookmarkEnd w:id="4"/>
    </w:p>
    <w:p w14:paraId="54E8DE75" w14:textId="73FC657D" w:rsidR="00EC12A1" w:rsidRPr="00EC12A1" w:rsidRDefault="00EC12A1" w:rsidP="00EC12A1">
      <w:pPr>
        <w:spacing w:before="300" w:after="300" w:line="240" w:lineRule="auto"/>
        <w:ind w:firstLine="570"/>
        <w:jc w:val="both"/>
        <w:rPr>
          <w:rFonts w:ascii="Book Antiqua" w:eastAsia="Times New Roman" w:hAnsi="Book Antiqua" w:cs="Arial"/>
          <w:color w:val="000000"/>
          <w:sz w:val="19"/>
          <w:szCs w:val="19"/>
          <w:lang w:eastAsia="pt-BR"/>
        </w:rPr>
      </w:pPr>
      <w:r w:rsidRPr="00EC12A1">
        <w:rPr>
          <w:rFonts w:ascii="Book Antiqua" w:eastAsia="Times New Roman" w:hAnsi="Book Antiqua" w:cs="Arial"/>
          <w:color w:val="162937"/>
          <w:sz w:val="19"/>
          <w:szCs w:val="19"/>
          <w:lang w:eastAsia="pt-BR"/>
        </w:rPr>
        <w:lastRenderedPageBreak/>
        <w:t>§ 6º O aumento do limite decorrente da aplicação do disposto no </w:t>
      </w:r>
      <w:hyperlink r:id="rId43" w:anchor="adctart107%C2%A71ii" w:history="1">
        <w:r w:rsidRPr="00EC12A1">
          <w:rPr>
            <w:rFonts w:ascii="Book Antiqua" w:eastAsia="Times New Roman" w:hAnsi="Book Antiqua" w:cs="Arial"/>
            <w:color w:val="0000FF"/>
            <w:sz w:val="19"/>
            <w:szCs w:val="19"/>
            <w:u w:val="single"/>
            <w:lang w:eastAsia="pt-BR"/>
          </w:rPr>
          <w:t>inciso II do § 1º do art. 107 do Ato das Disposições Constitucionais Transitórias</w:t>
        </w:r>
      </w:hyperlink>
      <w:r w:rsidRPr="00EC12A1">
        <w:rPr>
          <w:rFonts w:ascii="Book Antiqua" w:eastAsia="Times New Roman" w:hAnsi="Book Antiqua" w:cs="Arial"/>
          <w:color w:val="162937"/>
          <w:sz w:val="19"/>
          <w:szCs w:val="19"/>
          <w:lang w:eastAsia="pt-BR"/>
        </w:rPr>
        <w:t> deverá, no exercício de 2022, ser destinado somente ao atendimento das despesas de ampliação de programas sociais de combate à pobreza e à extrema pobreza, nos termos do </w:t>
      </w:r>
      <w:hyperlink r:id="rId44" w:anchor="art6p" w:history="1">
        <w:r w:rsidRPr="00EC12A1">
          <w:rPr>
            <w:rFonts w:ascii="Book Antiqua" w:eastAsia="Times New Roman" w:hAnsi="Book Antiqua" w:cs="Arial"/>
            <w:color w:val="0000FF"/>
            <w:sz w:val="19"/>
            <w:szCs w:val="19"/>
            <w:u w:val="single"/>
            <w:lang w:eastAsia="pt-BR"/>
          </w:rPr>
          <w:t>parágrafo único do art. 6º</w:t>
        </w:r>
      </w:hyperlink>
      <w:r w:rsidRPr="00EC12A1">
        <w:rPr>
          <w:rFonts w:ascii="Book Antiqua" w:eastAsia="Times New Roman" w:hAnsi="Book Antiqua" w:cs="Arial"/>
          <w:color w:val="162937"/>
          <w:sz w:val="19"/>
          <w:szCs w:val="19"/>
          <w:lang w:eastAsia="pt-BR"/>
        </w:rPr>
        <w:t> e do</w:t>
      </w:r>
      <w:hyperlink r:id="rId45" w:anchor="art203vi" w:history="1">
        <w:r w:rsidRPr="00EC12A1">
          <w:rPr>
            <w:rFonts w:ascii="Book Antiqua" w:eastAsia="Times New Roman" w:hAnsi="Book Antiqua" w:cs="Arial"/>
            <w:color w:val="0000FF"/>
            <w:sz w:val="19"/>
            <w:szCs w:val="19"/>
            <w:u w:val="single"/>
            <w:lang w:eastAsia="pt-BR"/>
          </w:rPr>
          <w:t> inciso VI do </w:t>
        </w:r>
        <w:r w:rsidRPr="00EC12A1">
          <w:rPr>
            <w:rFonts w:ascii="Book Antiqua" w:eastAsia="Times New Roman" w:hAnsi="Book Antiqua" w:cs="Arial"/>
            <w:b/>
            <w:bCs/>
            <w:color w:val="0000FF"/>
            <w:sz w:val="19"/>
            <w:szCs w:val="19"/>
            <w:u w:val="single"/>
            <w:lang w:eastAsia="pt-BR"/>
          </w:rPr>
          <w:t>caput</w:t>
        </w:r>
        <w:r w:rsidRPr="00EC12A1">
          <w:rPr>
            <w:rFonts w:ascii="Book Antiqua" w:eastAsia="Times New Roman" w:hAnsi="Book Antiqua" w:cs="Arial"/>
            <w:color w:val="0000FF"/>
            <w:sz w:val="19"/>
            <w:szCs w:val="19"/>
            <w:u w:val="single"/>
            <w:lang w:eastAsia="pt-BR"/>
          </w:rPr>
          <w:t> do art. 203 da Constituição Federal</w:t>
        </w:r>
      </w:hyperlink>
      <w:r w:rsidRPr="00EC12A1">
        <w:rPr>
          <w:rFonts w:ascii="Book Antiqua" w:eastAsia="Times New Roman" w:hAnsi="Book Antiqua" w:cs="Arial"/>
          <w:color w:val="162937"/>
          <w:sz w:val="19"/>
          <w:szCs w:val="19"/>
          <w:lang w:eastAsia="pt-BR"/>
        </w:rPr>
        <w:t>, à saúde, à previdência e à assistência social.       </w:t>
      </w:r>
      <w:hyperlink r:id="rId46" w:anchor="art3" w:history="1">
        <w:r w:rsidRPr="00EC12A1">
          <w:rPr>
            <w:rFonts w:ascii="Book Antiqua" w:eastAsia="Times New Roman" w:hAnsi="Book Antiqua" w:cs="Arial"/>
            <w:color w:val="0000FF"/>
            <w:sz w:val="19"/>
            <w:szCs w:val="19"/>
            <w:u w:val="single"/>
            <w:lang w:eastAsia="pt-BR"/>
          </w:rPr>
          <w:t>(Incluído pela Emenda Constitucional nº 114, de 2021)</w:t>
        </w:r>
      </w:hyperlink>
    </w:p>
    <w:p w14:paraId="222D5E5D" w14:textId="7960BC22"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rt. 5º As alterações relativas ao regime de pagamento dos precatórios aplicam-se a todos os requisitórios já expedidos, inclusive no orçamento fiscal e da seguridade social do exercício de 2022.</w:t>
      </w:r>
    </w:p>
    <w:p w14:paraId="4189CBCF"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 w:name="art6"/>
      <w:bookmarkEnd w:id="5"/>
      <w:r w:rsidRPr="00902C4B">
        <w:rPr>
          <w:rFonts w:ascii="Book Antiqua" w:eastAsia="Times New Roman" w:hAnsi="Book Antiqua" w:cs="Arial"/>
          <w:color w:val="000000"/>
          <w:sz w:val="19"/>
          <w:szCs w:val="19"/>
          <w:lang w:eastAsia="pt-BR"/>
        </w:rPr>
        <w:t>Art. 6º Revoga-se o </w:t>
      </w:r>
      <w:hyperlink r:id="rId47" w:anchor="adctart108" w:history="1">
        <w:r w:rsidRPr="00902C4B">
          <w:rPr>
            <w:rFonts w:ascii="Book Antiqua" w:eastAsia="Times New Roman" w:hAnsi="Book Antiqua" w:cs="Arial"/>
            <w:color w:val="0000FF"/>
            <w:sz w:val="19"/>
            <w:szCs w:val="19"/>
            <w:u w:val="single"/>
            <w:lang w:eastAsia="pt-BR"/>
          </w:rPr>
          <w:t>art. 108 do Ato das Disposições Constitucionais Transitórias</w:t>
        </w:r>
      </w:hyperlink>
      <w:r w:rsidRPr="00902C4B">
        <w:rPr>
          <w:rFonts w:ascii="Book Antiqua" w:eastAsia="Times New Roman" w:hAnsi="Book Antiqua" w:cs="Arial"/>
          <w:color w:val="000000"/>
          <w:sz w:val="19"/>
          <w:szCs w:val="19"/>
          <w:lang w:eastAsia="pt-BR"/>
        </w:rPr>
        <w:t>.</w:t>
      </w:r>
    </w:p>
    <w:p w14:paraId="5E5C9C9D"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 w:name="art7"/>
      <w:bookmarkEnd w:id="6"/>
      <w:r w:rsidRPr="00902C4B">
        <w:rPr>
          <w:rFonts w:ascii="Book Antiqua" w:eastAsia="Times New Roman" w:hAnsi="Book Antiqua" w:cs="Arial"/>
          <w:color w:val="000000"/>
          <w:sz w:val="19"/>
          <w:szCs w:val="19"/>
          <w:lang w:eastAsia="pt-BR"/>
        </w:rPr>
        <w:t>Art. 7º Esta Emenda Constitucional entra em vigor na data de sua publicação.</w:t>
      </w:r>
    </w:p>
    <w:p w14:paraId="21F119C4" w14:textId="77777777" w:rsidR="00902C4B" w:rsidRPr="00902C4B" w:rsidRDefault="00902C4B" w:rsidP="00902C4B">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902C4B">
        <w:rPr>
          <w:rFonts w:ascii="Book Antiqua" w:eastAsia="Times New Roman" w:hAnsi="Book Antiqua" w:cs="Arial"/>
          <w:color w:val="000000"/>
          <w:sz w:val="19"/>
          <w:szCs w:val="19"/>
          <w:lang w:eastAsia="pt-BR"/>
        </w:rPr>
        <w:t>Brasília, em 8 de dezembro de 2021.</w:t>
      </w:r>
    </w:p>
    <w:tbl>
      <w:tblPr>
        <w:tblW w:w="9225" w:type="dxa"/>
        <w:jc w:val="center"/>
        <w:tblCellMar>
          <w:top w:w="15" w:type="dxa"/>
          <w:left w:w="15" w:type="dxa"/>
          <w:bottom w:w="15" w:type="dxa"/>
          <w:right w:w="15" w:type="dxa"/>
        </w:tblCellMar>
        <w:tblLook w:val="04A0" w:firstRow="1" w:lastRow="0" w:firstColumn="1" w:lastColumn="0" w:noHBand="0" w:noVBand="1"/>
      </w:tblPr>
      <w:tblGrid>
        <w:gridCol w:w="4584"/>
        <w:gridCol w:w="4641"/>
      </w:tblGrid>
      <w:tr w:rsidR="00902C4B" w:rsidRPr="00902C4B" w14:paraId="25D75EDA" w14:textId="77777777" w:rsidTr="00902C4B">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97628CE"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b/>
                <w:bCs/>
                <w:sz w:val="19"/>
                <w:szCs w:val="19"/>
                <w:lang w:eastAsia="pt-BR"/>
              </w:rPr>
              <w:t>Mesa da Câmara dos Deputados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5082DF2"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b/>
                <w:bCs/>
                <w:sz w:val="19"/>
                <w:szCs w:val="19"/>
                <w:lang w:eastAsia="pt-BR"/>
              </w:rPr>
              <w:t>Mesa do Senado Federal</w:t>
            </w:r>
          </w:p>
        </w:tc>
      </w:tr>
      <w:tr w:rsidR="00902C4B" w:rsidRPr="00902C4B" w14:paraId="392464B0" w14:textId="77777777" w:rsidTr="00902C4B">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25EA50A"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Deputado Arthur Lira</w:t>
            </w:r>
            <w:r w:rsidRPr="00902C4B">
              <w:rPr>
                <w:rFonts w:ascii="Book Antiqua" w:eastAsia="Times New Roman" w:hAnsi="Book Antiqua" w:cs="Arial"/>
                <w:sz w:val="19"/>
                <w:szCs w:val="19"/>
                <w:lang w:eastAsia="pt-BR"/>
              </w:rPr>
              <w:br/>
              <w:t>Presidente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3EE544A"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Senador Rodrigo Pacheco</w:t>
            </w:r>
            <w:r w:rsidRPr="00902C4B">
              <w:rPr>
                <w:rFonts w:ascii="Book Antiqua" w:eastAsia="Times New Roman" w:hAnsi="Book Antiqua" w:cs="Arial"/>
                <w:sz w:val="19"/>
                <w:szCs w:val="19"/>
                <w:lang w:eastAsia="pt-BR"/>
              </w:rPr>
              <w:br/>
              <w:t>Presidente</w:t>
            </w:r>
          </w:p>
        </w:tc>
      </w:tr>
      <w:tr w:rsidR="00902C4B" w:rsidRPr="00902C4B" w14:paraId="0DC3FFD3" w14:textId="77777777" w:rsidTr="00902C4B">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4378A8E"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Deputado Marcelo Ramos</w:t>
            </w:r>
            <w:r w:rsidRPr="00902C4B">
              <w:rPr>
                <w:rFonts w:ascii="Book Antiqua" w:eastAsia="Times New Roman" w:hAnsi="Book Antiqua" w:cs="Arial"/>
                <w:sz w:val="19"/>
                <w:szCs w:val="19"/>
                <w:lang w:eastAsia="pt-BR"/>
              </w:rPr>
              <w:br/>
              <w:t>1º Vice-Presidente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1CB4287"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Senador Veneziano Vital do Rêgo</w:t>
            </w:r>
            <w:r w:rsidRPr="00902C4B">
              <w:rPr>
                <w:rFonts w:ascii="Book Antiqua" w:eastAsia="Times New Roman" w:hAnsi="Book Antiqua" w:cs="Arial"/>
                <w:sz w:val="19"/>
                <w:szCs w:val="19"/>
                <w:lang w:eastAsia="pt-BR"/>
              </w:rPr>
              <w:br/>
              <w:t>1º Vice-Presidente</w:t>
            </w:r>
          </w:p>
        </w:tc>
      </w:tr>
      <w:tr w:rsidR="00902C4B" w:rsidRPr="00902C4B" w14:paraId="0BFD1D43" w14:textId="77777777" w:rsidTr="00902C4B">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339FFC5"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Deputado André de Paula</w:t>
            </w:r>
            <w:r w:rsidRPr="00902C4B">
              <w:rPr>
                <w:rFonts w:ascii="Book Antiqua" w:eastAsia="Times New Roman" w:hAnsi="Book Antiqua" w:cs="Arial"/>
                <w:sz w:val="19"/>
                <w:szCs w:val="19"/>
                <w:lang w:eastAsia="pt-BR"/>
              </w:rPr>
              <w:br/>
              <w:t>2º Vice-Presidente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315F24C"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Senador Romário</w:t>
            </w:r>
            <w:r w:rsidRPr="00902C4B">
              <w:rPr>
                <w:rFonts w:ascii="Book Antiqua" w:eastAsia="Times New Roman" w:hAnsi="Book Antiqua" w:cs="Arial"/>
                <w:sz w:val="19"/>
                <w:szCs w:val="19"/>
                <w:lang w:eastAsia="pt-BR"/>
              </w:rPr>
              <w:br/>
              <w:t>2º Vice-Presidente</w:t>
            </w:r>
          </w:p>
        </w:tc>
      </w:tr>
      <w:tr w:rsidR="00902C4B" w:rsidRPr="00902C4B" w14:paraId="002F3D46" w14:textId="77777777" w:rsidTr="00902C4B">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8584A0B"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Deputado Luciano Bivar</w:t>
            </w:r>
            <w:r w:rsidRPr="00902C4B">
              <w:rPr>
                <w:rFonts w:ascii="Book Antiqua" w:eastAsia="Times New Roman" w:hAnsi="Book Antiqua" w:cs="Arial"/>
                <w:sz w:val="19"/>
                <w:szCs w:val="19"/>
                <w:lang w:eastAsia="pt-BR"/>
              </w:rPr>
              <w:br/>
              <w:t>1º Secretário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E1D2C09"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Senador Irajá</w:t>
            </w:r>
            <w:r w:rsidRPr="00902C4B">
              <w:rPr>
                <w:rFonts w:ascii="Book Antiqua" w:eastAsia="Times New Roman" w:hAnsi="Book Antiqua" w:cs="Arial"/>
                <w:sz w:val="19"/>
                <w:szCs w:val="19"/>
                <w:lang w:eastAsia="pt-BR"/>
              </w:rPr>
              <w:br/>
              <w:t>1º Secretário</w:t>
            </w:r>
          </w:p>
        </w:tc>
      </w:tr>
      <w:tr w:rsidR="00902C4B" w:rsidRPr="00902C4B" w14:paraId="47524BDB" w14:textId="77777777" w:rsidTr="00902C4B">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F4E5E67"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Deputada Marília Arraes</w:t>
            </w:r>
            <w:r w:rsidRPr="00902C4B">
              <w:rPr>
                <w:rFonts w:ascii="Book Antiqua" w:eastAsia="Times New Roman" w:hAnsi="Book Antiqua" w:cs="Arial"/>
                <w:sz w:val="19"/>
                <w:szCs w:val="19"/>
                <w:lang w:eastAsia="pt-BR"/>
              </w:rPr>
              <w:br/>
              <w:t>2ª Secretária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C886331"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Senador Elmano Férrer</w:t>
            </w:r>
            <w:r w:rsidRPr="00902C4B">
              <w:rPr>
                <w:rFonts w:ascii="Book Antiqua" w:eastAsia="Times New Roman" w:hAnsi="Book Antiqua" w:cs="Arial"/>
                <w:sz w:val="19"/>
                <w:szCs w:val="19"/>
                <w:lang w:eastAsia="pt-BR"/>
              </w:rPr>
              <w:br/>
              <w:t>2º Secretário</w:t>
            </w:r>
          </w:p>
        </w:tc>
      </w:tr>
      <w:tr w:rsidR="00902C4B" w:rsidRPr="00902C4B" w14:paraId="1615CFFF" w14:textId="77777777" w:rsidTr="00902C4B">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B34F08B"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Deputada Rose Modesto</w:t>
            </w:r>
            <w:r w:rsidRPr="00902C4B">
              <w:rPr>
                <w:rFonts w:ascii="Book Antiqua" w:eastAsia="Times New Roman" w:hAnsi="Book Antiqua" w:cs="Arial"/>
                <w:sz w:val="19"/>
                <w:szCs w:val="19"/>
                <w:lang w:eastAsia="pt-BR"/>
              </w:rPr>
              <w:br/>
              <w:t>3ª Secretária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8FCD21E"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Senador Rogério Carvalho</w:t>
            </w:r>
            <w:r w:rsidRPr="00902C4B">
              <w:rPr>
                <w:rFonts w:ascii="Book Antiqua" w:eastAsia="Times New Roman" w:hAnsi="Book Antiqua" w:cs="Arial"/>
                <w:sz w:val="19"/>
                <w:szCs w:val="19"/>
                <w:lang w:eastAsia="pt-BR"/>
              </w:rPr>
              <w:br/>
              <w:t>3º Secretário</w:t>
            </w:r>
          </w:p>
        </w:tc>
      </w:tr>
      <w:tr w:rsidR="00902C4B" w:rsidRPr="00902C4B" w14:paraId="5FD7B5A7" w14:textId="77777777" w:rsidTr="00902C4B">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DD9304B"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Deputada Rosangela Gomes</w:t>
            </w:r>
            <w:r w:rsidRPr="00902C4B">
              <w:rPr>
                <w:rFonts w:ascii="Book Antiqua" w:eastAsia="Times New Roman" w:hAnsi="Book Antiqua" w:cs="Arial"/>
                <w:sz w:val="19"/>
                <w:szCs w:val="19"/>
                <w:lang w:eastAsia="pt-BR"/>
              </w:rPr>
              <w:br/>
              <w:t>4ª Secretária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01E9219"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Senador Weverton</w:t>
            </w:r>
            <w:r w:rsidRPr="00902C4B">
              <w:rPr>
                <w:rFonts w:ascii="Book Antiqua" w:eastAsia="Times New Roman" w:hAnsi="Book Antiqua" w:cs="Arial"/>
                <w:sz w:val="19"/>
                <w:szCs w:val="19"/>
                <w:lang w:eastAsia="pt-BR"/>
              </w:rPr>
              <w:br/>
              <w:t>4º Secretário</w:t>
            </w:r>
          </w:p>
        </w:tc>
      </w:tr>
    </w:tbl>
    <w:p w14:paraId="7160A926" w14:textId="77777777" w:rsidR="00902C4B" w:rsidRPr="00902C4B" w:rsidRDefault="00902C4B" w:rsidP="00902C4B">
      <w:pPr>
        <w:spacing w:before="100" w:beforeAutospacing="1" w:after="100" w:afterAutospacing="1" w:line="240" w:lineRule="auto"/>
        <w:rPr>
          <w:rFonts w:ascii="Book Antiqua" w:eastAsia="Times New Roman" w:hAnsi="Book Antiqua" w:cs="Times New Roman"/>
          <w:color w:val="000000"/>
          <w:sz w:val="19"/>
          <w:szCs w:val="19"/>
          <w:lang w:eastAsia="pt-BR"/>
        </w:rPr>
      </w:pPr>
      <w:r w:rsidRPr="00902C4B">
        <w:rPr>
          <w:rFonts w:ascii="Book Antiqua" w:eastAsia="Times New Roman" w:hAnsi="Book Antiqua" w:cs="Arial"/>
          <w:color w:val="FF0000"/>
          <w:sz w:val="19"/>
          <w:szCs w:val="19"/>
          <w:lang w:eastAsia="pt-BR"/>
        </w:rPr>
        <w:t>Este texto não substitui o publicado no DOU 9.12.2021</w:t>
      </w:r>
    </w:p>
    <w:p w14:paraId="2445FCB6" w14:textId="77777777" w:rsidR="00902C4B" w:rsidRPr="00902C4B" w:rsidRDefault="00902C4B" w:rsidP="00902C4B">
      <w:pPr>
        <w:spacing w:before="100" w:beforeAutospacing="1" w:after="100" w:afterAutospacing="1" w:line="240" w:lineRule="auto"/>
        <w:jc w:val="center"/>
        <w:rPr>
          <w:rFonts w:ascii="Book Antiqua" w:eastAsia="Times New Roman" w:hAnsi="Book Antiqua" w:cs="Arial"/>
          <w:color w:val="162937"/>
          <w:sz w:val="19"/>
          <w:szCs w:val="19"/>
          <w:lang w:eastAsia="pt-BR"/>
        </w:rPr>
      </w:pPr>
      <w:r w:rsidRPr="00902C4B">
        <w:rPr>
          <w:rFonts w:ascii="Book Antiqua" w:eastAsia="Times New Roman" w:hAnsi="Book Antiqua" w:cs="Arial"/>
          <w:b/>
          <w:bCs/>
          <w:color w:val="FF0000"/>
          <w:sz w:val="19"/>
          <w:szCs w:val="19"/>
          <w:lang w:eastAsia="pt-BR"/>
        </w:rPr>
        <w:t>*</w:t>
      </w:r>
    </w:p>
    <w:p w14:paraId="2DE40177" w14:textId="77777777" w:rsidR="00181DDC" w:rsidRPr="00902C4B" w:rsidRDefault="00181DDC" w:rsidP="00902C4B">
      <w:pPr>
        <w:spacing w:before="100" w:beforeAutospacing="1" w:after="100" w:afterAutospacing="1" w:line="240" w:lineRule="auto"/>
        <w:rPr>
          <w:rFonts w:ascii="Book Antiqua" w:hAnsi="Book Antiqua"/>
          <w:sz w:val="19"/>
          <w:szCs w:val="19"/>
        </w:rPr>
      </w:pPr>
    </w:p>
    <w:sectPr w:rsidR="00181DDC" w:rsidRPr="00902C4B" w:rsidSect="00902C4B">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DDC"/>
    <w:rsid w:val="00151DE8"/>
    <w:rsid w:val="00181DDC"/>
    <w:rsid w:val="001B62B4"/>
    <w:rsid w:val="00320CCB"/>
    <w:rsid w:val="00684B3E"/>
    <w:rsid w:val="00902C4B"/>
    <w:rsid w:val="00984A6A"/>
    <w:rsid w:val="00C025F9"/>
    <w:rsid w:val="00DE236A"/>
    <w:rsid w:val="00EC12A1"/>
    <w:rsid w:val="00FB1A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14B87"/>
  <w15:chartTrackingRefBased/>
  <w15:docId w15:val="{1255CA62-09B0-4DED-8876-01D7A7504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EC12A1"/>
    <w:rPr>
      <w:color w:val="0563C1" w:themeColor="hyperlink"/>
      <w:u w:val="single"/>
    </w:rPr>
  </w:style>
  <w:style w:type="character" w:styleId="MenoPendente">
    <w:name w:val="Unresolved Mention"/>
    <w:basedOn w:val="Fontepargpadro"/>
    <w:uiPriority w:val="99"/>
    <w:semiHidden/>
    <w:unhideWhenUsed/>
    <w:rsid w:val="00EC12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3263">
      <w:bodyDiv w:val="1"/>
      <w:marLeft w:val="0"/>
      <w:marRight w:val="0"/>
      <w:marTop w:val="0"/>
      <w:marBottom w:val="0"/>
      <w:divBdr>
        <w:top w:val="none" w:sz="0" w:space="0" w:color="auto"/>
        <w:left w:val="none" w:sz="0" w:space="0" w:color="auto"/>
        <w:bottom w:val="none" w:sz="0" w:space="0" w:color="auto"/>
        <w:right w:val="none" w:sz="0" w:space="0" w:color="auto"/>
      </w:divBdr>
    </w:div>
    <w:div w:id="1491362727">
      <w:bodyDiv w:val="1"/>
      <w:marLeft w:val="0"/>
      <w:marRight w:val="0"/>
      <w:marTop w:val="0"/>
      <w:marBottom w:val="0"/>
      <w:divBdr>
        <w:top w:val="none" w:sz="0" w:space="0" w:color="auto"/>
        <w:left w:val="none" w:sz="0" w:space="0" w:color="auto"/>
        <w:bottom w:val="none" w:sz="0" w:space="0" w:color="auto"/>
        <w:right w:val="none" w:sz="0" w:space="0" w:color="auto"/>
      </w:divBdr>
    </w:div>
    <w:div w:id="1811744164">
      <w:bodyDiv w:val="1"/>
      <w:marLeft w:val="0"/>
      <w:marRight w:val="0"/>
      <w:marTop w:val="0"/>
      <w:marBottom w:val="0"/>
      <w:divBdr>
        <w:top w:val="none" w:sz="0" w:space="0" w:color="auto"/>
        <w:left w:val="none" w:sz="0" w:space="0" w:color="auto"/>
        <w:bottom w:val="none" w:sz="0" w:space="0" w:color="auto"/>
        <w:right w:val="none" w:sz="0" w:space="0" w:color="auto"/>
      </w:divBdr>
      <w:divsChild>
        <w:div w:id="630645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5932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705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540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Constituicao/Emendas/Emc/emc103.htm" TargetMode="External"/><Relationship Id="rId39" Type="http://schemas.openxmlformats.org/officeDocument/2006/relationships/hyperlink" Target="http://www.planalto.gov.br/ccivil_03/Constituicao/Constituicao.htm" TargetMode="External"/><Relationship Id="rId21" Type="http://schemas.openxmlformats.org/officeDocument/2006/relationships/hyperlink" Target="http://www.planalto.gov.br/ccivil_03/Constituicao/Constituicao.htm" TargetMode="External"/><Relationship Id="rId34" Type="http://schemas.openxmlformats.org/officeDocument/2006/relationships/hyperlink" Target="https://www.planalto.gov.br/ccivil_03/Constituicao/Emendas/Emc/emc136.htm" TargetMode="External"/><Relationship Id="rId42" Type="http://schemas.openxmlformats.org/officeDocument/2006/relationships/hyperlink" Target="http://www.planalto.gov.br/ccivil_03/Constituicao/Emendas/Emc/emc114.htm" TargetMode="External"/><Relationship Id="rId47" Type="http://schemas.openxmlformats.org/officeDocument/2006/relationships/hyperlink" Target="http://www.planalto.gov.br/ccivil_03/Constituicao/Constituicao.htm" TargetMode="External"/><Relationship Id="rId7" Type="http://schemas.openxmlformats.org/officeDocument/2006/relationships/hyperlink" Target="http://www.planalto.gov.br/ccivil_03/Constituicao/Constituicao.htm" TargetMode="External"/><Relationship Id="rId2" Type="http://schemas.openxmlformats.org/officeDocument/2006/relationships/settings" Target="settings.xml"/><Relationship Id="rId16" Type="http://schemas.openxmlformats.org/officeDocument/2006/relationships/hyperlink" Target="http://www.planalto.gov.br/ccivil_03/Constituicao/Constituicao.htm" TargetMode="External"/><Relationship Id="rId29" Type="http://schemas.openxmlformats.org/officeDocument/2006/relationships/hyperlink" Target="http://www.planalto.gov.br/ccivil_03/Constituicao/Constituicao.htm" TargetMode="External"/><Relationship Id="rId11" Type="http://schemas.openxmlformats.org/officeDocument/2006/relationships/hyperlink" Target="http://www.planalto.gov.br/ccivil_03/Constituicao/Constituicao.htm" TargetMode="External"/><Relationship Id="rId24" Type="http://schemas.openxmlformats.org/officeDocument/2006/relationships/hyperlink" Target="http://www.planalto.gov.br/ccivil_03/Constituicao/Constituicao.htm" TargetMode="External"/><Relationship Id="rId32" Type="http://schemas.openxmlformats.org/officeDocument/2006/relationships/hyperlink" Target="http://www.planalto.gov.br/ccivil_03/Constituicao/Constituicao.htm" TargetMode="External"/><Relationship Id="rId37"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Constituicao/Constituicao.htm" TargetMode="External"/><Relationship Id="rId45" Type="http://schemas.openxmlformats.org/officeDocument/2006/relationships/hyperlink" Target="http://www.planalto.gov.br/ccivil_03/Constituicao/Constituicao.htm" TargetMode="External"/><Relationship Id="rId5" Type="http://schemas.openxmlformats.org/officeDocument/2006/relationships/hyperlink" Target="http://www.planalto.gov.br/ccivil_03/Constituicao/Constituicao.htm" TargetMode="External"/><Relationship Id="rId15" Type="http://schemas.openxmlformats.org/officeDocument/2006/relationships/hyperlink" Target="http://www.planalto.gov.br/ccivil_03/Constituicao/Constituicao.htm" TargetMode="External"/><Relationship Id="rId23" Type="http://schemas.openxmlformats.org/officeDocument/2006/relationships/hyperlink" Target="http://www.planalto.gov.br/ccivil_03/Constituicao/Constituicao.htm" TargetMode="External"/><Relationship Id="rId28" Type="http://schemas.openxmlformats.org/officeDocument/2006/relationships/hyperlink" Target="http://www.planalto.gov.br/ccivil_03/Constituicao/Emendas/Emc/emc103.htm" TargetMode="External"/><Relationship Id="rId36" Type="http://schemas.openxmlformats.org/officeDocument/2006/relationships/hyperlink" Target="https://www.planalto.gov.br/ccivil_03/Constituicao/Emendas/Emc/emc136.htm" TargetMode="External"/><Relationship Id="rId49" Type="http://schemas.openxmlformats.org/officeDocument/2006/relationships/theme" Target="theme/theme1.xml"/><Relationship Id="rId10" Type="http://schemas.openxmlformats.org/officeDocument/2006/relationships/hyperlink" Target="http://www.planalto.gov.br/ccivil_03/Constituicao/Constituicao.htm" TargetMode="External"/><Relationship Id="rId19"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Constituicao/Constituicao.htm" TargetMode="External"/><Relationship Id="rId44" Type="http://schemas.openxmlformats.org/officeDocument/2006/relationships/hyperlink" Target="http://www.planalto.gov.br/ccivil_03/Constituicao/Constituicao.htm" TargetMode="External"/><Relationship Id="rId4" Type="http://schemas.openxmlformats.org/officeDocument/2006/relationships/hyperlink" Target="http://legislacao.planalto.gov.br/legisla/legislacao.nsf/Viw_Identificacao/emc%20113-2021?OpenDocument" TargetMode="Externa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Constituicao/Constituicao.htm" TargetMode="External"/><Relationship Id="rId22" Type="http://schemas.openxmlformats.org/officeDocument/2006/relationships/hyperlink" Target="http://www.planalto.gov.br/ccivil_03/Constituicao/Constituicao.htm" TargetMode="External"/><Relationship Id="rId27" Type="http://schemas.openxmlformats.org/officeDocument/2006/relationships/hyperlink" Target="http://www.planalto.gov.br/ccivil_03/Constituicao/Emendas/Emc/emc103.htm" TargetMode="External"/><Relationship Id="rId30" Type="http://schemas.openxmlformats.org/officeDocument/2006/relationships/hyperlink" Target="http://www.planalto.gov.br/ccivil_03/Constituicao/Constituicao.htm" TargetMode="External"/><Relationship Id="rId35" Type="http://schemas.openxmlformats.org/officeDocument/2006/relationships/hyperlink" Target="https://www.planalto.gov.br/ccivil_03/Constituicao/Emendas/Emc/emc136.htm" TargetMode="External"/><Relationship Id="rId43" Type="http://schemas.openxmlformats.org/officeDocument/2006/relationships/hyperlink" Target="http://www.planalto.gov.br/ccivil_03/Constituicao/Constituicao.htm" TargetMode="External"/><Relationship Id="rId48" Type="http://schemas.openxmlformats.org/officeDocument/2006/relationships/fontTable" Target="fontTable.xml"/><Relationship Id="rId8" Type="http://schemas.openxmlformats.org/officeDocument/2006/relationships/hyperlink" Target="http://www.planalto.gov.br/ccivil_03/Constituicao/Constituicao.htm" TargetMode="External"/><Relationship Id="rId3" Type="http://schemas.openxmlformats.org/officeDocument/2006/relationships/webSettings" Target="webSettings.xml"/><Relationship Id="rId12" Type="http://schemas.openxmlformats.org/officeDocument/2006/relationships/hyperlink" Target="http://www.planalto.gov.br/ccivil_03/Constituicao/Constituicao.htm" TargetMode="External"/><Relationship Id="rId17" Type="http://schemas.openxmlformats.org/officeDocument/2006/relationships/hyperlink" Target="http://www.planalto.gov.br/ccivil_03/Constituicao/Constituicao.htm" TargetMode="External"/><Relationship Id="rId25" Type="http://schemas.openxmlformats.org/officeDocument/2006/relationships/hyperlink" Target="http://www.planalto.gov.br/ccivil_03/Constituicao/Emendas/Emc/emc103.htm" TargetMode="External"/><Relationship Id="rId33" Type="http://schemas.openxmlformats.org/officeDocument/2006/relationships/hyperlink" Target="http://www.planalto.gov.br/ccivil_03/Constituicao/Constituicao.htm" TargetMode="External"/><Relationship Id="rId38" Type="http://schemas.openxmlformats.org/officeDocument/2006/relationships/hyperlink" Target="https://www.planalto.gov.br/ccivil_03/Constituicao/Emendas/Emc/emc136.htm" TargetMode="External"/><Relationship Id="rId46" Type="http://schemas.openxmlformats.org/officeDocument/2006/relationships/hyperlink" Target="http://www.planalto.gov.br/ccivil_03/Constituicao/Emendas/Emc/emc114.htm" TargetMode="External"/><Relationship Id="rId20" Type="http://schemas.openxmlformats.org/officeDocument/2006/relationships/hyperlink" Target="http://www.planalto.gov.br/ccivil_03/Constituicao/Constituicao.htm" TargetMode="External"/><Relationship Id="rId41" Type="http://schemas.openxmlformats.org/officeDocument/2006/relationships/hyperlink" Target="http://www.planalto.gov.br/ccivil_03/Constituicao/Constituicao.htm" TargetMode="Externa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3172</Words>
  <Characters>17135</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7</cp:revision>
  <dcterms:created xsi:type="dcterms:W3CDTF">2021-12-10T18:07:00Z</dcterms:created>
  <dcterms:modified xsi:type="dcterms:W3CDTF">2025-12-02T17:38:00Z</dcterms:modified>
</cp:coreProperties>
</file>