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3500" w:type="pct"/>
        <w:jc w:val="center"/>
        <w:tblCellSpacing w:w="0" w:type="dxa"/>
        <w:tblCellMar>
          <w:left w:w="0" w:type="dxa"/>
          <w:right w:w="0" w:type="dxa"/>
        </w:tblCellMar>
        <w:tblLook w:val="04A0" w:firstRow="1" w:lastRow="0" w:firstColumn="1" w:lastColumn="0" w:noHBand="0" w:noVBand="1"/>
      </w:tblPr>
      <w:tblGrid>
        <w:gridCol w:w="5953"/>
      </w:tblGrid>
      <w:tr w:rsidR="00FF1FB9" w:rsidRPr="00FF1FB9" w14:paraId="4D9258D7" w14:textId="77777777" w:rsidTr="00FF1FB9">
        <w:trPr>
          <w:tblCellSpacing w:w="0" w:type="dxa"/>
          <w:jc w:val="center"/>
        </w:trPr>
        <w:tc>
          <w:tcPr>
            <w:tcW w:w="4300" w:type="pct"/>
            <w:vAlign w:val="center"/>
            <w:hideMark/>
          </w:tcPr>
          <w:p w14:paraId="630EE5CA"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b/>
                <w:bCs/>
                <w:color w:val="808000"/>
                <w:sz w:val="19"/>
                <w:szCs w:val="19"/>
                <w:lang w:eastAsia="pt-BR"/>
              </w:rPr>
              <w:t>Presidência da República</w:t>
            </w:r>
            <w:r w:rsidRPr="00FF1FB9">
              <w:rPr>
                <w:rFonts w:ascii="Book Antiqua" w:eastAsia="Times New Roman" w:hAnsi="Book Antiqua" w:cs="Arial"/>
                <w:b/>
                <w:bCs/>
                <w:color w:val="808000"/>
                <w:sz w:val="19"/>
                <w:szCs w:val="19"/>
                <w:lang w:eastAsia="pt-BR"/>
              </w:rPr>
              <w:br/>
              <w:t>Casa Civil</w:t>
            </w:r>
            <w:r w:rsidRPr="00FF1FB9">
              <w:rPr>
                <w:rFonts w:ascii="Book Antiqua" w:eastAsia="Times New Roman" w:hAnsi="Book Antiqua" w:cs="Arial"/>
                <w:b/>
                <w:bCs/>
                <w:color w:val="808000"/>
                <w:sz w:val="19"/>
                <w:szCs w:val="19"/>
                <w:lang w:eastAsia="pt-BR"/>
              </w:rPr>
              <w:br/>
              <w:t>Subchefia para Assuntos Jurídicos</w:t>
            </w:r>
          </w:p>
        </w:tc>
      </w:tr>
    </w:tbl>
    <w:p w14:paraId="0266FD83"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FF1FB9">
          <w:rPr>
            <w:rFonts w:ascii="Book Antiqua" w:eastAsia="Times New Roman" w:hAnsi="Book Antiqua" w:cs="Arial"/>
            <w:b/>
            <w:bCs/>
            <w:color w:val="000080"/>
            <w:sz w:val="19"/>
            <w:szCs w:val="19"/>
            <w:u w:val="single"/>
            <w:lang w:eastAsia="pt-BR"/>
          </w:rPr>
          <w:t>EMENDA CONSTITUCIONAL Nº 114, DE 16 DE DEZEMBRO DE 2021</w:t>
        </w:r>
      </w:hyperlink>
    </w:p>
    <w:tbl>
      <w:tblPr>
        <w:tblW w:w="5000" w:type="pct"/>
        <w:tblCellSpacing w:w="0" w:type="dxa"/>
        <w:tblCellMar>
          <w:left w:w="0" w:type="dxa"/>
          <w:right w:w="0" w:type="dxa"/>
        </w:tblCellMar>
        <w:tblLook w:val="04A0" w:firstRow="1" w:lastRow="0" w:firstColumn="1" w:lastColumn="0" w:noHBand="0" w:noVBand="1"/>
      </w:tblPr>
      <w:tblGrid>
        <w:gridCol w:w="4337"/>
        <w:gridCol w:w="4167"/>
      </w:tblGrid>
      <w:tr w:rsidR="00FF1FB9" w:rsidRPr="00FF1FB9" w14:paraId="48EF92AC" w14:textId="77777777" w:rsidTr="00FF1FB9">
        <w:trPr>
          <w:tblCellSpacing w:w="0" w:type="dxa"/>
        </w:trPr>
        <w:tc>
          <w:tcPr>
            <w:tcW w:w="2550" w:type="pct"/>
            <w:vAlign w:val="center"/>
            <w:hideMark/>
          </w:tcPr>
          <w:p w14:paraId="4418300E" w14:textId="77777777" w:rsidR="00FF1FB9" w:rsidRPr="00FF1FB9" w:rsidRDefault="00FF1FB9" w:rsidP="00FF1FB9">
            <w:pPr>
              <w:spacing w:before="100" w:beforeAutospacing="1" w:after="100" w:afterAutospacing="1" w:line="240" w:lineRule="auto"/>
              <w:rPr>
                <w:rFonts w:ascii="Book Antiqua" w:eastAsia="Times New Roman" w:hAnsi="Book Antiqua" w:cs="Times New Roman"/>
                <w:sz w:val="19"/>
                <w:szCs w:val="19"/>
                <w:lang w:eastAsia="pt-BR"/>
              </w:rPr>
            </w:pPr>
            <w:r w:rsidRPr="00FF1FB9">
              <w:rPr>
                <w:rFonts w:ascii="Book Antiqua" w:eastAsia="Times New Roman" w:hAnsi="Book Antiqua" w:cs="Times New Roman"/>
                <w:sz w:val="19"/>
                <w:szCs w:val="19"/>
                <w:lang w:eastAsia="pt-BR"/>
              </w:rPr>
              <w:t> </w:t>
            </w:r>
          </w:p>
        </w:tc>
        <w:tc>
          <w:tcPr>
            <w:tcW w:w="2450" w:type="pct"/>
            <w:vAlign w:val="center"/>
            <w:hideMark/>
          </w:tcPr>
          <w:p w14:paraId="6EF85C08" w14:textId="77777777" w:rsidR="00FF1FB9" w:rsidRPr="00FF1FB9" w:rsidRDefault="00FF1FB9" w:rsidP="00FF1FB9">
            <w:pPr>
              <w:spacing w:before="100" w:beforeAutospacing="1" w:after="100" w:afterAutospacing="1" w:line="240" w:lineRule="auto"/>
              <w:rPr>
                <w:rFonts w:ascii="Book Antiqua" w:eastAsia="Times New Roman" w:hAnsi="Book Antiqua" w:cs="Times New Roman"/>
                <w:sz w:val="19"/>
                <w:szCs w:val="19"/>
                <w:lang w:eastAsia="pt-BR"/>
              </w:rPr>
            </w:pPr>
            <w:r w:rsidRPr="00FF1FB9">
              <w:rPr>
                <w:rFonts w:ascii="Book Antiqua" w:eastAsia="Times New Roman" w:hAnsi="Book Antiqua" w:cs="Arial"/>
                <w:color w:val="800000"/>
                <w:sz w:val="19"/>
                <w:szCs w:val="19"/>
                <w:lang w:eastAsia="pt-BR"/>
              </w:rPr>
              <w:t>Altera a Constituição Federal e o Ato das Disposições Constitucionais Transitórias para estabelecer o novo regime de pagamentos de precatórios, modificar normas relativas ao Novo Regime Fiscal e autorizar o parcelamento de débitos previdenciários dos Municípios; e dá outras providências.</w:t>
            </w:r>
          </w:p>
        </w:tc>
      </w:tr>
    </w:tbl>
    <w:p w14:paraId="29DA9C63"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As Mesas da Câmara dos Deputados e do Senado Federal, nos termos do § 3º do art. 60 da Constituição Federal, promulgam a seguinte Emenda ao texto constitucional:</w:t>
      </w:r>
    </w:p>
    <w:p w14:paraId="42AE5BE1"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bookmarkStart w:id="0" w:name="art1"/>
      <w:bookmarkEnd w:id="0"/>
      <w:r w:rsidRPr="00FF1FB9">
        <w:rPr>
          <w:rFonts w:ascii="Book Antiqua" w:eastAsia="Times New Roman" w:hAnsi="Book Antiqua" w:cs="Arial"/>
          <w:color w:val="162937"/>
          <w:sz w:val="19"/>
          <w:szCs w:val="19"/>
          <w:lang w:eastAsia="pt-BR"/>
        </w:rPr>
        <w:t xml:space="preserve">Art. 1º Os </w:t>
      </w:r>
      <w:proofErr w:type="spellStart"/>
      <w:r w:rsidRPr="00FF1FB9">
        <w:rPr>
          <w:rFonts w:ascii="Book Antiqua" w:eastAsia="Times New Roman" w:hAnsi="Book Antiqua" w:cs="Arial"/>
          <w:color w:val="162937"/>
          <w:sz w:val="19"/>
          <w:szCs w:val="19"/>
          <w:lang w:eastAsia="pt-BR"/>
        </w:rPr>
        <w:t>arts</w:t>
      </w:r>
      <w:proofErr w:type="spellEnd"/>
      <w:r w:rsidRPr="00FF1FB9">
        <w:rPr>
          <w:rFonts w:ascii="Book Antiqua" w:eastAsia="Times New Roman" w:hAnsi="Book Antiqua" w:cs="Arial"/>
          <w:color w:val="162937"/>
          <w:sz w:val="19"/>
          <w:szCs w:val="19"/>
          <w:lang w:eastAsia="pt-BR"/>
        </w:rPr>
        <w:t>. 6º, 100 e 203 da </w:t>
      </w:r>
      <w:hyperlink r:id="rId5" w:history="1">
        <w:r w:rsidRPr="00FF1FB9">
          <w:rPr>
            <w:rFonts w:ascii="Book Antiqua" w:eastAsia="Times New Roman" w:hAnsi="Book Antiqua" w:cs="Arial"/>
            <w:color w:val="0000FF"/>
            <w:sz w:val="19"/>
            <w:szCs w:val="19"/>
            <w:u w:val="single"/>
            <w:lang w:eastAsia="pt-BR"/>
          </w:rPr>
          <w:t>Constituição Federal</w:t>
        </w:r>
      </w:hyperlink>
      <w:r w:rsidRPr="00FF1FB9">
        <w:rPr>
          <w:rFonts w:ascii="Book Antiqua" w:eastAsia="Times New Roman" w:hAnsi="Book Antiqua" w:cs="Arial"/>
          <w:color w:val="162937"/>
          <w:sz w:val="19"/>
          <w:szCs w:val="19"/>
          <w:lang w:eastAsia="pt-BR"/>
        </w:rPr>
        <w:t> passam a vigorar com as seguintes alterações:</w:t>
      </w:r>
    </w:p>
    <w:p w14:paraId="36079F61"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"Art. 6º ..................................................................................................................</w:t>
      </w:r>
    </w:p>
    <w:p w14:paraId="5D7A2181"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hyperlink r:id="rId6" w:anchor="art6p" w:history="1">
        <w:r w:rsidRPr="00FF1FB9">
          <w:rPr>
            <w:rFonts w:ascii="Book Antiqua" w:eastAsia="Times New Roman" w:hAnsi="Book Antiqua" w:cs="Arial"/>
            <w:color w:val="0000FF"/>
            <w:sz w:val="19"/>
            <w:szCs w:val="19"/>
            <w:u w:val="single"/>
            <w:lang w:eastAsia="pt-BR"/>
          </w:rPr>
          <w:t>Parágrafo único. </w:t>
        </w:r>
      </w:hyperlink>
      <w:r w:rsidRPr="00FF1FB9">
        <w:rPr>
          <w:rFonts w:ascii="Book Antiqua" w:eastAsia="Times New Roman" w:hAnsi="Book Antiqua" w:cs="Arial"/>
          <w:color w:val="162937"/>
          <w:sz w:val="19"/>
          <w:szCs w:val="19"/>
          <w:lang w:eastAsia="pt-BR"/>
        </w:rPr>
        <w:t>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(NR)</w:t>
      </w:r>
    </w:p>
    <w:p w14:paraId="316446D4"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"Art. 100. ...............................................................................................................</w:t>
      </w:r>
    </w:p>
    <w:p w14:paraId="6EFDFB3E"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w:t>
      </w:r>
    </w:p>
    <w:p w14:paraId="209C7DA0"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hyperlink r:id="rId7" w:history="1">
        <w:r w:rsidRPr="00FF1FB9">
          <w:rPr>
            <w:rFonts w:ascii="Book Antiqua" w:eastAsia="Times New Roman" w:hAnsi="Book Antiqua" w:cs="Arial"/>
            <w:color w:val="0000FF"/>
            <w:sz w:val="19"/>
            <w:szCs w:val="19"/>
            <w:u w:val="single"/>
            <w:lang w:eastAsia="pt-BR"/>
          </w:rPr>
          <w:t>§ 5º </w:t>
        </w:r>
      </w:hyperlink>
      <w:r w:rsidRPr="00FF1FB9">
        <w:rPr>
          <w:rFonts w:ascii="Book Antiqua" w:eastAsia="Times New Roman" w:hAnsi="Book Antiqua" w:cs="Arial"/>
          <w:color w:val="162937"/>
          <w:sz w:val="19"/>
          <w:szCs w:val="19"/>
          <w:lang w:eastAsia="pt-BR"/>
        </w:rPr>
        <w:t>É obrigatória a inclusão no orçamento das entidades de direito público de verba necessária ao pagamento de seus débitos oriundos de sentenças transitadas em julgado constantes de precatórios judiciários apresentados até 2 de abril, fazendo-se o pagamento até o final do exercício seguinte, quando terão seus valores atualizados monetariamente.        </w:t>
      </w:r>
      <w:hyperlink r:id="rId8" w:anchor="art8" w:history="1">
        <w:r w:rsidRPr="00FF1FB9">
          <w:rPr>
            <w:rFonts w:ascii="Book Antiqua" w:eastAsia="Times New Roman" w:hAnsi="Book Antiqua" w:cs="Arial"/>
            <w:color w:val="0000FF"/>
            <w:sz w:val="19"/>
            <w:szCs w:val="19"/>
            <w:u w:val="single"/>
            <w:lang w:eastAsia="pt-BR"/>
          </w:rPr>
          <w:t>(Vigência)</w:t>
        </w:r>
      </w:hyperlink>
    </w:p>
    <w:p w14:paraId="2E8C1F98"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(NR)</w:t>
      </w:r>
    </w:p>
    <w:p w14:paraId="50A4D419"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"Art. 203. .............................................................................................................</w:t>
      </w:r>
    </w:p>
    <w:p w14:paraId="5E69A0AA"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w:t>
      </w:r>
    </w:p>
    <w:p w14:paraId="154594F1"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hyperlink r:id="rId9" w:anchor="art203vi" w:history="1">
        <w:r w:rsidRPr="00FF1FB9">
          <w:rPr>
            <w:rFonts w:ascii="Book Antiqua" w:eastAsia="Times New Roman" w:hAnsi="Book Antiqua" w:cs="Arial"/>
            <w:color w:val="0000FF"/>
            <w:sz w:val="19"/>
            <w:szCs w:val="19"/>
            <w:u w:val="single"/>
            <w:lang w:eastAsia="pt-BR"/>
          </w:rPr>
          <w:t>VI - </w:t>
        </w:r>
      </w:hyperlink>
      <w:r w:rsidRPr="00FF1FB9">
        <w:rPr>
          <w:rFonts w:ascii="Book Antiqua" w:eastAsia="Times New Roman" w:hAnsi="Book Antiqua" w:cs="Arial"/>
          <w:color w:val="162937"/>
          <w:sz w:val="19"/>
          <w:szCs w:val="19"/>
          <w:lang w:eastAsia="pt-BR"/>
        </w:rPr>
        <w:t>a redução da vulnerabilidade socioeconômica de famílias em situação de pobreza ou de extrema pobreza." (NR)</w:t>
      </w:r>
    </w:p>
    <w:p w14:paraId="296FACB5"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bookmarkStart w:id="1" w:name="art2"/>
      <w:bookmarkEnd w:id="1"/>
      <w:r w:rsidRPr="00FF1FB9">
        <w:rPr>
          <w:rFonts w:ascii="Book Antiqua" w:eastAsia="Times New Roman" w:hAnsi="Book Antiqua" w:cs="Arial"/>
          <w:color w:val="162937"/>
          <w:sz w:val="19"/>
          <w:szCs w:val="19"/>
          <w:lang w:eastAsia="pt-BR"/>
        </w:rPr>
        <w:t>Art. 2º O </w:t>
      </w:r>
      <w:hyperlink r:id="rId10" w:anchor="adct" w:history="1">
        <w:r w:rsidRPr="00FF1FB9">
          <w:rPr>
            <w:rFonts w:ascii="Book Antiqua" w:eastAsia="Times New Roman" w:hAnsi="Book Antiqua" w:cs="Arial"/>
            <w:color w:val="0000FF"/>
            <w:sz w:val="19"/>
            <w:szCs w:val="19"/>
            <w:u w:val="single"/>
            <w:lang w:eastAsia="pt-BR"/>
          </w:rPr>
          <w:t>Ato das Disposições Constitucionais Transitórias</w:t>
        </w:r>
      </w:hyperlink>
      <w:r w:rsidRPr="00FF1FB9">
        <w:rPr>
          <w:rFonts w:ascii="Book Antiqua" w:eastAsia="Times New Roman" w:hAnsi="Book Antiqua" w:cs="Arial"/>
          <w:color w:val="162937"/>
          <w:sz w:val="19"/>
          <w:szCs w:val="19"/>
          <w:lang w:eastAsia="pt-BR"/>
        </w:rPr>
        <w:t xml:space="preserve"> passa a vigorar acrescido dos seguintes </w:t>
      </w:r>
      <w:proofErr w:type="spellStart"/>
      <w:r w:rsidRPr="00FF1FB9">
        <w:rPr>
          <w:rFonts w:ascii="Book Antiqua" w:eastAsia="Times New Roman" w:hAnsi="Book Antiqua" w:cs="Arial"/>
          <w:color w:val="162937"/>
          <w:sz w:val="19"/>
          <w:szCs w:val="19"/>
          <w:lang w:eastAsia="pt-BR"/>
        </w:rPr>
        <w:t>arts</w:t>
      </w:r>
      <w:proofErr w:type="spellEnd"/>
      <w:r w:rsidRPr="00FF1FB9">
        <w:rPr>
          <w:rFonts w:ascii="Book Antiqua" w:eastAsia="Times New Roman" w:hAnsi="Book Antiqua" w:cs="Arial"/>
          <w:color w:val="162937"/>
          <w:sz w:val="19"/>
          <w:szCs w:val="19"/>
          <w:lang w:eastAsia="pt-BR"/>
        </w:rPr>
        <w:t>. 107-A e 118:</w:t>
      </w:r>
    </w:p>
    <w:p w14:paraId="3C415659"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w:t>
      </w:r>
      <w:hyperlink r:id="rId11" w:anchor="adctart107a" w:history="1">
        <w:r w:rsidRPr="00FF1FB9">
          <w:rPr>
            <w:rFonts w:ascii="Book Antiqua" w:eastAsia="Times New Roman" w:hAnsi="Book Antiqua" w:cs="Arial"/>
            <w:color w:val="0000FF"/>
            <w:sz w:val="19"/>
            <w:szCs w:val="19"/>
            <w:u w:val="single"/>
            <w:lang w:eastAsia="pt-BR"/>
          </w:rPr>
          <w:t>Art. 107-A. </w:t>
        </w:r>
      </w:hyperlink>
      <w:r w:rsidRPr="00FF1FB9">
        <w:rPr>
          <w:rFonts w:ascii="Book Antiqua" w:eastAsia="Times New Roman" w:hAnsi="Book Antiqua" w:cs="Arial"/>
          <w:color w:val="162937"/>
          <w:sz w:val="19"/>
          <w:szCs w:val="19"/>
          <w:lang w:eastAsia="pt-BR"/>
        </w:rPr>
        <w:t>Até o fim de 2026, fica estabelecido, para cada exercício financeiro, limite para alocação na proposta orçamentária das despesas com pagamentos em virtude de sentença judiciária de que trata o art. 100 da Constituição Federal, equivalente ao valor da despesa paga no exercício de 2016, incluídos os restos a pagar pagos, corrigido na forma do § 1º do art. 107 deste Ato das Disposições Constitucionais Transitórias, devendo o espaço fiscal decorrente da diferença entre o valor dos precatórios expedidos e o respectivo limite ser destinado ao programa previsto no parágrafo único do art. 6º e à seguridade social, nos termos do art. 194, ambos da Constituição Federal, a ser calculado da seguinte forma:</w:t>
      </w:r>
    </w:p>
    <w:p w14:paraId="319A6FD2"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lastRenderedPageBreak/>
        <w:t>I - no exercício de 2022, o espaço fiscal decorrente da diferença entre o valor dos precatórios expedidos e o limite estabelecido no</w:t>
      </w:r>
      <w:r w:rsidRPr="00FF1FB9">
        <w:rPr>
          <w:rFonts w:ascii="Book Antiqua" w:eastAsia="Times New Roman" w:hAnsi="Book Antiqua" w:cs="Arial"/>
          <w:b/>
          <w:bCs/>
          <w:color w:val="162937"/>
          <w:sz w:val="19"/>
          <w:szCs w:val="19"/>
          <w:lang w:eastAsia="pt-BR"/>
        </w:rPr>
        <w:t> caput </w:t>
      </w:r>
      <w:r w:rsidRPr="00FF1FB9">
        <w:rPr>
          <w:rFonts w:ascii="Book Antiqua" w:eastAsia="Times New Roman" w:hAnsi="Book Antiqua" w:cs="Arial"/>
          <w:color w:val="162937"/>
          <w:sz w:val="19"/>
          <w:szCs w:val="19"/>
          <w:lang w:eastAsia="pt-BR"/>
        </w:rPr>
        <w:t>deste artigo deverá ser destinado ao programa previsto no parágrafo único do art. 6º e à seguridade social, nos termos do art. 194, ambos da Constituição Federal;</w:t>
      </w:r>
    </w:p>
    <w:p w14:paraId="0CC09CD1"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II - no exercício de 2023, pela diferença entre o total de precatórios expedidos entre 2 de julho de 2021 e 2 de abril de 2022 e o limite de que trata o </w:t>
      </w:r>
      <w:r w:rsidRPr="00FF1FB9">
        <w:rPr>
          <w:rFonts w:ascii="Book Antiqua" w:eastAsia="Times New Roman" w:hAnsi="Book Antiqua" w:cs="Arial"/>
          <w:b/>
          <w:bCs/>
          <w:color w:val="162937"/>
          <w:sz w:val="19"/>
          <w:szCs w:val="19"/>
          <w:lang w:eastAsia="pt-BR"/>
        </w:rPr>
        <w:t>caput</w:t>
      </w:r>
      <w:r w:rsidRPr="00FF1FB9">
        <w:rPr>
          <w:rFonts w:ascii="Book Antiqua" w:eastAsia="Times New Roman" w:hAnsi="Book Antiqua" w:cs="Arial"/>
          <w:color w:val="162937"/>
          <w:sz w:val="19"/>
          <w:szCs w:val="19"/>
          <w:lang w:eastAsia="pt-BR"/>
        </w:rPr>
        <w:t> deste artigo válido para o exercício de 2023; e</w:t>
      </w:r>
    </w:p>
    <w:p w14:paraId="544CA304"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III - nos exercícios de 2024 a 2026, pela diferença entre o total de precatórios expedidos entre 3 de abril de dois anos anteriores e 2 de abril do ano anterior ao exercício e o limite de que trata o </w:t>
      </w:r>
      <w:r w:rsidRPr="00FF1FB9">
        <w:rPr>
          <w:rFonts w:ascii="Book Antiqua" w:eastAsia="Times New Roman" w:hAnsi="Book Antiqua" w:cs="Arial"/>
          <w:b/>
          <w:bCs/>
          <w:color w:val="162937"/>
          <w:sz w:val="19"/>
          <w:szCs w:val="19"/>
          <w:lang w:eastAsia="pt-BR"/>
        </w:rPr>
        <w:t>caput</w:t>
      </w:r>
      <w:r w:rsidRPr="00FF1FB9">
        <w:rPr>
          <w:rFonts w:ascii="Book Antiqua" w:eastAsia="Times New Roman" w:hAnsi="Book Antiqua" w:cs="Arial"/>
          <w:color w:val="162937"/>
          <w:sz w:val="19"/>
          <w:szCs w:val="19"/>
          <w:lang w:eastAsia="pt-BR"/>
        </w:rPr>
        <w:t> deste artigo válido para o mesmo exercício.</w:t>
      </w:r>
    </w:p>
    <w:p w14:paraId="1B16A6EC"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1º O limite para o pagamento de precatórios corresponderá, em cada exercício, ao limite previsto no</w:t>
      </w:r>
      <w:r w:rsidRPr="00FF1FB9">
        <w:rPr>
          <w:rFonts w:ascii="Book Antiqua" w:eastAsia="Times New Roman" w:hAnsi="Book Antiqua" w:cs="Arial"/>
          <w:b/>
          <w:bCs/>
          <w:color w:val="162937"/>
          <w:sz w:val="19"/>
          <w:szCs w:val="19"/>
          <w:lang w:eastAsia="pt-BR"/>
        </w:rPr>
        <w:t> caput </w:t>
      </w:r>
      <w:r w:rsidRPr="00FF1FB9">
        <w:rPr>
          <w:rFonts w:ascii="Book Antiqua" w:eastAsia="Times New Roman" w:hAnsi="Book Antiqua" w:cs="Arial"/>
          <w:color w:val="162937"/>
          <w:sz w:val="19"/>
          <w:szCs w:val="19"/>
          <w:lang w:eastAsia="pt-BR"/>
        </w:rPr>
        <w:t>deste artigo, reduzido da projeção para a despesa com o pagamento de requisições de pequeno valor para o mesmo exercício, que terão prioridade no pagamento.</w:t>
      </w:r>
    </w:p>
    <w:p w14:paraId="4F0E76BD"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2º Os precatórios que não forem pagos em razão do previsto neste artigo terão prioridade para pagamento em exercícios seguintes, observada a ordem cronológica e o disposto no § 8º deste artigo.</w:t>
      </w:r>
    </w:p>
    <w:p w14:paraId="78EE03AD"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3º É facultado ao credor de precatório que não tenha sido pago em razão do disposto neste artigo, além das hipóteses previstas no § 11 do art. 100 da Constituição Federal e sem prejuízo dos procedimentos previstos nos §§ 9º e 21 do referido artigo, optar pelo recebimento, mediante acordos diretos perante Juízos Auxiliares de Conciliação de Pagamento de Condenações Judiciais contra a Fazenda Pública Federal, em parcela única, até o final do exercício seguinte, com renúncia de 40% (quarenta por cento) do valor desse crédito.</w:t>
      </w:r>
    </w:p>
    <w:p w14:paraId="5E100DF0"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4º O Conselho Nacional de Justiça regulamentará a atuação dos Presidentes dos Tribunais competentes para o cumprimento deste artigo.</w:t>
      </w:r>
    </w:p>
    <w:p w14:paraId="28F3A766"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5º Não se incluem no limite estabelecido neste artigo as despesas para fins de cumprimento do disposto nos §§ 11, 20 e 21 do art. 100 da Constituição Federal e no § 3º deste artigo, bem como a atualização monetária dos precatórios inscritos no exercício.</w:t>
      </w:r>
    </w:p>
    <w:p w14:paraId="2669CD85"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6º Não se incluem nos limites estabelecidos no art. 107 deste Ato das Disposições Constitucionais Transitórias o previsto nos §§ 11, 20 e 21 do art. 100 da Constituição Federal e no § 3º deste artigo.</w:t>
      </w:r>
    </w:p>
    <w:p w14:paraId="43FE3C83"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7º Na situação prevista no § 3º deste artigo, para os precatórios não incluídos na proposta orçamentária de 2022, os valores necessários à sua quitação serão providenciados pela abertura de créditos adicionais durante o exercício de 2022.</w:t>
      </w:r>
    </w:p>
    <w:p w14:paraId="0B64353A"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8º Os pagamentos em virtude de sentença judiciária de que trata o art. 100 da Constituição Federal serão realizados na seguinte ordem:</w:t>
      </w:r>
    </w:p>
    <w:p w14:paraId="1E5A9810"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 - obrigações definidas em lei como de pequeno valor, previstas no § 3º do art. 100 da Constituição Federal;</w:t>
      </w:r>
    </w:p>
    <w:p w14:paraId="148854D0"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II - precatórios de natureza alimentícia cujos titulares, originários ou por sucessão hereditária, tenham no mínimo 60 (sessenta) anos de idade, ou sejam portadores de doença grave ou pessoas com deficiência, assim definidos na forma da lei, até o valor equivalente ao triplo do montante fixado em lei como obrigação de pequeno valor;</w:t>
      </w:r>
    </w:p>
    <w:p w14:paraId="4D2A6F7A"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III - demais precatórios de natureza alimentícia até o valor equivalente ao triplo do montante fixado em lei como obrigação de pequeno valor;</w:t>
      </w:r>
    </w:p>
    <w:p w14:paraId="700372D5"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lastRenderedPageBreak/>
        <w:t>IV - demais precatórios de natureza alimentícia além do valor previsto no inciso III deste parágrafo;</w:t>
      </w:r>
    </w:p>
    <w:p w14:paraId="4F595B93"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V - demais precatórios."</w:t>
      </w:r>
    </w:p>
    <w:p w14:paraId="321AFC88"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w:t>
      </w:r>
      <w:hyperlink r:id="rId12" w:anchor="adctart118" w:history="1">
        <w:r w:rsidRPr="00FF1FB9">
          <w:rPr>
            <w:rFonts w:ascii="Book Antiqua" w:eastAsia="Times New Roman" w:hAnsi="Book Antiqua" w:cs="Arial"/>
            <w:color w:val="0000FF"/>
            <w:sz w:val="19"/>
            <w:szCs w:val="19"/>
            <w:u w:val="single"/>
            <w:lang w:eastAsia="pt-BR"/>
          </w:rPr>
          <w:t>Art. 118. </w:t>
        </w:r>
      </w:hyperlink>
      <w:r w:rsidRPr="00FF1FB9">
        <w:rPr>
          <w:rFonts w:ascii="Book Antiqua" w:eastAsia="Times New Roman" w:hAnsi="Book Antiqua" w:cs="Arial"/>
          <w:color w:val="162937"/>
          <w:sz w:val="19"/>
          <w:szCs w:val="19"/>
          <w:lang w:eastAsia="pt-BR"/>
        </w:rPr>
        <w:t>Os limites, as condições, as normas de acesso e os demais requisitos para o atendimento do disposto no parágrafo único do art. 6º e no inciso VI do </w:t>
      </w:r>
      <w:r w:rsidRPr="00FF1FB9">
        <w:rPr>
          <w:rFonts w:ascii="Book Antiqua" w:eastAsia="Times New Roman" w:hAnsi="Book Antiqua" w:cs="Arial"/>
          <w:b/>
          <w:bCs/>
          <w:color w:val="162937"/>
          <w:sz w:val="19"/>
          <w:szCs w:val="19"/>
          <w:lang w:eastAsia="pt-BR"/>
        </w:rPr>
        <w:t>caput</w:t>
      </w:r>
      <w:r w:rsidRPr="00FF1FB9">
        <w:rPr>
          <w:rFonts w:ascii="Book Antiqua" w:eastAsia="Times New Roman" w:hAnsi="Book Antiqua" w:cs="Arial"/>
          <w:color w:val="162937"/>
          <w:sz w:val="19"/>
          <w:szCs w:val="19"/>
          <w:lang w:eastAsia="pt-BR"/>
        </w:rPr>
        <w:t> do art. 203 da Constituição Federal serão determinados, na forma da lei e respectivo regulamento, até 31 de dezembro de 2022, dispensada, exclusivamente no exercício de 2022, a observância das limitações legais quanto à criação, à expansão ou ao aperfeiçoamento de ação governamental que acarrete aumento de despesa no referido exercício."</w:t>
      </w:r>
    </w:p>
    <w:p w14:paraId="5056B6FC"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bookmarkStart w:id="2" w:name="art3"/>
      <w:bookmarkEnd w:id="2"/>
      <w:r w:rsidRPr="00FF1FB9">
        <w:rPr>
          <w:rFonts w:ascii="Book Antiqua" w:eastAsia="Times New Roman" w:hAnsi="Book Antiqua" w:cs="Arial"/>
          <w:color w:val="162937"/>
          <w:sz w:val="19"/>
          <w:szCs w:val="19"/>
          <w:lang w:eastAsia="pt-BR"/>
        </w:rPr>
        <w:t>Art. 3º O art. 4º da </w:t>
      </w:r>
      <w:hyperlink r:id="rId13" w:history="1">
        <w:r w:rsidRPr="00FF1FB9">
          <w:rPr>
            <w:rFonts w:ascii="Book Antiqua" w:eastAsia="Times New Roman" w:hAnsi="Book Antiqua" w:cs="Arial"/>
            <w:color w:val="0000FF"/>
            <w:sz w:val="19"/>
            <w:szCs w:val="19"/>
            <w:u w:val="single"/>
            <w:lang w:eastAsia="pt-BR"/>
          </w:rPr>
          <w:t>Emenda Constitucional nº 113, de 8 de dezembro de 2021</w:t>
        </w:r>
      </w:hyperlink>
      <w:r w:rsidRPr="00FF1FB9">
        <w:rPr>
          <w:rFonts w:ascii="Book Antiqua" w:eastAsia="Times New Roman" w:hAnsi="Book Antiqua" w:cs="Arial"/>
          <w:color w:val="162937"/>
          <w:sz w:val="19"/>
          <w:szCs w:val="19"/>
          <w:lang w:eastAsia="pt-BR"/>
        </w:rPr>
        <w:t>, passa a vigorar acrescido dos seguintes §§ 5º e 6º:</w:t>
      </w:r>
    </w:p>
    <w:p w14:paraId="29B6C9A0"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"Art. 4º .................................................................................................................</w:t>
      </w:r>
    </w:p>
    <w:p w14:paraId="6461BE10"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w:t>
      </w:r>
    </w:p>
    <w:p w14:paraId="14C55BD5"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hyperlink r:id="rId14" w:anchor="art4%C2%A75" w:history="1">
        <w:r w:rsidRPr="00FF1FB9">
          <w:rPr>
            <w:rFonts w:ascii="Book Antiqua" w:eastAsia="Times New Roman" w:hAnsi="Book Antiqua" w:cs="Arial"/>
            <w:color w:val="0000FF"/>
            <w:sz w:val="19"/>
            <w:szCs w:val="19"/>
            <w:u w:val="single"/>
            <w:lang w:eastAsia="pt-BR"/>
          </w:rPr>
          <w:t>§ 5º </w:t>
        </w:r>
      </w:hyperlink>
      <w:r w:rsidRPr="00FF1FB9">
        <w:rPr>
          <w:rFonts w:ascii="Book Antiqua" w:eastAsia="Times New Roman" w:hAnsi="Book Antiqua" w:cs="Arial"/>
          <w:color w:val="162937"/>
          <w:sz w:val="19"/>
          <w:szCs w:val="19"/>
          <w:lang w:eastAsia="pt-BR"/>
        </w:rPr>
        <w:t>O aumento do limite previsto no § 1º deste artigo será destinado, ainda, ao atendimento de despesas de programa de transferência de renda.</w:t>
      </w:r>
    </w:p>
    <w:p w14:paraId="7260C30E"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6º O aumento do limite decorrente da aplicação do disposto no </w:t>
      </w:r>
      <w:hyperlink r:id="rId15" w:anchor="adctart107%C2%A71ii" w:history="1">
        <w:r w:rsidRPr="00FF1FB9">
          <w:rPr>
            <w:rFonts w:ascii="Book Antiqua" w:eastAsia="Times New Roman" w:hAnsi="Book Antiqua" w:cs="Arial"/>
            <w:color w:val="0000FF"/>
            <w:sz w:val="19"/>
            <w:szCs w:val="19"/>
            <w:u w:val="single"/>
            <w:lang w:eastAsia="pt-BR"/>
          </w:rPr>
          <w:t>inciso II do § 1º do art. 107 do Ato das Disposições Constitucionais Transitórias</w:t>
        </w:r>
      </w:hyperlink>
      <w:r w:rsidRPr="00FF1FB9">
        <w:rPr>
          <w:rFonts w:ascii="Book Antiqua" w:eastAsia="Times New Roman" w:hAnsi="Book Antiqua" w:cs="Arial"/>
          <w:color w:val="162937"/>
          <w:sz w:val="19"/>
          <w:szCs w:val="19"/>
          <w:lang w:eastAsia="pt-BR"/>
        </w:rPr>
        <w:t> deverá, no exercício de 2022, ser destinado somente ao atendimento das despesas de ampliação de programas sociais de combate à pobreza e à extrema pobreza, nos termos do </w:t>
      </w:r>
      <w:hyperlink r:id="rId16" w:anchor="art6p" w:history="1">
        <w:r w:rsidRPr="00FF1FB9">
          <w:rPr>
            <w:rFonts w:ascii="Book Antiqua" w:eastAsia="Times New Roman" w:hAnsi="Book Antiqua" w:cs="Arial"/>
            <w:color w:val="0000FF"/>
            <w:sz w:val="19"/>
            <w:szCs w:val="19"/>
            <w:u w:val="single"/>
            <w:lang w:eastAsia="pt-BR"/>
          </w:rPr>
          <w:t>parágrafo único do art. 6º</w:t>
        </w:r>
      </w:hyperlink>
      <w:r w:rsidRPr="00FF1FB9">
        <w:rPr>
          <w:rFonts w:ascii="Book Antiqua" w:eastAsia="Times New Roman" w:hAnsi="Book Antiqua" w:cs="Arial"/>
          <w:color w:val="162937"/>
          <w:sz w:val="19"/>
          <w:szCs w:val="19"/>
          <w:lang w:eastAsia="pt-BR"/>
        </w:rPr>
        <w:t> e do</w:t>
      </w:r>
      <w:hyperlink r:id="rId17" w:anchor="art203vi" w:history="1">
        <w:r w:rsidRPr="00FF1FB9">
          <w:rPr>
            <w:rFonts w:ascii="Book Antiqua" w:eastAsia="Times New Roman" w:hAnsi="Book Antiqua" w:cs="Arial"/>
            <w:color w:val="0000FF"/>
            <w:sz w:val="19"/>
            <w:szCs w:val="19"/>
            <w:u w:val="single"/>
            <w:lang w:eastAsia="pt-BR"/>
          </w:rPr>
          <w:t> inciso VI do </w:t>
        </w:r>
        <w:r w:rsidRPr="00FF1FB9">
          <w:rPr>
            <w:rFonts w:ascii="Book Antiqua" w:eastAsia="Times New Roman" w:hAnsi="Book Antiqua" w:cs="Arial"/>
            <w:b/>
            <w:bCs/>
            <w:color w:val="0000FF"/>
            <w:sz w:val="19"/>
            <w:szCs w:val="19"/>
            <w:u w:val="single"/>
            <w:lang w:eastAsia="pt-BR"/>
          </w:rPr>
          <w:t>caput</w:t>
        </w:r>
        <w:r w:rsidRPr="00FF1FB9">
          <w:rPr>
            <w:rFonts w:ascii="Book Antiqua" w:eastAsia="Times New Roman" w:hAnsi="Book Antiqua" w:cs="Arial"/>
            <w:color w:val="0000FF"/>
            <w:sz w:val="19"/>
            <w:szCs w:val="19"/>
            <w:u w:val="single"/>
            <w:lang w:eastAsia="pt-BR"/>
          </w:rPr>
          <w:t> do art. 203 da Constituição Federal</w:t>
        </w:r>
      </w:hyperlink>
      <w:r w:rsidRPr="00FF1FB9">
        <w:rPr>
          <w:rFonts w:ascii="Book Antiqua" w:eastAsia="Times New Roman" w:hAnsi="Book Antiqua" w:cs="Arial"/>
          <w:color w:val="162937"/>
          <w:sz w:val="19"/>
          <w:szCs w:val="19"/>
          <w:lang w:eastAsia="pt-BR"/>
        </w:rPr>
        <w:t>, à saúde, à previdência e à assistência social." (NR)</w:t>
      </w:r>
    </w:p>
    <w:p w14:paraId="0527F7A3"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bookmarkStart w:id="3" w:name="art4"/>
      <w:bookmarkEnd w:id="3"/>
      <w:r w:rsidRPr="00FF1FB9">
        <w:rPr>
          <w:rFonts w:ascii="Book Antiqua" w:eastAsia="Times New Roman" w:hAnsi="Book Antiqua" w:cs="Arial"/>
          <w:color w:val="162937"/>
          <w:sz w:val="19"/>
          <w:szCs w:val="19"/>
          <w:lang w:eastAsia="pt-BR"/>
        </w:rPr>
        <w:t>Art. 4º Os precatórios decorrentes de demandas relativas à complementação da União aos Estados e aos Municípios por conta do Fundo de Manutenção e Desenvolvimento do Ensino Fundamental e de Valorização do Magistério (Fundef) serão pagos em 3 (três) parcelas anuais e sucessivas, da seguinte forma:</w:t>
      </w:r>
    </w:p>
    <w:p w14:paraId="6953CBF4"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 - 40% (quarenta por cento) no primeiro ano;</w:t>
      </w:r>
    </w:p>
    <w:p w14:paraId="4EC44221"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II - 30% (trinta por cento) no segundo ano;</w:t>
      </w:r>
    </w:p>
    <w:p w14:paraId="5A29DACE"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III - 30% (trinta por cento) no terceiro ano.</w:t>
      </w:r>
    </w:p>
    <w:p w14:paraId="12BC037B"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Parágrafo único. Não se incluem nos limites estabelecidos nos </w:t>
      </w:r>
      <w:proofErr w:type="spellStart"/>
      <w:r w:rsidRPr="00FF1FB9">
        <w:rPr>
          <w:rFonts w:ascii="Book Antiqua" w:eastAsia="Times New Roman" w:hAnsi="Book Antiqua" w:cs="Arial"/>
          <w:color w:val="162937"/>
          <w:sz w:val="19"/>
          <w:szCs w:val="19"/>
          <w:lang w:eastAsia="pt-BR"/>
        </w:rPr>
        <w:fldChar w:fldCharType="begin"/>
      </w:r>
      <w:r w:rsidRPr="00FF1FB9">
        <w:rPr>
          <w:rFonts w:ascii="Book Antiqua" w:eastAsia="Times New Roman" w:hAnsi="Book Antiqua" w:cs="Arial"/>
          <w:color w:val="162937"/>
          <w:sz w:val="19"/>
          <w:szCs w:val="19"/>
          <w:lang w:eastAsia="pt-BR"/>
        </w:rPr>
        <w:instrText xml:space="preserve"> HYPERLINK "http://www.planalto.gov.br/ccivil_03/Constituicao/Constituicao.htm" \l "adctart107" </w:instrText>
      </w:r>
      <w:r w:rsidRPr="00FF1FB9">
        <w:rPr>
          <w:rFonts w:ascii="Book Antiqua" w:eastAsia="Times New Roman" w:hAnsi="Book Antiqua" w:cs="Arial"/>
          <w:color w:val="162937"/>
          <w:sz w:val="19"/>
          <w:szCs w:val="19"/>
          <w:lang w:eastAsia="pt-BR"/>
        </w:rPr>
        <w:fldChar w:fldCharType="separate"/>
      </w:r>
      <w:r w:rsidRPr="00FF1FB9">
        <w:rPr>
          <w:rFonts w:ascii="Book Antiqua" w:eastAsia="Times New Roman" w:hAnsi="Book Antiqua" w:cs="Arial"/>
          <w:color w:val="0000FF"/>
          <w:sz w:val="19"/>
          <w:szCs w:val="19"/>
          <w:u w:val="single"/>
          <w:lang w:eastAsia="pt-BR"/>
        </w:rPr>
        <w:t>arts</w:t>
      </w:r>
      <w:proofErr w:type="spellEnd"/>
      <w:r w:rsidRPr="00FF1FB9">
        <w:rPr>
          <w:rFonts w:ascii="Book Antiqua" w:eastAsia="Times New Roman" w:hAnsi="Book Antiqua" w:cs="Arial"/>
          <w:color w:val="0000FF"/>
          <w:sz w:val="19"/>
          <w:szCs w:val="19"/>
          <w:u w:val="single"/>
          <w:lang w:eastAsia="pt-BR"/>
        </w:rPr>
        <w:t>. 107</w:t>
      </w:r>
      <w:r w:rsidRPr="00FF1FB9">
        <w:rPr>
          <w:rFonts w:ascii="Book Antiqua" w:eastAsia="Times New Roman" w:hAnsi="Book Antiqua" w:cs="Arial"/>
          <w:color w:val="162937"/>
          <w:sz w:val="19"/>
          <w:szCs w:val="19"/>
          <w:lang w:eastAsia="pt-BR"/>
        </w:rPr>
        <w:fldChar w:fldCharType="end"/>
      </w:r>
      <w:r w:rsidRPr="00FF1FB9">
        <w:rPr>
          <w:rFonts w:ascii="Book Antiqua" w:eastAsia="Times New Roman" w:hAnsi="Book Antiqua" w:cs="Arial"/>
          <w:color w:val="162937"/>
          <w:sz w:val="19"/>
          <w:szCs w:val="19"/>
          <w:lang w:eastAsia="pt-BR"/>
        </w:rPr>
        <w:t> e </w:t>
      </w:r>
      <w:hyperlink r:id="rId18" w:anchor="adctart107a" w:history="1">
        <w:r w:rsidRPr="00FF1FB9">
          <w:rPr>
            <w:rFonts w:ascii="Book Antiqua" w:eastAsia="Times New Roman" w:hAnsi="Book Antiqua" w:cs="Arial"/>
            <w:color w:val="0000FF"/>
            <w:sz w:val="19"/>
            <w:szCs w:val="19"/>
            <w:u w:val="single"/>
            <w:lang w:eastAsia="pt-BR"/>
          </w:rPr>
          <w:t>107-A do Ato das Disposições Constitucionais Transitórias</w:t>
        </w:r>
      </w:hyperlink>
      <w:r w:rsidRPr="00FF1FB9">
        <w:rPr>
          <w:rFonts w:ascii="Book Antiqua" w:eastAsia="Times New Roman" w:hAnsi="Book Antiqua" w:cs="Arial"/>
          <w:color w:val="162937"/>
          <w:sz w:val="19"/>
          <w:szCs w:val="19"/>
          <w:lang w:eastAsia="pt-BR"/>
        </w:rPr>
        <w:t>, a partir de 2022, as despesas para os fins de que trata este artigo.</w:t>
      </w:r>
    </w:p>
    <w:p w14:paraId="51DE35B6"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bookmarkStart w:id="4" w:name="art5"/>
      <w:bookmarkEnd w:id="4"/>
      <w:r w:rsidRPr="00FF1FB9">
        <w:rPr>
          <w:rFonts w:ascii="Book Antiqua" w:eastAsia="Times New Roman" w:hAnsi="Book Antiqua" w:cs="Arial"/>
          <w:color w:val="162937"/>
          <w:sz w:val="19"/>
          <w:szCs w:val="19"/>
          <w:lang w:eastAsia="pt-BR"/>
        </w:rPr>
        <w:t>Art. 5º As receitas que os Estados e os Municípios receberem a título de pagamentos da União por força de ações judiciais que tenham por objeto a complementação de parcela desta no Fundo de Manutenção e Desenvolvimento do Ensino Fundamental e de Valorização do Magistério (Fundef) deverão ser aplicadas na manutenção e desenvolvimento do ensino fundamental público e na valorização de seu magistério, conforme destinação originária do Fundo.</w:t>
      </w:r>
    </w:p>
    <w:p w14:paraId="54BF7184"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Parágrafo único. Da aplicação de que trata o </w:t>
      </w:r>
      <w:r w:rsidRPr="00FF1FB9">
        <w:rPr>
          <w:rFonts w:ascii="Book Antiqua" w:eastAsia="Times New Roman" w:hAnsi="Book Antiqua" w:cs="Arial"/>
          <w:b/>
          <w:bCs/>
          <w:color w:val="162937"/>
          <w:sz w:val="19"/>
          <w:szCs w:val="19"/>
          <w:lang w:eastAsia="pt-BR"/>
        </w:rPr>
        <w:t>caput </w:t>
      </w:r>
      <w:r w:rsidRPr="00FF1FB9">
        <w:rPr>
          <w:rFonts w:ascii="Book Antiqua" w:eastAsia="Times New Roman" w:hAnsi="Book Antiqua" w:cs="Arial"/>
          <w:color w:val="162937"/>
          <w:sz w:val="19"/>
          <w:szCs w:val="19"/>
          <w:lang w:eastAsia="pt-BR"/>
        </w:rPr>
        <w:t>deste artigo, no mínimo 60% (sessenta por cento) deverão ser repassados aos profissionais do magistério, inclusive aposentados e pensionistas, na forma de abono, vedada a incorporação na remuneração, na aposentadoria ou na pensão.</w:t>
      </w:r>
    </w:p>
    <w:p w14:paraId="4F72AC18"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bookmarkStart w:id="5" w:name="art6"/>
      <w:bookmarkEnd w:id="5"/>
      <w:r w:rsidRPr="00FF1FB9">
        <w:rPr>
          <w:rFonts w:ascii="Book Antiqua" w:eastAsia="Times New Roman" w:hAnsi="Book Antiqua" w:cs="Arial"/>
          <w:color w:val="162937"/>
          <w:sz w:val="19"/>
          <w:szCs w:val="19"/>
          <w:lang w:eastAsia="pt-BR"/>
        </w:rPr>
        <w:t xml:space="preserve">Art. 6º No prazo de 1 (um) ano a contar da promulgação desta Emenda Constitucional, o Congresso Nacional promoverá, por meio de comissão mista, exame analítico dos atos, dos fatos e das </w:t>
      </w:r>
      <w:r w:rsidRPr="00FF1FB9">
        <w:rPr>
          <w:rFonts w:ascii="Book Antiqua" w:eastAsia="Times New Roman" w:hAnsi="Book Antiqua" w:cs="Arial"/>
          <w:color w:val="162937"/>
          <w:sz w:val="19"/>
          <w:szCs w:val="19"/>
          <w:lang w:eastAsia="pt-BR"/>
        </w:rPr>
        <w:lastRenderedPageBreak/>
        <w:t>políticas públicas com maior potencial gerador de precatórios e de sentenças judiciais contrárias à Fazenda Pública da União.</w:t>
      </w:r>
    </w:p>
    <w:p w14:paraId="7D40F812"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1º A comissão atuará em cooperação com o Conselho Nacional de Justiça e com o auxílio do Tribunal de Contas da União e poderá requisitar informações e documentos de órgãos e entidades da administração pública direta e indireta de qualquer dos Poderes da União, dos Estados, do Distrito Federal e dos Municípios, buscando identificar medidas legislativas a serem adotadas com vistas a trazer maior segurança jurídica no âmbito federal.</w:t>
      </w:r>
    </w:p>
    <w:p w14:paraId="4079C532"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2º O exame de que trata o </w:t>
      </w:r>
      <w:r w:rsidRPr="00FF1FB9">
        <w:rPr>
          <w:rFonts w:ascii="Book Antiqua" w:eastAsia="Times New Roman" w:hAnsi="Book Antiqua" w:cs="Arial"/>
          <w:b/>
          <w:bCs/>
          <w:color w:val="162937"/>
          <w:sz w:val="19"/>
          <w:szCs w:val="19"/>
          <w:lang w:eastAsia="pt-BR"/>
        </w:rPr>
        <w:t>caput</w:t>
      </w:r>
      <w:r w:rsidRPr="00FF1FB9">
        <w:rPr>
          <w:rFonts w:ascii="Book Antiqua" w:eastAsia="Times New Roman" w:hAnsi="Book Antiqua" w:cs="Arial"/>
          <w:color w:val="162937"/>
          <w:sz w:val="19"/>
          <w:szCs w:val="19"/>
          <w:lang w:eastAsia="pt-BR"/>
        </w:rPr>
        <w:t> deste artigo analisará os mecanismos de aferição de risco fiscal e de prognóstico de efetivo pagamento de valores decorrentes de decisão judicial, segregando esses pagamentos por tipo de risco e priorizando os temas que possuam maior impacto financeiro.</w:t>
      </w:r>
    </w:p>
    <w:p w14:paraId="1A8EF658"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 3º Apurados os resultados, o Congresso Nacional encaminhará suas conclusões aos presidentes do Supremo Tribunal Federal e do Superior Tribunal de Justiça, para a adoção de medidas de sua competência.</w:t>
      </w:r>
    </w:p>
    <w:p w14:paraId="798D4603"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bookmarkStart w:id="6" w:name="art7"/>
      <w:bookmarkEnd w:id="6"/>
      <w:r w:rsidRPr="00FF1FB9">
        <w:rPr>
          <w:rFonts w:ascii="Book Antiqua" w:eastAsia="Times New Roman" w:hAnsi="Book Antiqua" w:cs="Arial"/>
          <w:color w:val="162937"/>
          <w:sz w:val="19"/>
          <w:szCs w:val="19"/>
          <w:lang w:eastAsia="pt-BR"/>
        </w:rPr>
        <w:t>Art. 7º Os entes da Federação que tiverem descumprido a medida prevista no </w:t>
      </w:r>
      <w:hyperlink r:id="rId19" w:anchor="art4" w:history="1">
        <w:r w:rsidRPr="00FF1FB9">
          <w:rPr>
            <w:rFonts w:ascii="Book Antiqua" w:eastAsia="Times New Roman" w:hAnsi="Book Antiqua" w:cs="Arial"/>
            <w:color w:val="0000FF"/>
            <w:sz w:val="19"/>
            <w:szCs w:val="19"/>
            <w:u w:val="single"/>
            <w:lang w:eastAsia="pt-BR"/>
          </w:rPr>
          <w:t>art. 4º da Lei Complementar nº 156, de 28 de dezembro de 2016</w:t>
        </w:r>
      </w:hyperlink>
      <w:r w:rsidRPr="00FF1FB9">
        <w:rPr>
          <w:rFonts w:ascii="Book Antiqua" w:eastAsia="Times New Roman" w:hAnsi="Book Antiqua" w:cs="Arial"/>
          <w:color w:val="162937"/>
          <w:sz w:val="19"/>
          <w:szCs w:val="19"/>
          <w:lang w:eastAsia="pt-BR"/>
        </w:rPr>
        <w:t>, e que optarem por não firmar termo aditivo na forma prevista no </w:t>
      </w:r>
      <w:hyperlink r:id="rId20" w:anchor="art4a" w:history="1">
        <w:r w:rsidRPr="00FF1FB9">
          <w:rPr>
            <w:rFonts w:ascii="Book Antiqua" w:eastAsia="Times New Roman" w:hAnsi="Book Antiqua" w:cs="Arial"/>
            <w:color w:val="0000FF"/>
            <w:sz w:val="19"/>
            <w:szCs w:val="19"/>
            <w:u w:val="single"/>
            <w:lang w:eastAsia="pt-BR"/>
          </w:rPr>
          <w:t>art. 4º-A da referida Lei Complementar</w:t>
        </w:r>
      </w:hyperlink>
      <w:r w:rsidRPr="00FF1FB9">
        <w:rPr>
          <w:rFonts w:ascii="Book Antiqua" w:eastAsia="Times New Roman" w:hAnsi="Book Antiqua" w:cs="Arial"/>
          <w:color w:val="162937"/>
          <w:sz w:val="19"/>
          <w:szCs w:val="19"/>
          <w:lang w:eastAsia="pt-BR"/>
        </w:rPr>
        <w:t> poderão restituir à União os valores diferidos por força do prazo adicional proporcionalmente à quantidade de prestações remanescentes dos respectivos contratos, aplicados os encargos contratuais de adimplência e desde que adotem, durante o prazo de restituição dos valores para a União, as medidas previstas no </w:t>
      </w:r>
      <w:hyperlink r:id="rId21" w:anchor="art167a" w:history="1">
        <w:r w:rsidRPr="00FF1FB9">
          <w:rPr>
            <w:rFonts w:ascii="Book Antiqua" w:eastAsia="Times New Roman" w:hAnsi="Book Antiqua" w:cs="Arial"/>
            <w:color w:val="0000FF"/>
            <w:sz w:val="19"/>
            <w:szCs w:val="19"/>
            <w:u w:val="single"/>
            <w:lang w:eastAsia="pt-BR"/>
          </w:rPr>
          <w:t>art. 167-A da Constituição Federal</w:t>
        </w:r>
      </w:hyperlink>
      <w:r w:rsidRPr="00FF1FB9">
        <w:rPr>
          <w:rFonts w:ascii="Book Antiqua" w:eastAsia="Times New Roman" w:hAnsi="Book Antiqua" w:cs="Arial"/>
          <w:color w:val="162937"/>
          <w:sz w:val="19"/>
          <w:szCs w:val="19"/>
          <w:lang w:eastAsia="pt-BR"/>
        </w:rPr>
        <w:t>.</w:t>
      </w:r>
    </w:p>
    <w:p w14:paraId="3BC3DC33"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bookmarkStart w:id="7" w:name="art8"/>
      <w:bookmarkEnd w:id="7"/>
      <w:r w:rsidRPr="00FF1FB9">
        <w:rPr>
          <w:rFonts w:ascii="Book Antiqua" w:eastAsia="Times New Roman" w:hAnsi="Book Antiqua" w:cs="Arial"/>
          <w:color w:val="162937"/>
          <w:sz w:val="19"/>
          <w:szCs w:val="19"/>
          <w:lang w:eastAsia="pt-BR"/>
        </w:rPr>
        <w:t>Art. 8º Esta Emenda Constitucional entra em vigor:</w:t>
      </w:r>
    </w:p>
    <w:p w14:paraId="63E354C9"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 - a partir de 2022, para a alteração do § 5º do art. 100 da Constituição Federal, constante do </w:t>
      </w:r>
      <w:hyperlink r:id="rId22" w:anchor="art1" w:history="1">
        <w:r w:rsidRPr="00FF1FB9">
          <w:rPr>
            <w:rFonts w:ascii="Book Antiqua" w:eastAsia="Times New Roman" w:hAnsi="Book Antiqua" w:cs="Arial"/>
            <w:color w:val="0000FF"/>
            <w:sz w:val="19"/>
            <w:szCs w:val="19"/>
            <w:u w:val="single"/>
            <w:lang w:eastAsia="pt-BR"/>
          </w:rPr>
          <w:t>art. 1º desta Emenda Constitucional</w:t>
        </w:r>
      </w:hyperlink>
      <w:r w:rsidRPr="00FF1FB9">
        <w:rPr>
          <w:rFonts w:ascii="Book Antiqua" w:eastAsia="Times New Roman" w:hAnsi="Book Antiqua" w:cs="Arial"/>
          <w:color w:val="162937"/>
          <w:sz w:val="19"/>
          <w:szCs w:val="19"/>
          <w:lang w:eastAsia="pt-BR"/>
        </w:rPr>
        <w:t>;</w:t>
      </w:r>
    </w:p>
    <w:p w14:paraId="23388F11"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II - na data de sua publicação, para os demais dispositivos.</w:t>
      </w:r>
    </w:p>
    <w:p w14:paraId="4BD5562B" w14:textId="77777777" w:rsidR="00FF1FB9" w:rsidRPr="00FF1FB9" w:rsidRDefault="00FF1FB9" w:rsidP="00FF1FB9">
      <w:pPr>
        <w:shd w:val="clear" w:color="auto" w:fill="FFFFFF"/>
        <w:spacing w:before="100" w:beforeAutospacing="1" w:after="100" w:afterAutospacing="1" w:line="240" w:lineRule="auto"/>
        <w:ind w:firstLine="540"/>
        <w:jc w:val="both"/>
        <w:rPr>
          <w:rFonts w:ascii="Book Antiqua" w:eastAsia="Times New Roman" w:hAnsi="Book Antiqua" w:cs="Arial"/>
          <w:color w:val="162937"/>
          <w:sz w:val="19"/>
          <w:szCs w:val="19"/>
          <w:lang w:eastAsia="pt-BR"/>
        </w:rPr>
      </w:pPr>
      <w:r w:rsidRPr="00FF1FB9">
        <w:rPr>
          <w:rFonts w:ascii="Book Antiqua" w:eastAsia="Times New Roman" w:hAnsi="Book Antiqua" w:cs="Arial"/>
          <w:color w:val="162937"/>
          <w:sz w:val="19"/>
          <w:szCs w:val="19"/>
          <w:lang w:eastAsia="pt-BR"/>
        </w:rPr>
        <w:t>Brasília, em 16 de dezembro de 2021</w:t>
      </w:r>
    </w:p>
    <w:tbl>
      <w:tblPr>
        <w:tblW w:w="9225" w:type="dxa"/>
        <w:jc w:val="center"/>
        <w:tblCellMar>
          <w:top w:w="15" w:type="dxa"/>
          <w:left w:w="15" w:type="dxa"/>
          <w:bottom w:w="15" w:type="dxa"/>
          <w:right w:w="15" w:type="dxa"/>
        </w:tblCellMar>
        <w:tblLook w:val="04A0" w:firstRow="1" w:lastRow="0" w:firstColumn="1" w:lastColumn="0" w:noHBand="0" w:noVBand="1"/>
      </w:tblPr>
      <w:tblGrid>
        <w:gridCol w:w="4584"/>
        <w:gridCol w:w="4641"/>
      </w:tblGrid>
      <w:tr w:rsidR="00FF1FB9" w:rsidRPr="00FF1FB9" w14:paraId="0FDB30FA" w14:textId="77777777" w:rsidTr="00FF1FB9">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57850A"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b/>
                <w:bCs/>
                <w:sz w:val="19"/>
                <w:szCs w:val="19"/>
                <w:lang w:eastAsia="pt-BR"/>
              </w:rPr>
              <w:t>Mesa da Câmara dos Deputados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97AD2C"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b/>
                <w:bCs/>
                <w:sz w:val="19"/>
                <w:szCs w:val="19"/>
                <w:lang w:eastAsia="pt-BR"/>
              </w:rPr>
              <w:t>Mesa do Senado Federal</w:t>
            </w:r>
          </w:p>
        </w:tc>
      </w:tr>
      <w:tr w:rsidR="00FF1FB9" w:rsidRPr="00FF1FB9" w14:paraId="196DEC11" w14:textId="77777777" w:rsidTr="00FF1FB9">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6F29EF1"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Deputado Arthur Lira</w:t>
            </w:r>
            <w:r w:rsidRPr="00FF1FB9">
              <w:rPr>
                <w:rFonts w:ascii="Book Antiqua" w:eastAsia="Times New Roman" w:hAnsi="Book Antiqua" w:cs="Arial"/>
                <w:sz w:val="19"/>
                <w:szCs w:val="19"/>
                <w:lang w:eastAsia="pt-BR"/>
              </w:rPr>
              <w:br/>
              <w:t>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C87645"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Senador Rodrigo Pacheco</w:t>
            </w:r>
            <w:r w:rsidRPr="00FF1FB9">
              <w:rPr>
                <w:rFonts w:ascii="Book Antiqua" w:eastAsia="Times New Roman" w:hAnsi="Book Antiqua" w:cs="Arial"/>
                <w:sz w:val="19"/>
                <w:szCs w:val="19"/>
                <w:lang w:eastAsia="pt-BR"/>
              </w:rPr>
              <w:br/>
              <w:t>Presidente</w:t>
            </w:r>
          </w:p>
        </w:tc>
      </w:tr>
      <w:tr w:rsidR="00FF1FB9" w:rsidRPr="00FF1FB9" w14:paraId="7C9317D7" w14:textId="77777777" w:rsidTr="00FF1FB9">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060817"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Deputado Marcelo Ramos</w:t>
            </w:r>
            <w:r w:rsidRPr="00FF1FB9">
              <w:rPr>
                <w:rFonts w:ascii="Book Antiqua" w:eastAsia="Times New Roman" w:hAnsi="Book Antiqua" w:cs="Arial"/>
                <w:sz w:val="19"/>
                <w:szCs w:val="19"/>
                <w:lang w:eastAsia="pt-BR"/>
              </w:rPr>
              <w:br/>
              <w:t>1º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7131DF"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Senador Veneziano Vital do Rêgo</w:t>
            </w:r>
            <w:r w:rsidRPr="00FF1FB9">
              <w:rPr>
                <w:rFonts w:ascii="Book Antiqua" w:eastAsia="Times New Roman" w:hAnsi="Book Antiqua" w:cs="Arial"/>
                <w:sz w:val="19"/>
                <w:szCs w:val="19"/>
                <w:lang w:eastAsia="pt-BR"/>
              </w:rPr>
              <w:br/>
              <w:t>1º Vice-Presidente</w:t>
            </w:r>
          </w:p>
        </w:tc>
      </w:tr>
      <w:tr w:rsidR="00FF1FB9" w:rsidRPr="00FF1FB9" w14:paraId="218BB4D3" w14:textId="77777777" w:rsidTr="00FF1FB9">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069F86"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Deputado André de Paula</w:t>
            </w:r>
            <w:r w:rsidRPr="00FF1FB9">
              <w:rPr>
                <w:rFonts w:ascii="Book Antiqua" w:eastAsia="Times New Roman" w:hAnsi="Book Antiqua" w:cs="Arial"/>
                <w:sz w:val="19"/>
                <w:szCs w:val="19"/>
                <w:lang w:eastAsia="pt-BR"/>
              </w:rPr>
              <w:br/>
              <w:t>2º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229A71"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Senador Romário</w:t>
            </w:r>
            <w:r w:rsidRPr="00FF1FB9">
              <w:rPr>
                <w:rFonts w:ascii="Book Antiqua" w:eastAsia="Times New Roman" w:hAnsi="Book Antiqua" w:cs="Arial"/>
                <w:sz w:val="19"/>
                <w:szCs w:val="19"/>
                <w:lang w:eastAsia="pt-BR"/>
              </w:rPr>
              <w:br/>
              <w:t>2º Vice-Presidente</w:t>
            </w:r>
          </w:p>
        </w:tc>
      </w:tr>
      <w:tr w:rsidR="00FF1FB9" w:rsidRPr="00FF1FB9" w14:paraId="56B0A1A1" w14:textId="77777777" w:rsidTr="00FF1FB9">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A4B8FB"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Deputado Luciano Bivar</w:t>
            </w:r>
            <w:r w:rsidRPr="00FF1FB9">
              <w:rPr>
                <w:rFonts w:ascii="Book Antiqua" w:eastAsia="Times New Roman" w:hAnsi="Book Antiqua" w:cs="Arial"/>
                <w:sz w:val="19"/>
                <w:szCs w:val="19"/>
                <w:lang w:eastAsia="pt-BR"/>
              </w:rPr>
              <w:br/>
              <w:t>1º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591CBF"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Senador Irajá</w:t>
            </w:r>
            <w:r w:rsidRPr="00FF1FB9">
              <w:rPr>
                <w:rFonts w:ascii="Book Antiqua" w:eastAsia="Times New Roman" w:hAnsi="Book Antiqua" w:cs="Arial"/>
                <w:sz w:val="19"/>
                <w:szCs w:val="19"/>
                <w:lang w:eastAsia="pt-BR"/>
              </w:rPr>
              <w:br/>
              <w:t>1º Secretário</w:t>
            </w:r>
          </w:p>
        </w:tc>
      </w:tr>
      <w:tr w:rsidR="00FF1FB9" w:rsidRPr="00FF1FB9" w14:paraId="5134BC00" w14:textId="77777777" w:rsidTr="00FF1FB9">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13579F3"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Deputada Marília Arraes</w:t>
            </w:r>
            <w:r w:rsidRPr="00FF1FB9">
              <w:rPr>
                <w:rFonts w:ascii="Book Antiqua" w:eastAsia="Times New Roman" w:hAnsi="Book Antiqua" w:cs="Arial"/>
                <w:sz w:val="19"/>
                <w:szCs w:val="19"/>
                <w:lang w:eastAsia="pt-BR"/>
              </w:rPr>
              <w:br/>
              <w:t>2ª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943EAA"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 xml:space="preserve">Senador </w:t>
            </w:r>
            <w:proofErr w:type="spellStart"/>
            <w:r w:rsidRPr="00FF1FB9">
              <w:rPr>
                <w:rFonts w:ascii="Book Antiqua" w:eastAsia="Times New Roman" w:hAnsi="Book Antiqua" w:cs="Arial"/>
                <w:sz w:val="19"/>
                <w:szCs w:val="19"/>
                <w:lang w:eastAsia="pt-BR"/>
              </w:rPr>
              <w:t>Elmano</w:t>
            </w:r>
            <w:proofErr w:type="spellEnd"/>
            <w:r w:rsidRPr="00FF1FB9">
              <w:rPr>
                <w:rFonts w:ascii="Book Antiqua" w:eastAsia="Times New Roman" w:hAnsi="Book Antiqua" w:cs="Arial"/>
                <w:sz w:val="19"/>
                <w:szCs w:val="19"/>
                <w:lang w:eastAsia="pt-BR"/>
              </w:rPr>
              <w:t xml:space="preserve"> Férrer</w:t>
            </w:r>
            <w:r w:rsidRPr="00FF1FB9">
              <w:rPr>
                <w:rFonts w:ascii="Book Antiqua" w:eastAsia="Times New Roman" w:hAnsi="Book Antiqua" w:cs="Arial"/>
                <w:sz w:val="19"/>
                <w:szCs w:val="19"/>
                <w:lang w:eastAsia="pt-BR"/>
              </w:rPr>
              <w:br/>
              <w:t>2º Secretário</w:t>
            </w:r>
          </w:p>
        </w:tc>
      </w:tr>
      <w:tr w:rsidR="00FF1FB9" w:rsidRPr="00FF1FB9" w14:paraId="249043A6" w14:textId="77777777" w:rsidTr="00FF1FB9">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1D2756"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Deputada Rose Modesto</w:t>
            </w:r>
            <w:r w:rsidRPr="00FF1FB9">
              <w:rPr>
                <w:rFonts w:ascii="Book Antiqua" w:eastAsia="Times New Roman" w:hAnsi="Book Antiqua" w:cs="Arial"/>
                <w:sz w:val="19"/>
                <w:szCs w:val="19"/>
                <w:lang w:eastAsia="pt-BR"/>
              </w:rPr>
              <w:br/>
              <w:t>3ª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7AF831"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Senador Rogério Carvalho</w:t>
            </w:r>
            <w:r w:rsidRPr="00FF1FB9">
              <w:rPr>
                <w:rFonts w:ascii="Book Antiqua" w:eastAsia="Times New Roman" w:hAnsi="Book Antiqua" w:cs="Arial"/>
                <w:sz w:val="19"/>
                <w:szCs w:val="19"/>
                <w:lang w:eastAsia="pt-BR"/>
              </w:rPr>
              <w:br/>
              <w:t>3º Secretário</w:t>
            </w:r>
          </w:p>
        </w:tc>
      </w:tr>
      <w:tr w:rsidR="00FF1FB9" w:rsidRPr="00FF1FB9" w14:paraId="20D9BB96" w14:textId="77777777" w:rsidTr="00FF1FB9">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7FF498"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Deputada Rosangela Gomes</w:t>
            </w:r>
            <w:r w:rsidRPr="00FF1FB9">
              <w:rPr>
                <w:rFonts w:ascii="Book Antiqua" w:eastAsia="Times New Roman" w:hAnsi="Book Antiqua" w:cs="Arial"/>
                <w:sz w:val="19"/>
                <w:szCs w:val="19"/>
                <w:lang w:eastAsia="pt-BR"/>
              </w:rPr>
              <w:br/>
              <w:t>4ª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0D75B63" w14:textId="77777777" w:rsidR="00FF1FB9" w:rsidRPr="00FF1FB9" w:rsidRDefault="00FF1FB9" w:rsidP="00FF1FB9">
            <w:pPr>
              <w:spacing w:before="100" w:beforeAutospacing="1" w:after="100" w:afterAutospacing="1" w:line="240" w:lineRule="auto"/>
              <w:jc w:val="center"/>
              <w:rPr>
                <w:rFonts w:ascii="Book Antiqua" w:eastAsia="Times New Roman" w:hAnsi="Book Antiqua" w:cs="Times New Roman"/>
                <w:sz w:val="19"/>
                <w:szCs w:val="19"/>
                <w:lang w:eastAsia="pt-BR"/>
              </w:rPr>
            </w:pPr>
            <w:r w:rsidRPr="00FF1FB9">
              <w:rPr>
                <w:rFonts w:ascii="Book Antiqua" w:eastAsia="Times New Roman" w:hAnsi="Book Antiqua" w:cs="Arial"/>
                <w:sz w:val="19"/>
                <w:szCs w:val="19"/>
                <w:lang w:eastAsia="pt-BR"/>
              </w:rPr>
              <w:t>Senador Weverton</w:t>
            </w:r>
            <w:r w:rsidRPr="00FF1FB9">
              <w:rPr>
                <w:rFonts w:ascii="Book Antiqua" w:eastAsia="Times New Roman" w:hAnsi="Book Antiqua" w:cs="Arial"/>
                <w:sz w:val="19"/>
                <w:szCs w:val="19"/>
                <w:lang w:eastAsia="pt-BR"/>
              </w:rPr>
              <w:br/>
              <w:t>4º Secretário</w:t>
            </w:r>
          </w:p>
        </w:tc>
      </w:tr>
    </w:tbl>
    <w:p w14:paraId="5BFE1C11" w14:textId="77777777" w:rsidR="00FF1FB9" w:rsidRPr="00FF1FB9" w:rsidRDefault="00FF1FB9" w:rsidP="00FF1FB9">
      <w:pPr>
        <w:spacing w:before="100" w:beforeAutospacing="1" w:after="100" w:afterAutospacing="1" w:line="240" w:lineRule="auto"/>
        <w:rPr>
          <w:rFonts w:ascii="Book Antiqua" w:eastAsia="Times New Roman" w:hAnsi="Book Antiqua" w:cs="Times New Roman"/>
          <w:color w:val="000000"/>
          <w:sz w:val="19"/>
          <w:szCs w:val="19"/>
          <w:lang w:eastAsia="pt-BR"/>
        </w:rPr>
      </w:pPr>
      <w:r w:rsidRPr="00FF1FB9">
        <w:rPr>
          <w:rFonts w:ascii="Book Antiqua" w:eastAsia="Times New Roman" w:hAnsi="Book Antiqua" w:cs="Arial"/>
          <w:color w:val="FF0000"/>
          <w:sz w:val="19"/>
          <w:szCs w:val="19"/>
          <w:lang w:eastAsia="pt-BR"/>
        </w:rPr>
        <w:t>Este texto não substitui o publicado no DOU 17.12.2021</w:t>
      </w:r>
    </w:p>
    <w:p w14:paraId="7697C3E7" w14:textId="77777777" w:rsidR="00433260" w:rsidRPr="00FF1FB9" w:rsidRDefault="00433260" w:rsidP="00FF1FB9">
      <w:pPr>
        <w:spacing w:before="100" w:beforeAutospacing="1" w:after="100" w:afterAutospacing="1" w:line="240" w:lineRule="auto"/>
        <w:rPr>
          <w:rFonts w:ascii="Book Antiqua" w:hAnsi="Book Antiqua"/>
          <w:sz w:val="19"/>
          <w:szCs w:val="19"/>
        </w:rPr>
      </w:pPr>
    </w:p>
    <w:sectPr w:rsidR="00433260" w:rsidRPr="00FF1F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60"/>
    <w:rsid w:val="00433260"/>
    <w:rsid w:val="00FF1F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74E4A6-D12F-485B-BF3B-66CE7FEE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367650">
      <w:bodyDiv w:val="1"/>
      <w:marLeft w:val="0"/>
      <w:marRight w:val="0"/>
      <w:marTop w:val="0"/>
      <w:marBottom w:val="0"/>
      <w:divBdr>
        <w:top w:val="none" w:sz="0" w:space="0" w:color="auto"/>
        <w:left w:val="none" w:sz="0" w:space="0" w:color="auto"/>
        <w:bottom w:val="none" w:sz="0" w:space="0" w:color="auto"/>
        <w:right w:val="none" w:sz="0" w:space="0" w:color="auto"/>
      </w:divBdr>
      <w:divsChild>
        <w:div w:id="1995521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620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547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6181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161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8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Emendas/Emc/emc114.htm" TargetMode="External"/><Relationship Id="rId13" Type="http://schemas.openxmlformats.org/officeDocument/2006/relationships/hyperlink" Target="http://www.planalto.gov.br/ccivil_03/Constituicao/Emendas/Emc/emc113.htm" TargetMode="External"/><Relationship Id="rId18" Type="http://schemas.openxmlformats.org/officeDocument/2006/relationships/hyperlink" Target="http://www.planalto.gov.br/ccivil_03/Constituicao/Constituicao.htm" TargetMode="External"/><Relationship Id="rId3" Type="http://schemas.openxmlformats.org/officeDocument/2006/relationships/webSettings" Target="webSettings.xml"/><Relationship Id="rId21" Type="http://schemas.openxmlformats.org/officeDocument/2006/relationships/hyperlink" Target="http://www.planalto.gov.br/ccivil_03/Constituicao/Constituicao.htm"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LEIS/LCP/Lcp156.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24" Type="http://schemas.openxmlformats.org/officeDocument/2006/relationships/theme" Target="theme/theme1.xm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fontTable" Target="fontTable.xm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LEIS/LCP/Lcp156.htm" TargetMode="External"/><Relationship Id="rId4" Type="http://schemas.openxmlformats.org/officeDocument/2006/relationships/hyperlink" Target="http://legislacao.planalto.gov.br/legisla/legislacao.nsf/Viw_Identificacao/emc%20114-2021?OpenDocument"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Emendas/Emc/emc113.htm" TargetMode="External"/><Relationship Id="rId22" Type="http://schemas.openxmlformats.org/officeDocument/2006/relationships/hyperlink" Target="http://www.planalto.gov.br/ccivil_03/Constituicao/Emendas/Emc/emc11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2194</Words>
  <Characters>11852</Characters>
  <Application>Microsoft Office Word</Application>
  <DocSecurity>0</DocSecurity>
  <Lines>98</Lines>
  <Paragraphs>28</Paragraphs>
  <ScaleCrop>false</ScaleCrop>
  <Company/>
  <LinksUpToDate>false</LinksUpToDate>
  <CharactersWithSpaces>14018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2021-12-18T20:20:00Z</dcterms:created>
  <dcterms:modified xsi:type="dcterms:W3CDTF">2021-12-18T20:21:00Z</dcterms:modified>
</cp:coreProperties>
</file>