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B754E"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D0FC5">
        <w:rPr>
          <w:rFonts w:ascii="Book Antiqua" w:eastAsia="Times New Roman" w:hAnsi="Book Antiqua" w:cs="Arial"/>
          <w:b/>
          <w:bCs/>
          <w:color w:val="000080"/>
          <w:sz w:val="19"/>
          <w:szCs w:val="19"/>
          <w:lang w:eastAsia="pt-BR"/>
        </w:rPr>
        <w:fldChar w:fldCharType="begin"/>
      </w:r>
      <w:r w:rsidRPr="003D0FC5">
        <w:rPr>
          <w:rFonts w:ascii="Book Antiqua" w:eastAsia="Times New Roman" w:hAnsi="Book Antiqua" w:cs="Arial"/>
          <w:b/>
          <w:bCs/>
          <w:color w:val="000080"/>
          <w:sz w:val="19"/>
          <w:szCs w:val="19"/>
          <w:lang w:eastAsia="pt-BR"/>
        </w:rPr>
        <w:instrText xml:space="preserve"> HYPERLINK "http://legislacao.planalto.gov.br/legisla/legislacao.nsf/Viw_Identificacao/emc%20126-2022?OpenDocument" </w:instrText>
      </w:r>
      <w:r w:rsidRPr="003D0FC5">
        <w:rPr>
          <w:rFonts w:ascii="Book Antiqua" w:eastAsia="Times New Roman" w:hAnsi="Book Antiqua" w:cs="Arial"/>
          <w:b/>
          <w:bCs/>
          <w:color w:val="000080"/>
          <w:sz w:val="19"/>
          <w:szCs w:val="19"/>
          <w:lang w:eastAsia="pt-BR"/>
        </w:rPr>
        <w:fldChar w:fldCharType="separate"/>
      </w:r>
      <w:r w:rsidRPr="003D0FC5">
        <w:rPr>
          <w:rFonts w:ascii="Book Antiqua" w:eastAsia="Times New Roman" w:hAnsi="Book Antiqua" w:cs="Arial"/>
          <w:b/>
          <w:bCs/>
          <w:color w:val="000080"/>
          <w:sz w:val="19"/>
          <w:szCs w:val="19"/>
          <w:u w:val="single"/>
          <w:lang w:eastAsia="pt-BR"/>
        </w:rPr>
        <w:t>EMENDA CONSTITUCIONAL Nº 126, DE 21 DE DEZEMBRO DE 2022</w:t>
      </w:r>
      <w:r w:rsidRPr="003D0FC5">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134"/>
        <w:gridCol w:w="7370"/>
      </w:tblGrid>
      <w:tr w:rsidR="003D0FC5" w:rsidRPr="003D0FC5" w14:paraId="5A50AF1C" w14:textId="77777777" w:rsidTr="003D0FC5">
        <w:trPr>
          <w:tblCellSpacing w:w="0" w:type="dxa"/>
        </w:trPr>
        <w:tc>
          <w:tcPr>
            <w:tcW w:w="667" w:type="pct"/>
            <w:vAlign w:val="center"/>
            <w:hideMark/>
          </w:tcPr>
          <w:p w14:paraId="36E00BED" w14:textId="77777777" w:rsidR="003D0FC5" w:rsidRPr="003D0FC5" w:rsidRDefault="003D0FC5" w:rsidP="003D0FC5">
            <w:pPr>
              <w:spacing w:before="100" w:beforeAutospacing="1" w:after="100" w:afterAutospacing="1" w:line="240" w:lineRule="auto"/>
              <w:rPr>
                <w:rFonts w:ascii="Book Antiqua" w:eastAsia="Times New Roman" w:hAnsi="Book Antiqua" w:cs="Times New Roman"/>
                <w:sz w:val="18"/>
                <w:szCs w:val="18"/>
                <w:lang w:eastAsia="pt-BR"/>
              </w:rPr>
            </w:pPr>
            <w:r w:rsidRPr="003D0FC5">
              <w:rPr>
                <w:rFonts w:ascii="Book Antiqua" w:eastAsia="Times New Roman" w:hAnsi="Book Antiqua" w:cs="Times New Roman"/>
                <w:sz w:val="18"/>
                <w:szCs w:val="18"/>
                <w:lang w:eastAsia="pt-BR"/>
              </w:rPr>
              <w:t> </w:t>
            </w:r>
          </w:p>
        </w:tc>
        <w:tc>
          <w:tcPr>
            <w:tcW w:w="4333" w:type="pct"/>
            <w:vAlign w:val="center"/>
            <w:hideMark/>
          </w:tcPr>
          <w:p w14:paraId="4C364DBA" w14:textId="77777777" w:rsidR="003D0FC5" w:rsidRPr="003D0FC5" w:rsidRDefault="003D0FC5" w:rsidP="003D0FC5">
            <w:pPr>
              <w:spacing w:before="100" w:beforeAutospacing="1" w:after="100" w:afterAutospacing="1" w:line="240" w:lineRule="auto"/>
              <w:jc w:val="both"/>
              <w:rPr>
                <w:rFonts w:ascii="Book Antiqua" w:eastAsia="Times New Roman" w:hAnsi="Book Antiqua" w:cs="Arial"/>
                <w:color w:val="800000"/>
                <w:sz w:val="18"/>
                <w:szCs w:val="18"/>
                <w:lang w:eastAsia="pt-BR"/>
              </w:rPr>
            </w:pPr>
            <w:r w:rsidRPr="003D0FC5">
              <w:rPr>
                <w:rFonts w:ascii="Book Antiqua" w:eastAsia="Times New Roman" w:hAnsi="Book Antiqua" w:cs="Arial"/>
                <w:color w:val="800000"/>
                <w:sz w:val="18"/>
                <w:szCs w:val="18"/>
                <w:lang w:eastAsia="pt-BR"/>
              </w:rPr>
              <w:t>Altera a Constituição Federal, para dispor sobre as emendas individuais ao projeto de lei orçamentária, e o Ato das Disposições Constitucionais Transitórias para excluir despesas dos limites previstos no art. 107; define regras para a transição da Presidência da República aplicáveis à Lei Orçamentária de 2023; e dá outras providências.</w:t>
            </w:r>
          </w:p>
        </w:tc>
      </w:tr>
    </w:tbl>
    <w:p w14:paraId="645ABD81"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As Mesas da Câmara dos Deputados e do Senado Federal, nos termos do § 3º do art. 60 da Constituição Federal, promulgam a seguinte Emenda ao texto constitucional:</w:t>
      </w:r>
    </w:p>
    <w:p w14:paraId="0824F321"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3D0FC5">
        <w:rPr>
          <w:rFonts w:ascii="Book Antiqua" w:eastAsia="Times New Roman" w:hAnsi="Book Antiqua" w:cs="Arial"/>
          <w:color w:val="000000"/>
          <w:sz w:val="19"/>
          <w:szCs w:val="19"/>
          <w:lang w:eastAsia="pt-BR"/>
        </w:rPr>
        <w:t>Art. 1º A </w:t>
      </w:r>
      <w:hyperlink r:id="rId4" w:history="1">
        <w:r w:rsidRPr="003D0FC5">
          <w:rPr>
            <w:rFonts w:ascii="Book Antiqua" w:eastAsia="Times New Roman" w:hAnsi="Book Antiqua" w:cs="Arial"/>
            <w:color w:val="0000FF"/>
            <w:sz w:val="19"/>
            <w:szCs w:val="19"/>
            <w:u w:val="single"/>
            <w:lang w:eastAsia="pt-BR"/>
          </w:rPr>
          <w:t>Constituição Federal </w:t>
        </w:r>
      </w:hyperlink>
      <w:r w:rsidRPr="003D0FC5">
        <w:rPr>
          <w:rFonts w:ascii="Book Antiqua" w:eastAsia="Times New Roman" w:hAnsi="Book Antiqua" w:cs="Arial"/>
          <w:color w:val="000000"/>
          <w:sz w:val="19"/>
          <w:szCs w:val="19"/>
          <w:lang w:eastAsia="pt-BR"/>
        </w:rPr>
        <w:t>passa a vigorar com as seguintes alterações:</w:t>
      </w:r>
    </w:p>
    <w:p w14:paraId="0C8FF6BC"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"Art. 155. .............................................................................................................</w:t>
      </w:r>
    </w:p>
    <w:p w14:paraId="09F93130"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1º ......................................................................................................................</w:t>
      </w:r>
    </w:p>
    <w:p w14:paraId="37E0BC54"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43A5BDB4"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5" w:anchor="art155%C2%A71v" w:history="1">
        <w:r w:rsidRPr="003D0FC5">
          <w:rPr>
            <w:rFonts w:ascii="Book Antiqua" w:eastAsia="Times New Roman" w:hAnsi="Book Antiqua" w:cs="Arial"/>
            <w:color w:val="0000FF"/>
            <w:sz w:val="19"/>
            <w:szCs w:val="19"/>
            <w:u w:val="single"/>
            <w:lang w:eastAsia="pt-BR"/>
          </w:rPr>
          <w:t>V -</w:t>
        </w:r>
      </w:hyperlink>
      <w:r w:rsidRPr="003D0FC5">
        <w:rPr>
          <w:rFonts w:ascii="Book Antiqua" w:eastAsia="Times New Roman" w:hAnsi="Book Antiqua" w:cs="Arial"/>
          <w:color w:val="000000"/>
          <w:sz w:val="19"/>
          <w:szCs w:val="19"/>
          <w:lang w:eastAsia="pt-BR"/>
        </w:rPr>
        <w:t> não incidirá sobre as doações destinadas, no âmbito do Poder Executivo da União, a projetos socioambientais ou destinados a mitigar os efeitos das mudanças climáticas e às instituições federais de ensino.</w:t>
      </w:r>
    </w:p>
    <w:p w14:paraId="486B7E6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(NR)</w:t>
      </w:r>
    </w:p>
    <w:p w14:paraId="5EDD115A"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"Art. 166. ............................................................................................................</w:t>
      </w:r>
    </w:p>
    <w:p w14:paraId="61EFA50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419AD6A2"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6" w:anchor="art166%C2%A79.0" w:history="1">
        <w:r w:rsidRPr="003D0FC5">
          <w:rPr>
            <w:rFonts w:ascii="Book Antiqua" w:eastAsia="Times New Roman" w:hAnsi="Book Antiqua" w:cs="Arial"/>
            <w:color w:val="0000FF"/>
            <w:sz w:val="19"/>
            <w:szCs w:val="19"/>
            <w:u w:val="single"/>
            <w:lang w:eastAsia="pt-BR"/>
          </w:rPr>
          <w:t>§ 9º</w:t>
        </w:r>
      </w:hyperlink>
      <w:r w:rsidRPr="003D0FC5">
        <w:rPr>
          <w:rFonts w:ascii="Book Antiqua" w:eastAsia="Times New Roman" w:hAnsi="Book Antiqua" w:cs="Arial"/>
          <w:color w:val="000000"/>
          <w:sz w:val="19"/>
          <w:szCs w:val="19"/>
          <w:lang w:eastAsia="pt-BR"/>
        </w:rPr>
        <w:t> As emendas individuais ao projeto de lei orçamentária serão aprovadas no limite de 2% (dois por cento) da receita corrente líquida do exercício anterior ao do encaminhamento do projeto, observado que a metade desse percentual será destinada a ações e serviços públicos de saúde.</w:t>
      </w:r>
    </w:p>
    <w:p w14:paraId="6C28DD90"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9º-A Do limite a que se refere o § 9º deste artigo, 1,55% (um inteiro e cinquenta e cinco centésimos por cento) caberá às emendas de Deputados e 0,45% (quarenta e cinco centésimos por cento) às de Senadores.</w:t>
      </w:r>
    </w:p>
    <w:p w14:paraId="76C8DFE9"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1342DE91"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7" w:anchor="art166%C2%A711.0" w:history="1">
        <w:r w:rsidRPr="003D0FC5">
          <w:rPr>
            <w:rFonts w:ascii="Book Antiqua" w:eastAsia="Times New Roman" w:hAnsi="Book Antiqua" w:cs="Arial"/>
            <w:color w:val="0000FF"/>
            <w:sz w:val="19"/>
            <w:szCs w:val="19"/>
            <w:u w:val="single"/>
            <w:lang w:eastAsia="pt-BR"/>
          </w:rPr>
          <w:t>§ 11</w:t>
        </w:r>
      </w:hyperlink>
      <w:r w:rsidRPr="003D0FC5">
        <w:rPr>
          <w:rFonts w:ascii="Book Antiqua" w:eastAsia="Times New Roman" w:hAnsi="Book Antiqua" w:cs="Arial"/>
          <w:color w:val="000000"/>
          <w:sz w:val="19"/>
          <w:szCs w:val="19"/>
          <w:lang w:eastAsia="pt-BR"/>
        </w:rPr>
        <w:t>. É obrigatória a execução orçamentária e financeira das programações oriundas de emendas individuais, em montante correspondente ao limite a que se refere o § 9º deste artigo, conforme os critérios para a execução equitativa da programação definidos na lei complementar prevista no § 9º do art. 165 desta Constituição, observado o disposto no § 9º-A deste artigo.</w:t>
      </w:r>
    </w:p>
    <w:p w14:paraId="076109F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30C7FF6E"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 w:anchor="art166%C2%A717.1" w:history="1">
        <w:r w:rsidRPr="003D0FC5">
          <w:rPr>
            <w:rFonts w:ascii="Book Antiqua" w:eastAsia="Times New Roman" w:hAnsi="Book Antiqua" w:cs="Arial"/>
            <w:color w:val="0000FF"/>
            <w:sz w:val="19"/>
            <w:szCs w:val="19"/>
            <w:u w:val="single"/>
            <w:lang w:eastAsia="pt-BR"/>
          </w:rPr>
          <w:t>§ 17.</w:t>
        </w:r>
      </w:hyperlink>
      <w:r w:rsidRPr="003D0FC5">
        <w:rPr>
          <w:rFonts w:ascii="Book Antiqua" w:eastAsia="Times New Roman" w:hAnsi="Book Antiqua" w:cs="Arial"/>
          <w:color w:val="000000"/>
          <w:sz w:val="19"/>
          <w:szCs w:val="19"/>
          <w:lang w:eastAsia="pt-BR"/>
        </w:rPr>
        <w:t> Os restos a pagar provenientes das programações orçamentárias previstas nos §§ 11 e 12 deste artigo poderão ser considerados para fins de cumprimento da execução financeira até o limite de 1% (um por cento) da receita corrente líquida do exercício anterior ao do encaminhamento do projeto de lei orçamentária, para as programações das emendas individuais, e até o limite de 0,5% (cinco décimos por cento), para as programações das emendas de iniciativa de bancada de parlamentares de Estado ou do Distrito Federal.</w:t>
      </w:r>
    </w:p>
    <w:p w14:paraId="039EE95E"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026B7CCA"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9" w:anchor="art166%C2%A719.0" w:history="1">
        <w:r w:rsidRPr="003D0FC5">
          <w:rPr>
            <w:rFonts w:ascii="Book Antiqua" w:eastAsia="Times New Roman" w:hAnsi="Book Antiqua" w:cs="Arial"/>
            <w:color w:val="0000FF"/>
            <w:sz w:val="19"/>
            <w:szCs w:val="19"/>
            <w:u w:val="single"/>
            <w:lang w:eastAsia="pt-BR"/>
          </w:rPr>
          <w:t>§ 19.</w:t>
        </w:r>
      </w:hyperlink>
      <w:r w:rsidRPr="003D0FC5">
        <w:rPr>
          <w:rFonts w:ascii="Book Antiqua" w:eastAsia="Times New Roman" w:hAnsi="Book Antiqua" w:cs="Arial"/>
          <w:color w:val="000000"/>
          <w:sz w:val="19"/>
          <w:szCs w:val="19"/>
          <w:lang w:eastAsia="pt-BR"/>
        </w:rPr>
        <w:t> Considera-se equitativa a execução das programações de caráter obrigatório que observe critérios objetivos e imparciais e que atenda de forma igualitária e impessoal às emendas apresentadas, independentemente da autoria, observado o disposto no § 9º-A deste artigo.</w:t>
      </w:r>
    </w:p>
    <w:p w14:paraId="709F095A"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lastRenderedPageBreak/>
        <w:t>..........................................................................................................................." (NR)</w:t>
      </w:r>
    </w:p>
    <w:p w14:paraId="2036B5D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3D0FC5">
        <w:rPr>
          <w:rFonts w:ascii="Book Antiqua" w:eastAsia="Times New Roman" w:hAnsi="Book Antiqua" w:cs="Arial"/>
          <w:color w:val="000000"/>
          <w:sz w:val="19"/>
          <w:szCs w:val="19"/>
          <w:lang w:eastAsia="pt-BR"/>
        </w:rPr>
        <w:t>Art. 2º O Ato das Disposições Constitucionais Transitórias passa a vigorar com as seguintes alterações:</w:t>
      </w:r>
    </w:p>
    <w:p w14:paraId="6DEAB220"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0" w:anchor="adctart76.1" w:history="1">
        <w:r w:rsidRPr="003D0FC5">
          <w:rPr>
            <w:rFonts w:ascii="Book Antiqua" w:eastAsia="Times New Roman" w:hAnsi="Book Antiqua" w:cs="Arial"/>
            <w:color w:val="0000FF"/>
            <w:sz w:val="19"/>
            <w:szCs w:val="19"/>
            <w:u w:val="single"/>
            <w:lang w:eastAsia="pt-BR"/>
          </w:rPr>
          <w:t>"Art. 76.</w:t>
        </w:r>
      </w:hyperlink>
      <w:r w:rsidRPr="003D0FC5">
        <w:rPr>
          <w:rFonts w:ascii="Book Antiqua" w:eastAsia="Times New Roman" w:hAnsi="Book Antiqua" w:cs="Arial"/>
          <w:color w:val="000000"/>
          <w:sz w:val="19"/>
          <w:szCs w:val="19"/>
          <w:lang w:eastAsia="pt-BR"/>
        </w:rPr>
        <w:t> São desvinculados de órgão, fundo ou despesa, até 31 de dezembro de 2024, 30% (trinta por cento) da arrecadação da União relativa às contribuições sociais, sem prejuízo do pagamento das despesas do Regime Geral de Previdência Social, às contribuições de intervenção no domínio econômico e às taxas, já instituídas ou que vierem a ser criadas até a referida data.</w:t>
      </w:r>
    </w:p>
    <w:p w14:paraId="5FC0583B"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(NR)</w:t>
      </w:r>
    </w:p>
    <w:p w14:paraId="7105AAC5"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"Art. 107. .........................................................................................................</w:t>
      </w:r>
    </w:p>
    <w:p w14:paraId="01753185"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w:t>
      </w:r>
    </w:p>
    <w:p w14:paraId="07F968CD"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1" w:anchor="adctart107%C2%A76a" w:history="1">
        <w:r w:rsidRPr="003D0FC5">
          <w:rPr>
            <w:rFonts w:ascii="Book Antiqua" w:eastAsia="Times New Roman" w:hAnsi="Book Antiqua" w:cs="Arial"/>
            <w:color w:val="0000FF"/>
            <w:sz w:val="19"/>
            <w:szCs w:val="19"/>
            <w:u w:val="single"/>
            <w:lang w:eastAsia="pt-BR"/>
          </w:rPr>
          <w:t>§ 6º-A</w:t>
        </w:r>
      </w:hyperlink>
      <w:r w:rsidRPr="003D0FC5">
        <w:rPr>
          <w:rFonts w:ascii="Book Antiqua" w:eastAsia="Times New Roman" w:hAnsi="Book Antiqua" w:cs="Arial"/>
          <w:color w:val="000000"/>
          <w:sz w:val="19"/>
          <w:szCs w:val="19"/>
          <w:lang w:eastAsia="pt-BR"/>
        </w:rPr>
        <w:t> Não se incluem no limite estabelecido no inciso I do caput deste artigo, a partir do exercício financeiro de 2023:</w:t>
      </w:r>
    </w:p>
    <w:p w14:paraId="06363DC5"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I - despesas com projetos socioambientais ou relativos às mudanças climáticas custeadas com recursos de doações, bem como despesas com projetos custeados com recursos decorrentes de acordos judiciais ou extrajudiciais firmados em função de desastres ambientais;</w:t>
      </w:r>
    </w:p>
    <w:p w14:paraId="69EC5D82"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II - despesas das instituições federais de ensino e das Instituições Científicas, Tecnológicas e de Inovação (</w:t>
      </w:r>
      <w:proofErr w:type="spellStart"/>
      <w:r w:rsidRPr="003D0FC5">
        <w:rPr>
          <w:rFonts w:ascii="Book Antiqua" w:eastAsia="Times New Roman" w:hAnsi="Book Antiqua" w:cs="Arial"/>
          <w:color w:val="000000"/>
          <w:sz w:val="19"/>
          <w:szCs w:val="19"/>
          <w:lang w:eastAsia="pt-BR"/>
        </w:rPr>
        <w:t>ICTs</w:t>
      </w:r>
      <w:proofErr w:type="spellEnd"/>
      <w:r w:rsidRPr="003D0FC5">
        <w:rPr>
          <w:rFonts w:ascii="Book Antiqua" w:eastAsia="Times New Roman" w:hAnsi="Book Antiqua" w:cs="Arial"/>
          <w:color w:val="000000"/>
          <w:sz w:val="19"/>
          <w:szCs w:val="19"/>
          <w:lang w:eastAsia="pt-BR"/>
        </w:rPr>
        <w:t>) custeadas com receitas próprias, de doações ou de convênios, contratos ou outras fontes, celebrados com os demais entes da Federação ou entidades privadas;</w:t>
      </w:r>
    </w:p>
    <w:p w14:paraId="2BCC297E"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III - despesas custeadas com recursos oriundos de transferências dos demais entes da Federação para a União destinados à execução direta de obras e serviços de engenharia.</w:t>
      </w:r>
    </w:p>
    <w:p w14:paraId="5260A016"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2" w:anchor="adctart107%C2%A76b" w:history="1">
        <w:r w:rsidRPr="003D0FC5">
          <w:rPr>
            <w:rFonts w:ascii="Book Antiqua" w:eastAsia="Times New Roman" w:hAnsi="Book Antiqua" w:cs="Arial"/>
            <w:color w:val="0000FF"/>
            <w:sz w:val="19"/>
            <w:szCs w:val="19"/>
            <w:u w:val="single"/>
            <w:lang w:eastAsia="pt-BR"/>
          </w:rPr>
          <w:t>§ 6º-B</w:t>
        </w:r>
      </w:hyperlink>
      <w:r w:rsidRPr="003D0FC5">
        <w:rPr>
          <w:rFonts w:ascii="Book Antiqua" w:eastAsia="Times New Roman" w:hAnsi="Book Antiqua" w:cs="Arial"/>
          <w:color w:val="000000"/>
          <w:sz w:val="19"/>
          <w:szCs w:val="19"/>
          <w:lang w:eastAsia="pt-BR"/>
        </w:rPr>
        <w:t> Não se incluem no limite estabelecido no inciso I do caput deste artigo as despesas com investimentos em montante que corresponda ao excesso de arrecadação de receitas correntes do exercício anterior ao que se refere a lei orçamentária, limitadas a 6,5% (seis inteiros e cinco décimos por cento) do excesso de arrecadação de receitas correntes do exercício de 2021.</w:t>
      </w:r>
    </w:p>
    <w:p w14:paraId="5FEA599C"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 w:anchor="adctart107%C2%A76c" w:history="1">
        <w:r w:rsidRPr="003D0FC5">
          <w:rPr>
            <w:rFonts w:ascii="Book Antiqua" w:eastAsia="Times New Roman" w:hAnsi="Book Antiqua" w:cs="Arial"/>
            <w:color w:val="0000FF"/>
            <w:sz w:val="19"/>
            <w:szCs w:val="19"/>
            <w:u w:val="single"/>
            <w:lang w:eastAsia="pt-BR"/>
          </w:rPr>
          <w:t>§ 6º-C</w:t>
        </w:r>
      </w:hyperlink>
      <w:r w:rsidRPr="003D0FC5">
        <w:rPr>
          <w:rFonts w:ascii="Book Antiqua" w:eastAsia="Times New Roman" w:hAnsi="Book Antiqua" w:cs="Arial"/>
          <w:color w:val="000000"/>
          <w:sz w:val="19"/>
          <w:szCs w:val="19"/>
          <w:lang w:eastAsia="pt-BR"/>
        </w:rPr>
        <w:t> As despesas previstas no § 6º-B deste artigo não serão consideradas para fins de verificação do cumprimento da meta de resultado primário estabelecida no caput do </w:t>
      </w:r>
      <w:hyperlink r:id="rId14" w:anchor="art2" w:history="1">
        <w:r w:rsidRPr="003D0FC5">
          <w:rPr>
            <w:rFonts w:ascii="Book Antiqua" w:eastAsia="Times New Roman" w:hAnsi="Book Antiqua" w:cs="Arial"/>
            <w:color w:val="0000FF"/>
            <w:sz w:val="19"/>
            <w:szCs w:val="19"/>
            <w:u w:val="single"/>
            <w:lang w:eastAsia="pt-BR"/>
          </w:rPr>
          <w:t>art. 2º da Lei nº 14.436, de 9 de agosto de 2022.</w:t>
        </w:r>
      </w:hyperlink>
    </w:p>
    <w:p w14:paraId="3C7CABE9"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(NR)</w:t>
      </w:r>
    </w:p>
    <w:p w14:paraId="15DBD540"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5" w:anchor="adctart107a.0" w:history="1">
        <w:r w:rsidRPr="003D0FC5">
          <w:rPr>
            <w:rFonts w:ascii="Book Antiqua" w:eastAsia="Times New Roman" w:hAnsi="Book Antiqua" w:cs="Arial"/>
            <w:color w:val="0000FF"/>
            <w:sz w:val="19"/>
            <w:szCs w:val="19"/>
            <w:u w:val="single"/>
            <w:lang w:eastAsia="pt-BR"/>
          </w:rPr>
          <w:t>"Art. 107-A.</w:t>
        </w:r>
      </w:hyperlink>
      <w:r w:rsidRPr="003D0FC5">
        <w:rPr>
          <w:rFonts w:ascii="Book Antiqua" w:eastAsia="Times New Roman" w:hAnsi="Book Antiqua" w:cs="Arial"/>
          <w:color w:val="000000"/>
          <w:sz w:val="19"/>
          <w:szCs w:val="19"/>
          <w:lang w:eastAsia="pt-BR"/>
        </w:rPr>
        <w:t> Até o fim de 2026, fica estabelecido, para cada exercício financeiro, limite para alocação na proposta orçamentária das despesas com pagamentos em virtude de sentença judiciária de que trata o </w:t>
      </w:r>
      <w:hyperlink r:id="rId16" w:anchor="art100" w:history="1">
        <w:r w:rsidRPr="003D0FC5">
          <w:rPr>
            <w:rFonts w:ascii="Book Antiqua" w:eastAsia="Times New Roman" w:hAnsi="Book Antiqua" w:cs="Arial"/>
            <w:color w:val="0000FF"/>
            <w:sz w:val="19"/>
            <w:szCs w:val="19"/>
            <w:u w:val="single"/>
            <w:lang w:eastAsia="pt-BR"/>
          </w:rPr>
          <w:t>art. 100 da Constituição Federal</w:t>
        </w:r>
      </w:hyperlink>
      <w:r w:rsidRPr="003D0FC5">
        <w:rPr>
          <w:rFonts w:ascii="Book Antiqua" w:eastAsia="Times New Roman" w:hAnsi="Book Antiqua" w:cs="Arial"/>
          <w:color w:val="000000"/>
          <w:sz w:val="19"/>
          <w:szCs w:val="19"/>
          <w:lang w:eastAsia="pt-BR"/>
        </w:rPr>
        <w:t>, equivalente ao valor da despesa paga no exercício de 2016, incluídos os restos a pagar pagos, corrigido, para o exercício de 2017, em 7,2% (sete inteiros e dois décimos por cento) e, para os exercícios posteriores, pela variação do Índice Nacional de Preços ao Consumidor Amplo (IPCA), publicado pela Fundação Instituto Brasileiro de Geografia e Estatística, ou de outro índice que vier a substituí-lo, apurado no exercício anterior a que se refere a lei orçamentária, devendo o espaço fiscal decorrente da diferença entre o valor dos precatórios expedidos e o respectivo limite ser destinado ao programa previsto no parágrafo único do art. 6º e à seguridade social, nos termos do </w:t>
      </w:r>
      <w:hyperlink r:id="rId17" w:anchor="art194" w:history="1">
        <w:r w:rsidRPr="003D0FC5">
          <w:rPr>
            <w:rFonts w:ascii="Book Antiqua" w:eastAsia="Times New Roman" w:hAnsi="Book Antiqua" w:cs="Arial"/>
            <w:color w:val="0000FF"/>
            <w:sz w:val="19"/>
            <w:szCs w:val="19"/>
            <w:u w:val="single"/>
            <w:lang w:eastAsia="pt-BR"/>
          </w:rPr>
          <w:t>art. 194, ambos da Constituição Federal</w:t>
        </w:r>
      </w:hyperlink>
      <w:r w:rsidRPr="003D0FC5">
        <w:rPr>
          <w:rFonts w:ascii="Book Antiqua" w:eastAsia="Times New Roman" w:hAnsi="Book Antiqua" w:cs="Arial"/>
          <w:color w:val="000000"/>
          <w:sz w:val="19"/>
          <w:szCs w:val="19"/>
          <w:lang w:eastAsia="pt-BR"/>
        </w:rPr>
        <w:t>, a ser calculado da seguinte forma:</w:t>
      </w:r>
    </w:p>
    <w:p w14:paraId="2D90B64B"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(NR)</w:t>
      </w:r>
    </w:p>
    <w:p w14:paraId="23AE1E02"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8" w:anchor="adctart111.0" w:history="1">
        <w:r w:rsidRPr="003D0FC5">
          <w:rPr>
            <w:rFonts w:ascii="Book Antiqua" w:eastAsia="Times New Roman" w:hAnsi="Book Antiqua" w:cs="Arial"/>
            <w:color w:val="0000FF"/>
            <w:sz w:val="19"/>
            <w:szCs w:val="19"/>
            <w:u w:val="single"/>
            <w:lang w:eastAsia="pt-BR"/>
          </w:rPr>
          <w:t>"Art. 111.</w:t>
        </w:r>
      </w:hyperlink>
      <w:r w:rsidRPr="003D0FC5">
        <w:rPr>
          <w:rFonts w:ascii="Book Antiqua" w:eastAsia="Times New Roman" w:hAnsi="Book Antiqua" w:cs="Arial"/>
          <w:color w:val="000000"/>
          <w:sz w:val="19"/>
          <w:szCs w:val="19"/>
          <w:lang w:eastAsia="pt-BR"/>
        </w:rPr>
        <w:t> A partir do exercício financeiro de 2018, até o exercício financeiro de 2022, a aprovação e a execução previstas nos </w:t>
      </w:r>
      <w:hyperlink r:id="rId19" w:anchor="art166%C2%A79" w:history="1">
        <w:r w:rsidRPr="003D0FC5">
          <w:rPr>
            <w:rFonts w:ascii="Book Antiqua" w:eastAsia="Times New Roman" w:hAnsi="Book Antiqua" w:cs="Arial"/>
            <w:color w:val="0000FF"/>
            <w:sz w:val="19"/>
            <w:szCs w:val="19"/>
            <w:u w:val="single"/>
            <w:lang w:eastAsia="pt-BR"/>
          </w:rPr>
          <w:t>§§ 9º</w:t>
        </w:r>
      </w:hyperlink>
      <w:r w:rsidRPr="003D0FC5">
        <w:rPr>
          <w:rFonts w:ascii="Book Antiqua" w:eastAsia="Times New Roman" w:hAnsi="Book Antiqua" w:cs="Arial"/>
          <w:color w:val="000000"/>
          <w:sz w:val="19"/>
          <w:szCs w:val="19"/>
          <w:lang w:eastAsia="pt-BR"/>
        </w:rPr>
        <w:t> e </w:t>
      </w:r>
      <w:hyperlink r:id="rId20" w:anchor="art166%C2%A711" w:history="1">
        <w:r w:rsidRPr="003D0FC5">
          <w:rPr>
            <w:rFonts w:ascii="Book Antiqua" w:eastAsia="Times New Roman" w:hAnsi="Book Antiqua" w:cs="Arial"/>
            <w:color w:val="0000FF"/>
            <w:sz w:val="19"/>
            <w:szCs w:val="19"/>
            <w:u w:val="single"/>
            <w:lang w:eastAsia="pt-BR"/>
          </w:rPr>
          <w:t>11 do art. 166 da Constituição Federal</w:t>
        </w:r>
      </w:hyperlink>
      <w:r w:rsidRPr="003D0FC5">
        <w:rPr>
          <w:rFonts w:ascii="Book Antiqua" w:eastAsia="Times New Roman" w:hAnsi="Book Antiqua" w:cs="Arial"/>
          <w:color w:val="000000"/>
          <w:sz w:val="19"/>
          <w:szCs w:val="19"/>
          <w:lang w:eastAsia="pt-BR"/>
        </w:rPr>
        <w:t> corresponderão ao montante de execução obrigatória para o exercício de 2017, corrigido na forma estabelecida no </w:t>
      </w:r>
      <w:hyperlink r:id="rId21" w:anchor="adctart107%C2%A71ii" w:history="1">
        <w:r w:rsidRPr="003D0FC5">
          <w:rPr>
            <w:rFonts w:ascii="Book Antiqua" w:eastAsia="Times New Roman" w:hAnsi="Book Antiqua" w:cs="Arial"/>
            <w:color w:val="0000FF"/>
            <w:sz w:val="19"/>
            <w:szCs w:val="19"/>
            <w:u w:val="single"/>
            <w:lang w:eastAsia="pt-BR"/>
          </w:rPr>
          <w:t>inciso II do § 1º do art. 107 deste Ato das Disposições Constitucionais Transitórias.</w:t>
        </w:r>
      </w:hyperlink>
      <w:r w:rsidRPr="003D0FC5">
        <w:rPr>
          <w:rFonts w:ascii="Book Antiqua" w:eastAsia="Times New Roman" w:hAnsi="Book Antiqua" w:cs="Arial"/>
          <w:color w:val="000000"/>
          <w:sz w:val="19"/>
          <w:szCs w:val="19"/>
          <w:lang w:eastAsia="pt-BR"/>
        </w:rPr>
        <w:t>" (NR)</w:t>
      </w:r>
    </w:p>
    <w:p w14:paraId="69C2067F"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2" w:anchor="adctart111a" w:history="1">
        <w:r w:rsidRPr="003D0FC5">
          <w:rPr>
            <w:rFonts w:ascii="Book Antiqua" w:eastAsia="Times New Roman" w:hAnsi="Book Antiqua" w:cs="Arial"/>
            <w:color w:val="0000FF"/>
            <w:sz w:val="19"/>
            <w:szCs w:val="19"/>
            <w:u w:val="single"/>
            <w:lang w:eastAsia="pt-BR"/>
          </w:rPr>
          <w:t>"Art. 111-A.</w:t>
        </w:r>
      </w:hyperlink>
      <w:r w:rsidRPr="003D0FC5">
        <w:rPr>
          <w:rFonts w:ascii="Book Antiqua" w:eastAsia="Times New Roman" w:hAnsi="Book Antiqua" w:cs="Arial"/>
          <w:color w:val="000000"/>
          <w:sz w:val="19"/>
          <w:szCs w:val="19"/>
          <w:lang w:eastAsia="pt-BR"/>
        </w:rPr>
        <w:t> A partir do exercício financeiro de 2024, até o último exercício de vigência do Novo Regime Fiscal, a aprovação e a execução previstas nos §§ 9º e 11 do art. 166 da Constituição Federal corresponderão ao montante de execução obrigatória para o exercício de 2023, corrigido na forma estabelecida no </w:t>
      </w:r>
      <w:hyperlink r:id="rId23" w:anchor="adctart107%C2%A71ii" w:history="1">
        <w:r w:rsidRPr="003D0FC5">
          <w:rPr>
            <w:rFonts w:ascii="Book Antiqua" w:eastAsia="Times New Roman" w:hAnsi="Book Antiqua" w:cs="Arial"/>
            <w:color w:val="0000FF"/>
            <w:sz w:val="19"/>
            <w:szCs w:val="19"/>
            <w:u w:val="single"/>
            <w:lang w:eastAsia="pt-BR"/>
          </w:rPr>
          <w:t>inciso II do § 1º do art. 107 deste Ato das Disposições Constitucionais Transitórias.</w:t>
        </w:r>
      </w:hyperlink>
      <w:r w:rsidRPr="003D0FC5">
        <w:rPr>
          <w:rFonts w:ascii="Book Antiqua" w:eastAsia="Times New Roman" w:hAnsi="Book Antiqua" w:cs="Arial"/>
          <w:color w:val="000000"/>
          <w:sz w:val="19"/>
          <w:szCs w:val="19"/>
          <w:lang w:eastAsia="pt-BR"/>
        </w:rPr>
        <w:t>"</w:t>
      </w:r>
    </w:p>
    <w:p w14:paraId="538012D2"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 w:anchor="adctart121" w:history="1">
        <w:r w:rsidRPr="003D0FC5">
          <w:rPr>
            <w:rFonts w:ascii="Book Antiqua" w:eastAsia="Times New Roman" w:hAnsi="Book Antiqua" w:cs="Arial"/>
            <w:color w:val="0000FF"/>
            <w:sz w:val="19"/>
            <w:szCs w:val="19"/>
            <w:u w:val="single"/>
            <w:lang w:eastAsia="pt-BR"/>
          </w:rPr>
          <w:t>"Art. 121.</w:t>
        </w:r>
      </w:hyperlink>
      <w:r w:rsidRPr="003D0FC5">
        <w:rPr>
          <w:rFonts w:ascii="Book Antiqua" w:eastAsia="Times New Roman" w:hAnsi="Book Antiqua" w:cs="Arial"/>
          <w:color w:val="000000"/>
          <w:sz w:val="19"/>
          <w:szCs w:val="19"/>
          <w:lang w:eastAsia="pt-BR"/>
        </w:rPr>
        <w:t> As contas referentes aos patrimônios acumulados de que trata o </w:t>
      </w:r>
      <w:hyperlink r:id="rId25" w:anchor="art239%C2%A72" w:history="1">
        <w:r w:rsidRPr="003D0FC5">
          <w:rPr>
            <w:rFonts w:ascii="Book Antiqua" w:eastAsia="Times New Roman" w:hAnsi="Book Antiqua" w:cs="Arial"/>
            <w:color w:val="0000FF"/>
            <w:sz w:val="19"/>
            <w:szCs w:val="19"/>
            <w:u w:val="single"/>
            <w:lang w:eastAsia="pt-BR"/>
          </w:rPr>
          <w:t>§ 2º do art. 239 da Constituição Federal</w:t>
        </w:r>
      </w:hyperlink>
      <w:r w:rsidRPr="003D0FC5">
        <w:rPr>
          <w:rFonts w:ascii="Book Antiqua" w:eastAsia="Times New Roman" w:hAnsi="Book Antiqua" w:cs="Arial"/>
          <w:color w:val="000000"/>
          <w:sz w:val="19"/>
          <w:szCs w:val="19"/>
          <w:lang w:eastAsia="pt-BR"/>
        </w:rPr>
        <w:t> cujos recursos não tenham sido reclamados por prazo superior a 20 (vinte) anos serão encerradas após o prazo de 60 (sessenta) dias da publicação de aviso no Diário Oficial da União, ressalvada reivindicação por eventual interessado legítimo dentro do referido prazo.</w:t>
      </w:r>
    </w:p>
    <w:p w14:paraId="735EF693"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Parágrafo único. Os valores referidos no caput deste artigo serão tidos por abandonados, nos termos do </w:t>
      </w:r>
      <w:hyperlink r:id="rId26" w:anchor="art1275iii" w:history="1">
        <w:r w:rsidRPr="003D0FC5">
          <w:rPr>
            <w:rFonts w:ascii="Book Antiqua" w:eastAsia="Times New Roman" w:hAnsi="Book Antiqua" w:cs="Arial"/>
            <w:color w:val="0000FF"/>
            <w:sz w:val="19"/>
            <w:szCs w:val="19"/>
            <w:u w:val="single"/>
            <w:lang w:eastAsia="pt-BR"/>
          </w:rPr>
          <w:t>inciso III do caput do art. 1.275 da Lei nº 10.406, de 10 de janeiro de 2002</w:t>
        </w:r>
      </w:hyperlink>
      <w:r w:rsidRPr="003D0FC5">
        <w:rPr>
          <w:rFonts w:ascii="Book Antiqua" w:eastAsia="Times New Roman" w:hAnsi="Book Antiqua" w:cs="Arial"/>
          <w:color w:val="000000"/>
          <w:sz w:val="19"/>
          <w:szCs w:val="19"/>
          <w:lang w:eastAsia="pt-BR"/>
        </w:rPr>
        <w:t> (Código Civil), e serão apropriados pelo Tesouro Nacional como receita primária para realização de despesas de investimento de que trata o </w:t>
      </w:r>
      <w:hyperlink r:id="rId27" w:anchor="adctart107%C2%A76b" w:history="1">
        <w:r w:rsidRPr="003D0FC5">
          <w:rPr>
            <w:rFonts w:ascii="Book Antiqua" w:eastAsia="Times New Roman" w:hAnsi="Book Antiqua" w:cs="Arial"/>
            <w:color w:val="0000FF"/>
            <w:sz w:val="19"/>
            <w:szCs w:val="19"/>
            <w:u w:val="single"/>
            <w:lang w:eastAsia="pt-BR"/>
          </w:rPr>
          <w:t>§ 6º-B do art. 107,</w:t>
        </w:r>
      </w:hyperlink>
      <w:r w:rsidRPr="003D0FC5">
        <w:rPr>
          <w:rFonts w:ascii="Book Antiqua" w:eastAsia="Times New Roman" w:hAnsi="Book Antiqua" w:cs="Arial"/>
          <w:color w:val="000000"/>
          <w:sz w:val="19"/>
          <w:szCs w:val="19"/>
          <w:lang w:eastAsia="pt-BR"/>
        </w:rPr>
        <w:t> que não serão computadas nos limites previstos no </w:t>
      </w:r>
      <w:hyperlink r:id="rId28" w:anchor="adctart107" w:history="1">
        <w:r w:rsidRPr="003D0FC5">
          <w:rPr>
            <w:rFonts w:ascii="Book Antiqua" w:eastAsia="Times New Roman" w:hAnsi="Book Antiqua" w:cs="Arial"/>
            <w:color w:val="0000FF"/>
            <w:sz w:val="19"/>
            <w:szCs w:val="19"/>
            <w:u w:val="single"/>
            <w:lang w:eastAsia="pt-BR"/>
          </w:rPr>
          <w:t>art. 107, ambos deste Ato das Disposições Constitucionais Transitórias</w:t>
        </w:r>
      </w:hyperlink>
      <w:r w:rsidRPr="003D0FC5">
        <w:rPr>
          <w:rFonts w:ascii="Book Antiqua" w:eastAsia="Times New Roman" w:hAnsi="Book Antiqua" w:cs="Arial"/>
          <w:color w:val="000000"/>
          <w:sz w:val="19"/>
          <w:szCs w:val="19"/>
          <w:lang w:eastAsia="pt-BR"/>
        </w:rPr>
        <w:t>, podendo o interessado reclamar ressarcimento à União no prazo de até 5 (cinco) anos do encerramento das contas."</w:t>
      </w:r>
    </w:p>
    <w:p w14:paraId="1D266203"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9" w:anchor="adctart122" w:history="1">
        <w:r w:rsidRPr="003D0FC5">
          <w:rPr>
            <w:rFonts w:ascii="Book Antiqua" w:eastAsia="Times New Roman" w:hAnsi="Book Antiqua" w:cs="Arial"/>
            <w:color w:val="0000FF"/>
            <w:sz w:val="19"/>
            <w:szCs w:val="19"/>
            <w:u w:val="single"/>
            <w:lang w:eastAsia="pt-BR"/>
          </w:rPr>
          <w:t>"Art. 122.</w:t>
        </w:r>
      </w:hyperlink>
      <w:r w:rsidRPr="003D0FC5">
        <w:rPr>
          <w:rFonts w:ascii="Book Antiqua" w:eastAsia="Times New Roman" w:hAnsi="Book Antiqua" w:cs="Arial"/>
          <w:color w:val="000000"/>
          <w:sz w:val="19"/>
          <w:szCs w:val="19"/>
          <w:lang w:eastAsia="pt-BR"/>
        </w:rPr>
        <w:t> As transferências financeiras realizadas pelo Fundo Nacional de Saúde e pelo Fundo Nacional de Assistência Social diretamente aos fundos de saúde e assistência social estaduais, municipais e distritais, para enfrentamento da pandemia da Covid-19, poderão ser executadas pelos entes federativos até 31 de dezembro de 2023."</w:t>
      </w:r>
    </w:p>
    <w:p w14:paraId="648AC343"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3"/>
      <w:bookmarkEnd w:id="2"/>
      <w:r w:rsidRPr="003D0FC5">
        <w:rPr>
          <w:rFonts w:ascii="Book Antiqua" w:eastAsia="Times New Roman" w:hAnsi="Book Antiqua" w:cs="Arial"/>
          <w:color w:val="000000"/>
          <w:sz w:val="19"/>
          <w:szCs w:val="19"/>
          <w:lang w:eastAsia="pt-BR"/>
        </w:rPr>
        <w:t>Art. 3º O limite estabelecido no </w:t>
      </w:r>
      <w:hyperlink r:id="rId30" w:anchor="adctart107i" w:history="1">
        <w:r w:rsidRPr="003D0FC5">
          <w:rPr>
            <w:rFonts w:ascii="Book Antiqua" w:eastAsia="Times New Roman" w:hAnsi="Book Antiqua" w:cs="Arial"/>
            <w:color w:val="0000FF"/>
            <w:sz w:val="19"/>
            <w:szCs w:val="19"/>
            <w:u w:val="single"/>
            <w:lang w:eastAsia="pt-BR"/>
          </w:rPr>
          <w:t>inciso I do caput do art. 107 do Ato das Disposições Constitucionais Transitórias</w:t>
        </w:r>
      </w:hyperlink>
      <w:r w:rsidRPr="003D0FC5">
        <w:rPr>
          <w:rFonts w:ascii="Book Antiqua" w:eastAsia="Times New Roman" w:hAnsi="Book Antiqua" w:cs="Arial"/>
          <w:color w:val="000000"/>
          <w:sz w:val="19"/>
          <w:szCs w:val="19"/>
          <w:lang w:eastAsia="pt-BR"/>
        </w:rPr>
        <w:t> fica acrescido em R$ 145.000.000.000,00 (cento e quarenta e cinco bilhões de reais) para o exercício financeiro de 2023.</w:t>
      </w:r>
    </w:p>
    <w:p w14:paraId="3A71C7B1"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Parágrafo único. As despesas decorrentes do aumento de limite previsto no caput deste artigo não serão consideradas para fins de verificação do cumprimento da meta de resultado primário estabelecida no caput do </w:t>
      </w:r>
      <w:hyperlink r:id="rId31" w:anchor="art2" w:history="1">
        <w:r w:rsidRPr="003D0FC5">
          <w:rPr>
            <w:rFonts w:ascii="Book Antiqua" w:eastAsia="Times New Roman" w:hAnsi="Book Antiqua" w:cs="Arial"/>
            <w:color w:val="0000FF"/>
            <w:sz w:val="19"/>
            <w:szCs w:val="19"/>
            <w:u w:val="single"/>
            <w:lang w:eastAsia="pt-BR"/>
          </w:rPr>
          <w:t>art. 2º da Lei nº 14.436, de 9 de agosto de 2022</w:t>
        </w:r>
      </w:hyperlink>
      <w:r w:rsidRPr="003D0FC5">
        <w:rPr>
          <w:rFonts w:ascii="Book Antiqua" w:eastAsia="Times New Roman" w:hAnsi="Book Antiqua" w:cs="Arial"/>
          <w:color w:val="000000"/>
          <w:sz w:val="19"/>
          <w:szCs w:val="19"/>
          <w:lang w:eastAsia="pt-BR"/>
        </w:rPr>
        <w:t>, e ficam ressalvadas, no exercício financeiro de 2023, do disposto no </w:t>
      </w:r>
      <w:hyperlink r:id="rId32" w:anchor="adctart107iii" w:history="1">
        <w:r w:rsidRPr="003D0FC5">
          <w:rPr>
            <w:rFonts w:ascii="Book Antiqua" w:eastAsia="Times New Roman" w:hAnsi="Book Antiqua" w:cs="Arial"/>
            <w:color w:val="0000FF"/>
            <w:sz w:val="19"/>
            <w:szCs w:val="19"/>
            <w:u w:val="single"/>
            <w:lang w:eastAsia="pt-BR"/>
          </w:rPr>
          <w:t>inciso III do caput do art. 167 da Constituição Federal.</w:t>
        </w:r>
      </w:hyperlink>
    </w:p>
    <w:p w14:paraId="3A06AFC9"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4"/>
      <w:bookmarkEnd w:id="3"/>
      <w:r w:rsidRPr="003D0FC5">
        <w:rPr>
          <w:rFonts w:ascii="Book Antiqua" w:eastAsia="Times New Roman" w:hAnsi="Book Antiqua" w:cs="Arial"/>
          <w:color w:val="000000"/>
          <w:sz w:val="19"/>
          <w:szCs w:val="19"/>
          <w:lang w:eastAsia="pt-BR"/>
        </w:rPr>
        <w:t>Art. 4º Os atos editados em 2023 relativos ao programa de que trata o </w:t>
      </w:r>
      <w:hyperlink r:id="rId33" w:anchor="art2" w:history="1">
        <w:r w:rsidRPr="003D0FC5">
          <w:rPr>
            <w:rFonts w:ascii="Book Antiqua" w:eastAsia="Times New Roman" w:hAnsi="Book Antiqua" w:cs="Arial"/>
            <w:color w:val="0000FF"/>
            <w:sz w:val="19"/>
            <w:szCs w:val="19"/>
            <w:u w:val="single"/>
            <w:lang w:eastAsia="pt-BR"/>
          </w:rPr>
          <w:t>art. 2º da Lei nº 14.284, de 29 de dezembro de 2021</w:t>
        </w:r>
      </w:hyperlink>
      <w:r w:rsidRPr="003D0FC5">
        <w:rPr>
          <w:rFonts w:ascii="Book Antiqua" w:eastAsia="Times New Roman" w:hAnsi="Book Antiqua" w:cs="Arial"/>
          <w:color w:val="000000"/>
          <w:sz w:val="19"/>
          <w:szCs w:val="19"/>
          <w:lang w:eastAsia="pt-BR"/>
        </w:rPr>
        <w:t>, ou ao programa que vier a substituí-lo, e ao programa auxílio Gás dos Brasileiros, de que trata a </w:t>
      </w:r>
      <w:hyperlink r:id="rId34" w:history="1">
        <w:r w:rsidRPr="003D0FC5">
          <w:rPr>
            <w:rFonts w:ascii="Book Antiqua" w:eastAsia="Times New Roman" w:hAnsi="Book Antiqua" w:cs="Arial"/>
            <w:color w:val="0000FF"/>
            <w:sz w:val="19"/>
            <w:szCs w:val="19"/>
            <w:u w:val="single"/>
            <w:lang w:eastAsia="pt-BR"/>
          </w:rPr>
          <w:t>Lei nº 14.237, de 19 de novembro de 2021</w:t>
        </w:r>
      </w:hyperlink>
      <w:r w:rsidRPr="003D0FC5">
        <w:rPr>
          <w:rFonts w:ascii="Book Antiqua" w:eastAsia="Times New Roman" w:hAnsi="Book Antiqua" w:cs="Arial"/>
          <w:color w:val="000000"/>
          <w:sz w:val="19"/>
          <w:szCs w:val="19"/>
          <w:lang w:eastAsia="pt-BR"/>
        </w:rPr>
        <w:t>, ficam dispensados da observância das limitações legais quanto à criação, à expansão ou ao aperfeiçoamento de ação governamental, inclusive quanto à necessidade de compensação.</w:t>
      </w:r>
    </w:p>
    <w:p w14:paraId="2D928DBC"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Parágrafo único. O disposto no caput deste artigo não se aplica a atos cujos efeitos financeiros tenham início a partir do exercício de 2024.</w:t>
      </w:r>
    </w:p>
    <w:p w14:paraId="6A54255C"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5"/>
      <w:bookmarkEnd w:id="4"/>
      <w:r w:rsidRPr="003D0FC5">
        <w:rPr>
          <w:rFonts w:ascii="Book Antiqua" w:eastAsia="Times New Roman" w:hAnsi="Book Antiqua" w:cs="Arial"/>
          <w:color w:val="000000"/>
          <w:sz w:val="19"/>
          <w:szCs w:val="19"/>
          <w:lang w:eastAsia="pt-BR"/>
        </w:rPr>
        <w:t>Art. 5º Para o exercício financeiro de 2023, a ampliação de dotações orçamentárias sujeitas ao limite previsto no </w:t>
      </w:r>
      <w:hyperlink r:id="rId35" w:anchor="adctart107i" w:history="1">
        <w:r w:rsidRPr="003D0FC5">
          <w:rPr>
            <w:rFonts w:ascii="Book Antiqua" w:eastAsia="Times New Roman" w:hAnsi="Book Antiqua" w:cs="Arial"/>
            <w:color w:val="0000FF"/>
            <w:sz w:val="19"/>
            <w:szCs w:val="19"/>
            <w:u w:val="single"/>
            <w:lang w:eastAsia="pt-BR"/>
          </w:rPr>
          <w:t>inciso I do caput do art. 107 do Ato das Disposições Constitucionais Transitórias</w:t>
        </w:r>
      </w:hyperlink>
      <w:r w:rsidRPr="003D0FC5">
        <w:rPr>
          <w:rFonts w:ascii="Book Antiqua" w:eastAsia="Times New Roman" w:hAnsi="Book Antiqua" w:cs="Arial"/>
          <w:color w:val="000000"/>
          <w:sz w:val="19"/>
          <w:szCs w:val="19"/>
          <w:lang w:eastAsia="pt-BR"/>
        </w:rPr>
        <w:t> prevista nesta Emenda Constitucional poderá ser destinada ao atendimento de solicitações das comissões permanentes do Congresso Nacional ou de suas Casas.</w:t>
      </w:r>
    </w:p>
    <w:p w14:paraId="392A1FE0"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1º Fica o relator-geral do Projeto de Lei Orçamentária de 2023 autorizado a apresentar emendas para a ampliação de dotações orçamentárias referida no caput deste artigo.</w:t>
      </w:r>
    </w:p>
    <w:p w14:paraId="2015ABF8"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2º As emendas referidas no § 1º deste artigo:</w:t>
      </w:r>
    </w:p>
    <w:p w14:paraId="7A73098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I - não se sujeitam aos limites aplicáveis às emendas ao projeto de lei orçamentária;</w:t>
      </w:r>
    </w:p>
    <w:p w14:paraId="2A41885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II - devem ser classificadas de acordo com as </w:t>
      </w:r>
      <w:hyperlink r:id="rId36" w:anchor="art7%C2%A74iia" w:history="1">
        <w:r w:rsidRPr="003D0FC5">
          <w:rPr>
            <w:rFonts w:ascii="Book Antiqua" w:eastAsia="Times New Roman" w:hAnsi="Book Antiqua" w:cs="Arial"/>
            <w:color w:val="0000FF"/>
            <w:sz w:val="19"/>
            <w:szCs w:val="19"/>
            <w:u w:val="single"/>
            <w:lang w:eastAsia="pt-BR"/>
          </w:rPr>
          <w:t>alíneas a ou b do inciso II do § 4º do art. 7º da Lei nº 14.436, de 9 de agosto de 2022.</w:t>
        </w:r>
      </w:hyperlink>
    </w:p>
    <w:p w14:paraId="2F1834AB"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 3º O disposto no caput deste artigo não impede os cancelamentos necessários à abertura de créditos adicionais.</w:t>
      </w:r>
    </w:p>
    <w:p w14:paraId="4EA94D67"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lastRenderedPageBreak/>
        <w:t>§ 4º As ações diretamente destinadas a políticas públicas para mulheres deverão constar entre as diretrizes sobre como a margem aberta será empregada.</w:t>
      </w:r>
    </w:p>
    <w:p w14:paraId="500B349F"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End w:id="5"/>
      <w:r w:rsidRPr="003D0FC5">
        <w:rPr>
          <w:rFonts w:ascii="Book Antiqua" w:eastAsia="Times New Roman" w:hAnsi="Book Antiqua" w:cs="Arial"/>
          <w:color w:val="000000"/>
          <w:sz w:val="19"/>
          <w:szCs w:val="19"/>
          <w:lang w:eastAsia="pt-BR"/>
        </w:rPr>
        <w:t>Art. 6º O Presidente da República deverá encaminhar ao Congresso Nacional, até 31 de agosto de 2023, projeto de lei complementar com o objetivo de instituir regime fiscal sustentável para garantir a estabilidade macroeconômica do País e criar as condições adequadas ao crescimento socioeconômico, inclusive quanto à regra estabelecida no </w:t>
      </w:r>
      <w:hyperlink r:id="rId37" w:anchor="art167iii" w:history="1">
        <w:r w:rsidRPr="003D0FC5">
          <w:rPr>
            <w:rFonts w:ascii="Book Antiqua" w:eastAsia="Times New Roman" w:hAnsi="Book Antiqua" w:cs="Arial"/>
            <w:color w:val="0000FF"/>
            <w:sz w:val="19"/>
            <w:szCs w:val="19"/>
            <w:u w:val="single"/>
            <w:lang w:eastAsia="pt-BR"/>
          </w:rPr>
          <w:t>inciso III do caput do art. 167 da Constituição Federal.</w:t>
        </w:r>
      </w:hyperlink>
    </w:p>
    <w:p w14:paraId="58EE872F"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7"/>
      <w:bookmarkEnd w:id="6"/>
      <w:r w:rsidRPr="003D0FC5">
        <w:rPr>
          <w:rFonts w:ascii="Book Antiqua" w:eastAsia="Times New Roman" w:hAnsi="Book Antiqua" w:cs="Arial"/>
          <w:color w:val="000000"/>
          <w:sz w:val="19"/>
          <w:szCs w:val="19"/>
          <w:lang w:eastAsia="pt-BR"/>
        </w:rPr>
        <w:t>Art. 7º O disposto nesta Emenda Constitucional não altera a base de cálculo estabelecida no </w:t>
      </w:r>
      <w:hyperlink r:id="rId38" w:anchor="adctart107%C2%A71" w:history="1">
        <w:r w:rsidRPr="003D0FC5">
          <w:rPr>
            <w:rFonts w:ascii="Book Antiqua" w:eastAsia="Times New Roman" w:hAnsi="Book Antiqua" w:cs="Arial"/>
            <w:color w:val="0000FF"/>
            <w:sz w:val="19"/>
            <w:szCs w:val="19"/>
            <w:u w:val="single"/>
            <w:lang w:eastAsia="pt-BR"/>
          </w:rPr>
          <w:t>§ 1º do art. 107 do Ato das Disposições Constitucionais Transitórias.</w:t>
        </w:r>
      </w:hyperlink>
    </w:p>
    <w:p w14:paraId="51C50498"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8"/>
      <w:bookmarkEnd w:id="7"/>
      <w:r w:rsidRPr="003D0FC5">
        <w:rPr>
          <w:rFonts w:ascii="Book Antiqua" w:eastAsia="Times New Roman" w:hAnsi="Book Antiqua" w:cs="Arial"/>
          <w:color w:val="000000"/>
          <w:sz w:val="19"/>
          <w:szCs w:val="19"/>
          <w:lang w:eastAsia="pt-BR"/>
        </w:rPr>
        <w:t>Art. 8º Fica o relator-geral do Projeto de Lei Orçamentária de 2023 autorizado a apresentar emendas para ações direcionadas à execução de políticas públicas até o valor de R$ 9.850.000.000,00 (nove bilhões oitocentos e cinquenta milhões de reais), classificadas de acordo com a </w:t>
      </w:r>
      <w:hyperlink r:id="rId39" w:anchor="art7%C2%A74iib" w:history="1">
        <w:r w:rsidRPr="003D0FC5">
          <w:rPr>
            <w:rFonts w:ascii="Book Antiqua" w:eastAsia="Times New Roman" w:hAnsi="Book Antiqua" w:cs="Arial"/>
            <w:color w:val="0000FF"/>
            <w:sz w:val="19"/>
            <w:szCs w:val="19"/>
            <w:u w:val="single"/>
            <w:lang w:eastAsia="pt-BR"/>
          </w:rPr>
          <w:t>alínea b do inciso II do § 4º do art. 7º da Lei nº 14.436, de 9 de agosto de 2022.</w:t>
        </w:r>
      </w:hyperlink>
    </w:p>
    <w:p w14:paraId="0E4E11FD"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9"/>
      <w:bookmarkEnd w:id="8"/>
      <w:r w:rsidRPr="003D0FC5">
        <w:rPr>
          <w:rFonts w:ascii="Book Antiqua" w:eastAsia="Times New Roman" w:hAnsi="Book Antiqua" w:cs="Arial"/>
          <w:color w:val="000000"/>
          <w:sz w:val="19"/>
          <w:szCs w:val="19"/>
          <w:lang w:eastAsia="pt-BR"/>
        </w:rPr>
        <w:t>Art. 9º Ficam revogados os </w:t>
      </w:r>
      <w:proofErr w:type="spellStart"/>
      <w:r w:rsidRPr="003D0FC5">
        <w:rPr>
          <w:rFonts w:ascii="Book Antiqua" w:eastAsia="Times New Roman" w:hAnsi="Book Antiqua" w:cs="Arial"/>
          <w:color w:val="000000"/>
          <w:sz w:val="19"/>
          <w:szCs w:val="19"/>
          <w:lang w:eastAsia="pt-BR"/>
        </w:rPr>
        <w:fldChar w:fldCharType="begin"/>
      </w:r>
      <w:r w:rsidRPr="003D0FC5">
        <w:rPr>
          <w:rFonts w:ascii="Book Antiqua" w:eastAsia="Times New Roman" w:hAnsi="Book Antiqua" w:cs="Arial"/>
          <w:color w:val="000000"/>
          <w:sz w:val="19"/>
          <w:szCs w:val="19"/>
          <w:lang w:eastAsia="pt-BR"/>
        </w:rPr>
        <w:instrText xml:space="preserve"> HYPERLINK "http://www.planalto.gov.br/ccivil_03/Constituicao/Constituicao.htm" \l "adctart106" </w:instrText>
      </w:r>
      <w:r w:rsidRPr="003D0FC5">
        <w:rPr>
          <w:rFonts w:ascii="Book Antiqua" w:eastAsia="Times New Roman" w:hAnsi="Book Antiqua" w:cs="Arial"/>
          <w:color w:val="000000"/>
          <w:sz w:val="19"/>
          <w:szCs w:val="19"/>
          <w:lang w:eastAsia="pt-BR"/>
        </w:rPr>
        <w:fldChar w:fldCharType="separate"/>
      </w:r>
      <w:r w:rsidRPr="003D0FC5">
        <w:rPr>
          <w:rFonts w:ascii="Book Antiqua" w:eastAsia="Times New Roman" w:hAnsi="Book Antiqua" w:cs="Arial"/>
          <w:color w:val="0000FF"/>
          <w:sz w:val="19"/>
          <w:szCs w:val="19"/>
          <w:u w:val="single"/>
          <w:lang w:eastAsia="pt-BR"/>
        </w:rPr>
        <w:t>arts</w:t>
      </w:r>
      <w:proofErr w:type="spellEnd"/>
      <w:r w:rsidRPr="003D0FC5">
        <w:rPr>
          <w:rFonts w:ascii="Book Antiqua" w:eastAsia="Times New Roman" w:hAnsi="Book Antiqua" w:cs="Arial"/>
          <w:color w:val="0000FF"/>
          <w:sz w:val="19"/>
          <w:szCs w:val="19"/>
          <w:u w:val="single"/>
          <w:lang w:eastAsia="pt-BR"/>
        </w:rPr>
        <w:t>. 106</w:t>
      </w:r>
      <w:r w:rsidRPr="003D0FC5">
        <w:rPr>
          <w:rFonts w:ascii="Book Antiqua" w:eastAsia="Times New Roman" w:hAnsi="Book Antiqua" w:cs="Arial"/>
          <w:color w:val="000000"/>
          <w:sz w:val="19"/>
          <w:szCs w:val="19"/>
          <w:lang w:eastAsia="pt-BR"/>
        </w:rPr>
        <w:fldChar w:fldCharType="end"/>
      </w:r>
      <w:r w:rsidRPr="003D0FC5">
        <w:rPr>
          <w:rFonts w:ascii="Book Antiqua" w:eastAsia="Times New Roman" w:hAnsi="Book Antiqua" w:cs="Arial"/>
          <w:color w:val="000000"/>
          <w:sz w:val="19"/>
          <w:szCs w:val="19"/>
          <w:lang w:eastAsia="pt-BR"/>
        </w:rPr>
        <w:t>, </w:t>
      </w:r>
      <w:hyperlink r:id="rId40" w:anchor="adctart107" w:history="1">
        <w:r w:rsidRPr="003D0FC5">
          <w:rPr>
            <w:rFonts w:ascii="Book Antiqua" w:eastAsia="Times New Roman" w:hAnsi="Book Antiqua" w:cs="Arial"/>
            <w:color w:val="0000FF"/>
            <w:sz w:val="19"/>
            <w:szCs w:val="19"/>
            <w:u w:val="single"/>
            <w:lang w:eastAsia="pt-BR"/>
          </w:rPr>
          <w:t>107</w:t>
        </w:r>
      </w:hyperlink>
      <w:r w:rsidRPr="003D0FC5">
        <w:rPr>
          <w:rFonts w:ascii="Book Antiqua" w:eastAsia="Times New Roman" w:hAnsi="Book Antiqua" w:cs="Arial"/>
          <w:color w:val="000000"/>
          <w:sz w:val="19"/>
          <w:szCs w:val="19"/>
          <w:lang w:eastAsia="pt-BR"/>
        </w:rPr>
        <w:t>, </w:t>
      </w:r>
      <w:hyperlink r:id="rId41" w:anchor="adctart109.0" w:history="1">
        <w:r w:rsidRPr="003D0FC5">
          <w:rPr>
            <w:rFonts w:ascii="Book Antiqua" w:eastAsia="Times New Roman" w:hAnsi="Book Antiqua" w:cs="Arial"/>
            <w:color w:val="0000FF"/>
            <w:sz w:val="19"/>
            <w:szCs w:val="19"/>
            <w:u w:val="single"/>
            <w:lang w:eastAsia="pt-BR"/>
          </w:rPr>
          <w:t>109</w:t>
        </w:r>
      </w:hyperlink>
      <w:r w:rsidRPr="003D0FC5">
        <w:rPr>
          <w:rFonts w:ascii="Book Antiqua" w:eastAsia="Times New Roman" w:hAnsi="Book Antiqua" w:cs="Arial"/>
          <w:color w:val="000000"/>
          <w:sz w:val="19"/>
          <w:szCs w:val="19"/>
          <w:lang w:eastAsia="pt-BR"/>
        </w:rPr>
        <w:t>, </w:t>
      </w:r>
      <w:hyperlink r:id="rId42" w:anchor="adctart110" w:history="1">
        <w:r w:rsidRPr="003D0FC5">
          <w:rPr>
            <w:rFonts w:ascii="Book Antiqua" w:eastAsia="Times New Roman" w:hAnsi="Book Antiqua" w:cs="Arial"/>
            <w:color w:val="0000FF"/>
            <w:sz w:val="19"/>
            <w:szCs w:val="19"/>
            <w:u w:val="single"/>
            <w:lang w:eastAsia="pt-BR"/>
          </w:rPr>
          <w:t>110</w:t>
        </w:r>
      </w:hyperlink>
      <w:r w:rsidRPr="003D0FC5">
        <w:rPr>
          <w:rFonts w:ascii="Book Antiqua" w:eastAsia="Times New Roman" w:hAnsi="Book Antiqua" w:cs="Arial"/>
          <w:color w:val="000000"/>
          <w:sz w:val="19"/>
          <w:szCs w:val="19"/>
          <w:lang w:eastAsia="pt-BR"/>
        </w:rPr>
        <w:t>, </w:t>
      </w:r>
      <w:hyperlink r:id="rId43" w:anchor="adctart111" w:history="1">
        <w:r w:rsidRPr="003D0FC5">
          <w:rPr>
            <w:rFonts w:ascii="Book Antiqua" w:eastAsia="Times New Roman" w:hAnsi="Book Antiqua" w:cs="Arial"/>
            <w:color w:val="0000FF"/>
            <w:sz w:val="19"/>
            <w:szCs w:val="19"/>
            <w:u w:val="single"/>
            <w:lang w:eastAsia="pt-BR"/>
          </w:rPr>
          <w:t>111</w:t>
        </w:r>
      </w:hyperlink>
      <w:r w:rsidRPr="003D0FC5">
        <w:rPr>
          <w:rFonts w:ascii="Book Antiqua" w:eastAsia="Times New Roman" w:hAnsi="Book Antiqua" w:cs="Arial"/>
          <w:color w:val="000000"/>
          <w:sz w:val="19"/>
          <w:szCs w:val="19"/>
          <w:lang w:eastAsia="pt-BR"/>
        </w:rPr>
        <w:t>, </w:t>
      </w:r>
      <w:hyperlink r:id="rId44" w:anchor="adctart111a" w:history="1">
        <w:r w:rsidRPr="003D0FC5">
          <w:rPr>
            <w:rFonts w:ascii="Book Antiqua" w:eastAsia="Times New Roman" w:hAnsi="Book Antiqua" w:cs="Arial"/>
            <w:color w:val="0000FF"/>
            <w:sz w:val="19"/>
            <w:szCs w:val="19"/>
            <w:u w:val="single"/>
            <w:lang w:eastAsia="pt-BR"/>
          </w:rPr>
          <w:t>111-A</w:t>
        </w:r>
      </w:hyperlink>
      <w:r w:rsidRPr="003D0FC5">
        <w:rPr>
          <w:rFonts w:ascii="Book Antiqua" w:eastAsia="Times New Roman" w:hAnsi="Book Antiqua" w:cs="Arial"/>
          <w:color w:val="000000"/>
          <w:sz w:val="19"/>
          <w:szCs w:val="19"/>
          <w:lang w:eastAsia="pt-BR"/>
        </w:rPr>
        <w:t>, </w:t>
      </w:r>
      <w:hyperlink r:id="rId45" w:anchor="adctart112" w:history="1">
        <w:r w:rsidRPr="003D0FC5">
          <w:rPr>
            <w:rFonts w:ascii="Book Antiqua" w:eastAsia="Times New Roman" w:hAnsi="Book Antiqua" w:cs="Arial"/>
            <w:color w:val="0000FF"/>
            <w:sz w:val="19"/>
            <w:szCs w:val="19"/>
            <w:u w:val="single"/>
            <w:lang w:eastAsia="pt-BR"/>
          </w:rPr>
          <w:t>112</w:t>
        </w:r>
      </w:hyperlink>
      <w:r w:rsidRPr="003D0FC5">
        <w:rPr>
          <w:rFonts w:ascii="Book Antiqua" w:eastAsia="Times New Roman" w:hAnsi="Book Antiqua" w:cs="Arial"/>
          <w:color w:val="000000"/>
          <w:sz w:val="19"/>
          <w:szCs w:val="19"/>
          <w:lang w:eastAsia="pt-BR"/>
        </w:rPr>
        <w:t> e </w:t>
      </w:r>
      <w:hyperlink r:id="rId46" w:anchor="adctart114" w:history="1">
        <w:r w:rsidRPr="003D0FC5">
          <w:rPr>
            <w:rFonts w:ascii="Book Antiqua" w:eastAsia="Times New Roman" w:hAnsi="Book Antiqua" w:cs="Arial"/>
            <w:color w:val="0000FF"/>
            <w:sz w:val="19"/>
            <w:szCs w:val="19"/>
            <w:u w:val="single"/>
            <w:lang w:eastAsia="pt-BR"/>
          </w:rPr>
          <w:t>114 do Ato das Disposições Constitucionais Transitórias</w:t>
        </w:r>
      </w:hyperlink>
      <w:r w:rsidRPr="003D0FC5">
        <w:rPr>
          <w:rFonts w:ascii="Book Antiqua" w:eastAsia="Times New Roman" w:hAnsi="Book Antiqua" w:cs="Arial"/>
          <w:color w:val="000000"/>
          <w:sz w:val="19"/>
          <w:szCs w:val="19"/>
          <w:lang w:eastAsia="pt-BR"/>
        </w:rPr>
        <w:t> após a sanção da lei complementar prevista no </w:t>
      </w:r>
      <w:hyperlink r:id="rId47" w:anchor="art6" w:history="1">
        <w:r w:rsidRPr="003D0FC5">
          <w:rPr>
            <w:rFonts w:ascii="Book Antiqua" w:eastAsia="Times New Roman" w:hAnsi="Book Antiqua" w:cs="Arial"/>
            <w:color w:val="0000FF"/>
            <w:sz w:val="19"/>
            <w:szCs w:val="19"/>
            <w:u w:val="single"/>
            <w:lang w:eastAsia="pt-BR"/>
          </w:rPr>
          <w:t>art. 6º desta Emenda Constitucional.</w:t>
        </w:r>
      </w:hyperlink>
    </w:p>
    <w:p w14:paraId="6414D76C" w14:textId="77777777" w:rsidR="003D0FC5" w:rsidRPr="003D0FC5" w:rsidRDefault="003D0FC5" w:rsidP="003D0FC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10"/>
      <w:bookmarkEnd w:id="9"/>
      <w:r w:rsidRPr="003D0FC5">
        <w:rPr>
          <w:rFonts w:ascii="Book Antiqua" w:eastAsia="Times New Roman" w:hAnsi="Book Antiqua" w:cs="Arial"/>
          <w:color w:val="000000"/>
          <w:sz w:val="19"/>
          <w:szCs w:val="19"/>
          <w:lang w:eastAsia="pt-BR"/>
        </w:rPr>
        <w:t>Art. 10. Esta Emenda Constitucional entra em vigor na data de sua publicação.</w:t>
      </w:r>
    </w:p>
    <w:p w14:paraId="0E993323" w14:textId="77777777" w:rsidR="003D0FC5" w:rsidRPr="003D0FC5" w:rsidRDefault="003D0FC5" w:rsidP="003D0FC5">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3D0FC5">
        <w:rPr>
          <w:rFonts w:ascii="Book Antiqua" w:eastAsia="Times New Roman" w:hAnsi="Book Antiqua" w:cs="Arial"/>
          <w:color w:val="000000"/>
          <w:sz w:val="19"/>
          <w:szCs w:val="19"/>
          <w:lang w:eastAsia="pt-BR"/>
        </w:rPr>
        <w:t>Brasília, em 21 de dezembro de 2022</w:t>
      </w:r>
    </w:p>
    <w:tbl>
      <w:tblPr>
        <w:tblW w:w="9225" w:type="dxa"/>
        <w:jc w:val="center"/>
        <w:tblCellMar>
          <w:top w:w="15" w:type="dxa"/>
          <w:left w:w="15" w:type="dxa"/>
          <w:bottom w:w="15" w:type="dxa"/>
          <w:right w:w="15" w:type="dxa"/>
        </w:tblCellMar>
        <w:tblLook w:val="04A0" w:firstRow="1" w:lastRow="0" w:firstColumn="1" w:lastColumn="0" w:noHBand="0" w:noVBand="1"/>
      </w:tblPr>
      <w:tblGrid>
        <w:gridCol w:w="4155"/>
        <w:gridCol w:w="5070"/>
      </w:tblGrid>
      <w:tr w:rsidR="003D0FC5" w:rsidRPr="003D0FC5" w14:paraId="79EDC0B9"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4B8495"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b/>
                <w:bCs/>
                <w:sz w:val="19"/>
                <w:szCs w:val="19"/>
                <w:lang w:eastAsia="pt-BR"/>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2A0AD1"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b/>
                <w:bCs/>
                <w:sz w:val="19"/>
                <w:szCs w:val="19"/>
                <w:lang w:eastAsia="pt-BR"/>
              </w:rPr>
              <w:t>Mesa do Senado Federal</w:t>
            </w:r>
          </w:p>
        </w:tc>
      </w:tr>
      <w:tr w:rsidR="003D0FC5" w:rsidRPr="003D0FC5" w14:paraId="0B40DD27"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078061"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Deputado ARTHUR LIRA</w:t>
            </w:r>
            <w:r w:rsidRPr="003D0FC5">
              <w:rPr>
                <w:rFonts w:ascii="Book Antiqua" w:eastAsia="Times New Roman" w:hAnsi="Book Antiqua" w:cs="Arial"/>
                <w:sz w:val="19"/>
                <w:szCs w:val="19"/>
                <w:lang w:eastAsia="pt-BR"/>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D4D6CB"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RODRIGO PACHECO</w:t>
            </w:r>
            <w:r w:rsidRPr="003D0FC5">
              <w:rPr>
                <w:rFonts w:ascii="Book Antiqua" w:eastAsia="Times New Roman" w:hAnsi="Book Antiqua" w:cs="Arial"/>
                <w:sz w:val="19"/>
                <w:szCs w:val="19"/>
                <w:lang w:eastAsia="pt-BR"/>
              </w:rPr>
              <w:br/>
              <w:t>Presidente</w:t>
            </w:r>
          </w:p>
        </w:tc>
      </w:tr>
      <w:tr w:rsidR="003D0FC5" w:rsidRPr="003D0FC5" w14:paraId="39F4C583"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70C582"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Deputado LINCOLN PORTELA</w:t>
            </w:r>
            <w:r w:rsidRPr="003D0FC5">
              <w:rPr>
                <w:rFonts w:ascii="Book Antiqua" w:eastAsia="Times New Roman" w:hAnsi="Book Antiqua" w:cs="Arial"/>
                <w:sz w:val="19"/>
                <w:szCs w:val="19"/>
                <w:lang w:eastAsia="pt-BR"/>
              </w:rPr>
              <w:br/>
              <w:t>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55E9BD"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VENEZIANO VITAL DO RÊGO</w:t>
            </w:r>
            <w:r w:rsidRPr="003D0FC5">
              <w:rPr>
                <w:rFonts w:ascii="Book Antiqua" w:eastAsia="Times New Roman" w:hAnsi="Book Antiqua" w:cs="Arial"/>
                <w:sz w:val="19"/>
                <w:szCs w:val="19"/>
                <w:lang w:eastAsia="pt-BR"/>
              </w:rPr>
              <w:br/>
              <w:t>1º Vice-Presidente</w:t>
            </w:r>
          </w:p>
        </w:tc>
      </w:tr>
      <w:tr w:rsidR="003D0FC5" w:rsidRPr="003D0FC5" w14:paraId="586F32BB"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4A01DC"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Deputado ANDRÉ DE PAULA</w:t>
            </w:r>
            <w:r w:rsidRPr="003D0FC5">
              <w:rPr>
                <w:rFonts w:ascii="Book Antiqua" w:eastAsia="Times New Roman" w:hAnsi="Book Antiqua" w:cs="Arial"/>
                <w:sz w:val="19"/>
                <w:szCs w:val="19"/>
                <w:lang w:eastAsia="pt-BR"/>
              </w:rPr>
              <w:br/>
              <w:t>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365BDD"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ROMÁRIO</w:t>
            </w:r>
            <w:r w:rsidRPr="003D0FC5">
              <w:rPr>
                <w:rFonts w:ascii="Book Antiqua" w:eastAsia="Times New Roman" w:hAnsi="Book Antiqua" w:cs="Arial"/>
                <w:sz w:val="19"/>
                <w:szCs w:val="19"/>
                <w:lang w:eastAsia="pt-BR"/>
              </w:rPr>
              <w:br/>
              <w:t>2º Vice-Presidente</w:t>
            </w:r>
          </w:p>
        </w:tc>
      </w:tr>
      <w:tr w:rsidR="003D0FC5" w:rsidRPr="003D0FC5" w14:paraId="1B0E1F21"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FA1D1B"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Deputado LUCIANO BIVAR</w:t>
            </w:r>
            <w:r w:rsidRPr="003D0FC5">
              <w:rPr>
                <w:rFonts w:ascii="Book Antiqua" w:eastAsia="Times New Roman" w:hAnsi="Book Antiqua" w:cs="Arial"/>
                <w:sz w:val="19"/>
                <w:szCs w:val="19"/>
                <w:lang w:eastAsia="pt-BR"/>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3B613C"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IRAJÁ</w:t>
            </w:r>
            <w:r w:rsidRPr="003D0FC5">
              <w:rPr>
                <w:rFonts w:ascii="Book Antiqua" w:eastAsia="Times New Roman" w:hAnsi="Book Antiqua" w:cs="Arial"/>
                <w:sz w:val="19"/>
                <w:szCs w:val="19"/>
                <w:lang w:eastAsia="pt-BR"/>
              </w:rPr>
              <w:br/>
              <w:t>1º Secretário</w:t>
            </w:r>
          </w:p>
        </w:tc>
      </w:tr>
      <w:tr w:rsidR="003D0FC5" w:rsidRPr="003D0FC5" w14:paraId="51A7D72C"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CCF0C9" w14:textId="77777777" w:rsidR="003D0FC5" w:rsidRPr="003D0FC5" w:rsidRDefault="003D0FC5" w:rsidP="003D0FC5">
            <w:pPr>
              <w:spacing w:before="100" w:beforeAutospacing="1" w:after="100" w:afterAutospacing="1" w:line="240" w:lineRule="auto"/>
              <w:jc w:val="center"/>
              <w:rPr>
                <w:rFonts w:ascii="Book Antiqua" w:eastAsia="Times New Roman" w:hAnsi="Book Antiqua" w:cs="Arial"/>
                <w:sz w:val="19"/>
                <w:szCs w:val="19"/>
                <w:lang w:eastAsia="pt-BR"/>
              </w:rPr>
            </w:pPr>
            <w:r w:rsidRPr="003D0FC5">
              <w:rPr>
                <w:rFonts w:ascii="Book Antiqua" w:eastAsia="Times New Roman" w:hAnsi="Book Antiqua" w:cs="Arial"/>
                <w:sz w:val="19"/>
                <w:szCs w:val="19"/>
                <w:lang w:eastAsia="pt-BR"/>
              </w:rPr>
              <w:t>Deputado ODAIR CUNHA</w:t>
            </w:r>
            <w:r w:rsidRPr="003D0FC5">
              <w:rPr>
                <w:rFonts w:ascii="Book Antiqua" w:eastAsia="Times New Roman" w:hAnsi="Book Antiqua" w:cs="Arial"/>
                <w:sz w:val="19"/>
                <w:szCs w:val="19"/>
                <w:lang w:eastAsia="pt-BR"/>
              </w:rPr>
              <w:br/>
              <w:t>2º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3E008C"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ELMANO FÉRRER</w:t>
            </w:r>
            <w:r w:rsidRPr="003D0FC5">
              <w:rPr>
                <w:rFonts w:ascii="Book Antiqua" w:eastAsia="Times New Roman" w:hAnsi="Book Antiqua" w:cs="Arial"/>
                <w:sz w:val="19"/>
                <w:szCs w:val="19"/>
                <w:lang w:eastAsia="pt-BR"/>
              </w:rPr>
              <w:br/>
              <w:t>2º Secretário</w:t>
            </w:r>
          </w:p>
        </w:tc>
      </w:tr>
      <w:tr w:rsidR="003D0FC5" w:rsidRPr="003D0FC5" w14:paraId="2CFF91CA"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F6846F" w14:textId="77777777" w:rsidR="003D0FC5" w:rsidRPr="003D0FC5" w:rsidRDefault="003D0FC5" w:rsidP="003D0FC5">
            <w:pPr>
              <w:spacing w:before="100" w:beforeAutospacing="1" w:after="100" w:afterAutospacing="1" w:line="240" w:lineRule="auto"/>
              <w:jc w:val="center"/>
              <w:rPr>
                <w:rFonts w:ascii="Book Antiqua" w:eastAsia="Times New Roman" w:hAnsi="Book Antiqua" w:cs="Arial"/>
                <w:sz w:val="19"/>
                <w:szCs w:val="19"/>
                <w:lang w:eastAsia="pt-BR"/>
              </w:rPr>
            </w:pPr>
            <w:r w:rsidRPr="003D0FC5">
              <w:rPr>
                <w:rFonts w:ascii="Book Antiqua" w:eastAsia="Times New Roman" w:hAnsi="Book Antiqua" w:cs="Arial"/>
                <w:sz w:val="19"/>
                <w:szCs w:val="19"/>
                <w:lang w:eastAsia="pt-BR"/>
              </w:rPr>
              <w:t>Deputada GEOVANIA DE SÁ</w:t>
            </w:r>
            <w:r w:rsidRPr="003D0FC5">
              <w:rPr>
                <w:rFonts w:ascii="Book Antiqua" w:eastAsia="Times New Roman" w:hAnsi="Book Antiqua" w:cs="Arial"/>
                <w:sz w:val="19"/>
                <w:szCs w:val="19"/>
                <w:lang w:eastAsia="pt-BR"/>
              </w:rPr>
              <w:br/>
              <w:t>3ª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435ACF"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ROGÉRIO CARVALHO</w:t>
            </w:r>
            <w:r w:rsidRPr="003D0FC5">
              <w:rPr>
                <w:rFonts w:ascii="Book Antiqua" w:eastAsia="Times New Roman" w:hAnsi="Book Antiqua" w:cs="Arial"/>
                <w:sz w:val="19"/>
                <w:szCs w:val="19"/>
                <w:lang w:eastAsia="pt-BR"/>
              </w:rPr>
              <w:br/>
              <w:t>3º Secretário</w:t>
            </w:r>
          </w:p>
        </w:tc>
      </w:tr>
      <w:tr w:rsidR="003D0FC5" w:rsidRPr="003D0FC5" w14:paraId="04B402D4" w14:textId="77777777" w:rsidTr="003D0FC5">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88BD02"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Deputada ROSANGELA GOMES</w:t>
            </w:r>
            <w:r w:rsidRPr="003D0FC5">
              <w:rPr>
                <w:rFonts w:ascii="Book Antiqua" w:eastAsia="Times New Roman" w:hAnsi="Book Antiqua" w:cs="Arial"/>
                <w:sz w:val="19"/>
                <w:szCs w:val="19"/>
                <w:lang w:eastAsia="pt-BR"/>
              </w:rPr>
              <w:br/>
              <w:t>4ª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C7F2A3" w14:textId="77777777" w:rsidR="003D0FC5" w:rsidRPr="003D0FC5" w:rsidRDefault="003D0FC5" w:rsidP="003D0FC5">
            <w:pPr>
              <w:spacing w:before="100" w:beforeAutospacing="1" w:after="100" w:afterAutospacing="1" w:line="240" w:lineRule="auto"/>
              <w:jc w:val="center"/>
              <w:rPr>
                <w:rFonts w:ascii="Book Antiqua" w:eastAsia="Times New Roman" w:hAnsi="Book Antiqua" w:cs="Times New Roman"/>
                <w:sz w:val="19"/>
                <w:szCs w:val="19"/>
                <w:lang w:eastAsia="pt-BR"/>
              </w:rPr>
            </w:pPr>
            <w:r w:rsidRPr="003D0FC5">
              <w:rPr>
                <w:rFonts w:ascii="Book Antiqua" w:eastAsia="Times New Roman" w:hAnsi="Book Antiqua" w:cs="Arial"/>
                <w:sz w:val="19"/>
                <w:szCs w:val="19"/>
                <w:lang w:eastAsia="pt-BR"/>
              </w:rPr>
              <w:t>Senador WEVERTON</w:t>
            </w:r>
            <w:r w:rsidRPr="003D0FC5">
              <w:rPr>
                <w:rFonts w:ascii="Book Antiqua" w:eastAsia="Times New Roman" w:hAnsi="Book Antiqua" w:cs="Arial"/>
                <w:sz w:val="19"/>
                <w:szCs w:val="19"/>
                <w:lang w:eastAsia="pt-BR"/>
              </w:rPr>
              <w:br/>
              <w:t>4º Secretário</w:t>
            </w:r>
          </w:p>
        </w:tc>
      </w:tr>
    </w:tbl>
    <w:p w14:paraId="08DD278E" w14:textId="77777777" w:rsidR="003D0FC5" w:rsidRPr="003D0FC5" w:rsidRDefault="003D0FC5" w:rsidP="003D0FC5">
      <w:pPr>
        <w:spacing w:before="100" w:beforeAutospacing="1" w:after="100" w:afterAutospacing="1" w:line="240" w:lineRule="auto"/>
        <w:rPr>
          <w:rFonts w:ascii="Book Antiqua" w:eastAsia="Times New Roman" w:hAnsi="Book Antiqua" w:cs="Times New Roman"/>
          <w:color w:val="000000"/>
          <w:sz w:val="19"/>
          <w:szCs w:val="19"/>
          <w:lang w:eastAsia="pt-BR"/>
        </w:rPr>
      </w:pPr>
      <w:r w:rsidRPr="003D0FC5">
        <w:rPr>
          <w:rFonts w:ascii="Book Antiqua" w:eastAsia="Times New Roman" w:hAnsi="Book Antiqua" w:cs="Arial"/>
          <w:color w:val="FF0000"/>
          <w:sz w:val="19"/>
          <w:szCs w:val="19"/>
          <w:lang w:eastAsia="pt-BR"/>
        </w:rPr>
        <w:t>Este texto não substitui o publicado no DOU 22.12.2022</w:t>
      </w:r>
    </w:p>
    <w:p w14:paraId="27433054" w14:textId="77777777" w:rsidR="003D0FC5" w:rsidRPr="003D0FC5" w:rsidRDefault="003D0FC5" w:rsidP="003D0FC5">
      <w:pPr>
        <w:spacing w:before="100" w:beforeAutospacing="1" w:after="100" w:afterAutospacing="1" w:line="240" w:lineRule="auto"/>
        <w:jc w:val="center"/>
        <w:rPr>
          <w:rFonts w:ascii="Book Antiqua" w:eastAsia="Times New Roman" w:hAnsi="Book Antiqua" w:cs="Arial"/>
          <w:color w:val="162937"/>
          <w:sz w:val="19"/>
          <w:szCs w:val="19"/>
          <w:lang w:eastAsia="pt-BR"/>
        </w:rPr>
      </w:pPr>
      <w:r w:rsidRPr="003D0FC5">
        <w:rPr>
          <w:rFonts w:ascii="Book Antiqua" w:eastAsia="Times New Roman" w:hAnsi="Book Antiqua" w:cs="Arial"/>
          <w:b/>
          <w:bCs/>
          <w:color w:val="FF0000"/>
          <w:sz w:val="19"/>
          <w:szCs w:val="19"/>
          <w:lang w:eastAsia="pt-BR"/>
        </w:rPr>
        <w:t>*</w:t>
      </w:r>
    </w:p>
    <w:p w14:paraId="7021226E" w14:textId="77777777" w:rsidR="003231CE" w:rsidRPr="003D0FC5" w:rsidRDefault="003231CE" w:rsidP="003D0FC5">
      <w:pPr>
        <w:spacing w:before="100" w:beforeAutospacing="1" w:after="100" w:afterAutospacing="1" w:line="240" w:lineRule="auto"/>
        <w:rPr>
          <w:rFonts w:ascii="Book Antiqua" w:hAnsi="Book Antiqua"/>
          <w:sz w:val="19"/>
          <w:szCs w:val="19"/>
        </w:rPr>
      </w:pPr>
    </w:p>
    <w:sectPr w:rsidR="003231CE" w:rsidRPr="003D0FC5" w:rsidSect="003D0FC5">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CE"/>
    <w:rsid w:val="003231CE"/>
    <w:rsid w:val="003D0F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DB464-FC4F-4F14-85D7-47A092FF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892076">
      <w:bodyDiv w:val="1"/>
      <w:marLeft w:val="0"/>
      <w:marRight w:val="0"/>
      <w:marTop w:val="0"/>
      <w:marBottom w:val="0"/>
      <w:divBdr>
        <w:top w:val="none" w:sz="0" w:space="0" w:color="auto"/>
        <w:left w:val="none" w:sz="0" w:space="0" w:color="auto"/>
        <w:bottom w:val="none" w:sz="0" w:space="0" w:color="auto"/>
        <w:right w:val="none" w:sz="0" w:space="0" w:color="auto"/>
      </w:divBdr>
      <w:divsChild>
        <w:div w:id="21196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470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10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3079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3740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2002/L10406.htm" TargetMode="External"/><Relationship Id="rId39" Type="http://schemas.openxmlformats.org/officeDocument/2006/relationships/hyperlink" Target="http://www.planalto.gov.br/ccivil_03/_Ato2019-2022/2022/Lei/L14436.htm" TargetMode="External"/><Relationship Id="rId3" Type="http://schemas.openxmlformats.org/officeDocument/2006/relationships/webSettings" Target="webSettings.xm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_Ato2019-2022/2021/Lei/L14237.htm" TargetMode="External"/><Relationship Id="rId42"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Constituicao/Emendas/Emc/emc126.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_Ato2019-2022/2021/Lei/L14284.htm" TargetMode="External"/><Relationship Id="rId38"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Constituicao.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_Ato2019-2022/2022/Lei/L14436.htm" TargetMode="External"/><Relationship Id="rId49" Type="http://schemas.openxmlformats.org/officeDocument/2006/relationships/theme" Target="theme/theme1.xm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_Ato2019-2022/2022/Lei/L14436.htm" TargetMode="External"/><Relationship Id="rId44"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_Ato2019-2022/2022/Lei/L14436.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fontTable" Target="fontTable.xml"/><Relationship Id="rId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2843</Words>
  <Characters>15355</Characters>
  <Application>Microsoft Office Word</Application>
  <DocSecurity>0</DocSecurity>
  <Lines>127</Lines>
  <Paragraphs>36</Paragraphs>
  <ScaleCrop>false</ScaleCrop>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2022-12-24T17:34:00Z</dcterms:created>
  <dcterms:modified xsi:type="dcterms:W3CDTF">2022-12-24T17:34:00Z</dcterms:modified>
</cp:coreProperties>
</file>